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871C" w14:textId="77777777" w:rsidR="00AE42C0" w:rsidRDefault="00000000" w:rsidP="007A0CDA">
      <w:pPr>
        <w:pStyle w:val="Title"/>
        <w:jc w:val="left"/>
      </w:pPr>
      <w:bookmarkStart w:id="0" w:name="Xc950876f1e1ea20f627cc54952fa83ebebff490"/>
      <w:proofErr w:type="spellStart"/>
      <w:r>
        <w:t>IPFLang</w:t>
      </w:r>
      <w:proofErr w:type="spellEnd"/>
      <w:r>
        <w:t>: A Domain-Specific Language for Standardizing Multi-Jurisdiction Intellectual Property Fee Calculation</w:t>
      </w:r>
    </w:p>
    <w:p w14:paraId="0991452C" w14:textId="61A2714B" w:rsidR="00AE42C0" w:rsidRDefault="00000000">
      <w:pPr>
        <w:pStyle w:val="FirstParagraph"/>
      </w:pPr>
      <w:r>
        <w:rPr>
          <w:b/>
          <w:bCs/>
        </w:rPr>
        <w:t>Valer Bocan, PhD, CSSLP</w:t>
      </w:r>
      <w:r w:rsidR="007A0CDA">
        <w:rPr>
          <w:b/>
          <w:bCs/>
        </w:rPr>
        <w:t xml:space="preserve"> </w:t>
      </w:r>
      <w:r w:rsidR="007A0CDA">
        <w:br/>
      </w:r>
      <w:r>
        <w:t>Department of Computer and Information Technology</w:t>
      </w:r>
      <w:r w:rsidR="007A0CDA">
        <w:br/>
      </w:r>
      <w:proofErr w:type="spellStart"/>
      <w:r>
        <w:t>Politehnica</w:t>
      </w:r>
      <w:proofErr w:type="spellEnd"/>
      <w:r>
        <w:t xml:space="preserve"> University </w:t>
      </w:r>
      <w:r w:rsidR="007A0CDA">
        <w:t xml:space="preserve">of </w:t>
      </w:r>
      <w:proofErr w:type="spellStart"/>
      <w:r>
        <w:t>Timi</w:t>
      </w:r>
      <w:r w:rsidR="007A0CDA">
        <w:t>ș</w:t>
      </w:r>
      <w:r>
        <w:t>oara</w:t>
      </w:r>
      <w:proofErr w:type="spellEnd"/>
      <w:r w:rsidR="007A0CDA">
        <w:t>,</w:t>
      </w:r>
      <w:r>
        <w:t xml:space="preserve"> 300223</w:t>
      </w:r>
      <w:r w:rsidR="007A0CDA">
        <w:t xml:space="preserve"> </w:t>
      </w:r>
      <w:proofErr w:type="spellStart"/>
      <w:r w:rsidR="007A0CDA">
        <w:t>Timișoara</w:t>
      </w:r>
      <w:proofErr w:type="spellEnd"/>
      <w:r>
        <w:t>, Romania</w:t>
      </w:r>
      <w:r w:rsidR="007A0CDA">
        <w:br/>
      </w:r>
      <w:r>
        <w:t xml:space="preserve">Email: </w:t>
      </w:r>
      <w:hyperlink r:id="rId8" w:history="1">
        <w:r w:rsidR="007A0CDA" w:rsidRPr="0006289A">
          <w:rPr>
            <w:rStyle w:val="Hyperlink"/>
          </w:rPr>
          <w:t>valer.bocan@upt.ro</w:t>
        </w:r>
      </w:hyperlink>
      <w:r w:rsidR="007A0CDA">
        <w:br/>
      </w:r>
      <w:r>
        <w:t>ORCID: 0009-0006-9084-4064</w:t>
      </w:r>
    </w:p>
    <w:p w14:paraId="2FAE9D40" w14:textId="77777777" w:rsidR="00C44736" w:rsidRPr="00C44736" w:rsidRDefault="00C44736" w:rsidP="00C44736">
      <w:pPr>
        <w:pStyle w:val="BodyText"/>
      </w:pPr>
    </w:p>
    <w:p w14:paraId="3BEC3102" w14:textId="7679E21F" w:rsidR="00C44736" w:rsidRDefault="00C44736">
      <w:pPr>
        <w:pStyle w:val="Heading2"/>
      </w:pPr>
      <w:bookmarkStart w:id="1" w:name="abstract"/>
      <w:r>
        <w:rPr>
          <w:noProof/>
        </w:rPr>
        <w:drawing>
          <wp:inline distT="0" distB="0" distL="0" distR="0" wp14:anchorId="45967416" wp14:editId="43BFD120">
            <wp:extent cx="5723255" cy="3543300"/>
            <wp:effectExtent l="0" t="0" r="0" b="0"/>
            <wp:docPr id="1774143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3255" cy="3543300"/>
                    </a:xfrm>
                    <a:prstGeom prst="rect">
                      <a:avLst/>
                    </a:prstGeom>
                    <a:noFill/>
                    <a:ln>
                      <a:noFill/>
                    </a:ln>
                  </pic:spPr>
                </pic:pic>
              </a:graphicData>
            </a:graphic>
          </wp:inline>
        </w:drawing>
      </w:r>
    </w:p>
    <w:p w14:paraId="0A6B81C1" w14:textId="6F20E5C7" w:rsidR="00AE42C0" w:rsidRDefault="00000000" w:rsidP="00C44736">
      <w:pPr>
        <w:pStyle w:val="Heading1"/>
      </w:pPr>
      <w:r>
        <w:t>Abstract</w:t>
      </w:r>
    </w:p>
    <w:p w14:paraId="595D6D74" w14:textId="77777777" w:rsidR="00AE42C0" w:rsidRDefault="00000000">
      <w:pPr>
        <w:pStyle w:val="FirstParagraph"/>
      </w:pPr>
      <w:r>
        <w:t xml:space="preserve">The intellectual property management industry faces interoperability challenges due to fragmented, proprietary fee calculation implementations across patent offices—no standard exists for encoding or exchanging fee computation rules. This paper presents IPFLang, a domain-specific language specification for multi-jurisdiction fee calculation. IPFLang provides: (1) a formal EBNF grammar with declarative fee computation blocks; (2) a currency-aware type system supporting 161 ISO 4217 currencies that prevents cross-currency arithmetic errors at compile time; (3) static analysis of fee completeness (with formal guarantees for bounded domains) and monotonicity; and (4) provenance tracking for auditability. We present formal typing rules with a type safety argument, analysis algorithms with complexity bounds, and expert validation of </w:t>
      </w:r>
      <w:r>
        <w:lastRenderedPageBreak/>
        <w:t>production jurisdiction files. The open-source reference implementation includes 118 production jurisdiction files covering PCT national/regional phase entry fees validated by domain experts, a comprehensive test suite with 260 test methods, and sub-millisecond execution. IPFLang establishes a foundation for regulatory calculation standardization, enabling vendor-independent fee computation across patent offices.</w:t>
      </w:r>
    </w:p>
    <w:p w14:paraId="36FC56C2" w14:textId="3BE5BB5C" w:rsidR="00C44736" w:rsidRDefault="00C44736" w:rsidP="00C44736">
      <w:pPr>
        <w:pStyle w:val="Heading1"/>
      </w:pPr>
      <w:r>
        <w:t>Keywords</w:t>
      </w:r>
    </w:p>
    <w:p w14:paraId="703CD8A6" w14:textId="38EEA9FE" w:rsidR="00AE42C0" w:rsidRDefault="00000000">
      <w:pPr>
        <w:pStyle w:val="BodyText"/>
      </w:pPr>
      <w:r>
        <w:t>domain-specific language, intellectual property, standardization, interoperability, type systems, static verification, regulatory automation, formal specification</w:t>
      </w:r>
    </w:p>
    <w:p w14:paraId="489459AA" w14:textId="77777777" w:rsidR="00AE42C0" w:rsidRDefault="00000000" w:rsidP="00C44736">
      <w:pPr>
        <w:pStyle w:val="Heading1"/>
      </w:pPr>
      <w:bookmarkStart w:id="2" w:name="highlights"/>
      <w:bookmarkEnd w:id="1"/>
      <w:r>
        <w:t>Highlights</w:t>
      </w:r>
    </w:p>
    <w:p w14:paraId="7E40B64E" w14:textId="77777777" w:rsidR="00AE42C0" w:rsidRDefault="00000000">
      <w:pPr>
        <w:pStyle w:val="Compact"/>
        <w:numPr>
          <w:ilvl w:val="0"/>
          <w:numId w:val="2"/>
        </w:numPr>
      </w:pPr>
      <w:r>
        <w:t>Formal DSL specification addressing the IP fee calculation standardization gap</w:t>
      </w:r>
    </w:p>
    <w:p w14:paraId="139ECF97" w14:textId="77777777" w:rsidR="00AE42C0" w:rsidRDefault="00000000">
      <w:pPr>
        <w:pStyle w:val="Compact"/>
        <w:numPr>
          <w:ilvl w:val="0"/>
          <w:numId w:val="2"/>
        </w:numPr>
      </w:pPr>
      <w:r>
        <w:t>Currency-aware type system with 161 ISO 4217 currencies preventing cross-currency errors statically</w:t>
      </w:r>
    </w:p>
    <w:p w14:paraId="4E8E9412" w14:textId="77777777" w:rsidR="00AE42C0" w:rsidRDefault="00000000">
      <w:pPr>
        <w:pStyle w:val="Compact"/>
        <w:numPr>
          <w:ilvl w:val="0"/>
          <w:numId w:val="2"/>
        </w:numPr>
      </w:pPr>
      <w:r>
        <w:t>Static analysis of fee completeness (formal guarantees for bounded domains) and monotonicity</w:t>
      </w:r>
    </w:p>
    <w:p w14:paraId="4ED34391" w14:textId="77777777" w:rsidR="00AE42C0" w:rsidRDefault="00000000">
      <w:pPr>
        <w:pStyle w:val="Compact"/>
        <w:numPr>
          <w:ilvl w:val="0"/>
          <w:numId w:val="2"/>
        </w:numPr>
      </w:pPr>
      <w:r>
        <w:t>Provenance tracking with counterfactual analysis for auditability</w:t>
      </w:r>
    </w:p>
    <w:p w14:paraId="19D3E107" w14:textId="77777777" w:rsidR="00AE42C0" w:rsidRDefault="00000000">
      <w:pPr>
        <w:pStyle w:val="Compact"/>
        <w:numPr>
          <w:ilvl w:val="0"/>
          <w:numId w:val="2"/>
        </w:numPr>
      </w:pPr>
      <w:r>
        <w:t>Expert validation of 118 production jurisdiction files covering PCT national/regional phase entry fees</w:t>
      </w:r>
    </w:p>
    <w:p w14:paraId="706C8ABA" w14:textId="77777777" w:rsidR="00AE42C0" w:rsidRDefault="00000000">
      <w:pPr>
        <w:pStyle w:val="Compact"/>
        <w:numPr>
          <w:ilvl w:val="0"/>
          <w:numId w:val="2"/>
        </w:numPr>
      </w:pPr>
      <w:r>
        <w:t>Open-source reference implementation enabling vendor-independent fee computation</w:t>
      </w:r>
    </w:p>
    <w:p w14:paraId="676018DD" w14:textId="77777777" w:rsidR="00AE42C0" w:rsidRDefault="00000000" w:rsidP="00C44736">
      <w:pPr>
        <w:pStyle w:val="Heading1"/>
      </w:pPr>
      <w:bookmarkStart w:id="3" w:name="introduction"/>
      <w:bookmarkEnd w:id="2"/>
      <w:r>
        <w:t>1. Introduction</w:t>
      </w:r>
    </w:p>
    <w:p w14:paraId="6CA6C9AC" w14:textId="77777777" w:rsidR="00AE42C0" w:rsidRDefault="00000000">
      <w:pPr>
        <w:pStyle w:val="Heading3"/>
      </w:pPr>
      <w:bookmarkStart w:id="4" w:name="the-ip-technology-fragmentation-problem"/>
      <w:r>
        <w:t>1.1 The IP Technology Fragmentation Problem</w:t>
      </w:r>
    </w:p>
    <w:p w14:paraId="5593C132" w14:textId="77777777" w:rsidR="00AE42C0" w:rsidRDefault="00000000">
      <w:pPr>
        <w:pStyle w:val="FirstParagraph"/>
      </w:pPr>
      <w:r>
        <w:t>The global intellectual property management ecosystem operates through a complex network of national and regional patent offices, each maintaining independent fee calculation systems with proprietary interfaces. Major offices such as the United States Patent and Trademark Office (USPTO), European Patent Office (EPO), Japan Patent Office (JPO), and World Intellectual Property Organization (WIPO) each provide web-based fee calculators [1-4], yet these systems exhibit fundamental interoperability deficiencies that impede efficient IP management workflows.</w:t>
      </w:r>
    </w:p>
    <w:p w14:paraId="206782CB" w14:textId="77777777" w:rsidR="00AE42C0" w:rsidRDefault="00000000">
      <w:pPr>
        <w:pStyle w:val="BodyText"/>
      </w:pPr>
      <w:r>
        <w:t>The first and perhaps most pressing issue is the absence of any standard data format across jurisdictions. Each patent office defines fee parameters using custom terminology, requiring manual interpretation and data entry for each calculation. Where the USPTO uses “entity type” classifications, the EPO employs “applicant category” with entirely different discount structures. WIPO PCT applications introduce additional complexity by requiring separate parameters for International Searching Authority selection, compounding the burden for practitioners handling multi-jurisdiction filings.</w:t>
      </w:r>
    </w:p>
    <w:p w14:paraId="3E11613D" w14:textId="77777777" w:rsidR="00AE42C0" w:rsidRDefault="00000000">
      <w:pPr>
        <w:pStyle w:val="BodyText"/>
      </w:pPr>
      <w:r>
        <w:t xml:space="preserve">Equally problematic is the complete absence of programmatic interfaces for fee calculation. Government calculators operate exclusively through web browsers with no </w:t>
      </w:r>
      <w:r>
        <w:lastRenderedPageBreak/>
        <w:t>API access, preventing any form of automation or integration with IP management workflows. Patent offices have invested significantly in digital transformation for application filing through systems like ePCT, EFS-Web, and Online Filing, yet they have not extended programmatic access to fee calculation services, creating a gap in their digital offerings.</w:t>
      </w:r>
    </w:p>
    <w:p w14:paraId="3BCC438B" w14:textId="75C6E55C" w:rsidR="00AE42C0" w:rsidRDefault="00000000">
      <w:pPr>
        <w:pStyle w:val="BodyText"/>
      </w:pPr>
      <w:r>
        <w:t xml:space="preserve">The situation is further complicated by the proprietary nature of calculation logic itself. Fee computation rules remain embedded in server-side code, entirely inaccessible to practitioners who must verify accuracy against </w:t>
      </w:r>
      <w:r w:rsidR="00D91184">
        <w:t>frequently updated</w:t>
      </w:r>
      <w:r>
        <w:t xml:space="preserve"> official fee schedules. When discrepancies arise between calculated and actual fees, practitioners find themselves unable to diagnose whether errors stem from incorrect inputs or flawed calculation logic, as the underlying implementation remains opaque.</w:t>
      </w:r>
    </w:p>
    <w:p w14:paraId="2647F1EE" w14:textId="77777777" w:rsidR="00AE42C0" w:rsidRDefault="00000000">
      <w:pPr>
        <w:pStyle w:val="BodyText"/>
      </w:pPr>
      <w:r>
        <w:t>Commercial IP management platforms from vendors such as CPA Global, Anaqua, and PatSnap address some workflow needs but perpetuate fragmentation through vendor-specific implementations, limited jurisdiction coverage, and hardcoded fee structures requiring vendor patches for regulatory updates [5]. The global IP management software market operates without standardized interfaces, forcing enterprises into vendor lock-in and limiting interoperability between best-of-breed solutions. Research on de facto technical standards has documented how network effects and single-vendor control in IT ecosystems create barriers to interoperability and innovation [18], patterns that characterize the current IP technology landscape.</w:t>
      </w:r>
    </w:p>
    <w:p w14:paraId="31190769" w14:textId="77777777" w:rsidR="00AE42C0" w:rsidRDefault="00000000">
      <w:pPr>
        <w:pStyle w:val="Heading3"/>
      </w:pPr>
      <w:bookmarkStart w:id="5" w:name="the-need-for-standardization"/>
      <w:bookmarkEnd w:id="4"/>
      <w:r>
        <w:t>1.2 The Need for Standardization</w:t>
      </w:r>
    </w:p>
    <w:p w14:paraId="283E19B8" w14:textId="77777777" w:rsidR="00AE42C0" w:rsidRDefault="00000000">
      <w:pPr>
        <w:pStyle w:val="FirstParagraph"/>
      </w:pPr>
      <w:r>
        <w:t>Successful technology domains achieve interoperability through open standards. SQL standardized database queries through ISO/IEC 9075, HTML standardized web content through W3C specifications, and XML Schema standardized data validation under the same organization. These standards enabled ecosystem growth by separating interface specifications from implementations, allowing multiple vendors to provide interoperable solutions. Research on intellectual property disclosure in standards development has examined how standards organizations balance IP rights with interoperability requirements [19], highlighting the complex dynamics that any IP technology standardization effort must navigate.</w:t>
      </w:r>
    </w:p>
    <w:p w14:paraId="716D61C3" w14:textId="77777777" w:rsidR="00AE42C0" w:rsidRDefault="00000000">
      <w:pPr>
        <w:pStyle w:val="BodyText"/>
      </w:pPr>
      <w:r>
        <w:t>The IP technology domain lacks equivalent standards for fee calculation, resulting in three critical gaps. The first is a specification gap: no standard language exists for expressing jurisdiction-specific fee rules. LegalRuleML [6] addresses compliance checking but lacks arithmetic expressiveness for financial calculations. Catala [7] demonstrates sophisticated tax calculations but targets single-jurisdiction applications requiring formal methods expertise unsuitable for legal practitioners. The second gap concerns formal verification: existing calculators provide no guarantees that fee definitions cover all valid input combinations or behave predictably as inputs change. The third gap is one of transparency: proprietary implementations prevent independent verification of calculation correctness.</w:t>
      </w:r>
    </w:p>
    <w:p w14:paraId="0C4C5F58" w14:textId="77777777" w:rsidR="00AE42C0" w:rsidRDefault="00000000">
      <w:pPr>
        <w:pStyle w:val="Heading3"/>
      </w:pPr>
      <w:bookmarkStart w:id="6" w:name="research-questions-and-contributions"/>
      <w:bookmarkEnd w:id="5"/>
      <w:r>
        <w:t>1.3 Research Questions and Contributions</w:t>
      </w:r>
    </w:p>
    <w:p w14:paraId="68F25CDA" w14:textId="77777777" w:rsidR="00AE42C0" w:rsidRDefault="00000000">
      <w:pPr>
        <w:pStyle w:val="FirstParagraph"/>
      </w:pPr>
      <w:r>
        <w:t>This work addresses four fundamental questions regarding standardization of IP fee calculations.</w:t>
      </w:r>
    </w:p>
    <w:p w14:paraId="34E105A4" w14:textId="77777777" w:rsidR="00AE42C0" w:rsidRDefault="00000000">
      <w:pPr>
        <w:pStyle w:val="BodyText"/>
      </w:pPr>
      <w:r>
        <w:lastRenderedPageBreak/>
        <w:t>The first research question concerns language design: can a domain-specific language provide sufficient expressiveness for complex regulatory fee structures while employing syntax designed for readability by domain experts? The second addresses formal correctness: what static guarantees can a type system and verification framework provide for multi-currency regulatory calculations? The third focuses on verification: how can completeness and monotonicity properties be statically verified to ensure fee definitions behave correctly? The fourth explores practical feasibility: can a DSL-based approach achieve acceptable performance for production use?</w:t>
      </w:r>
    </w:p>
    <w:p w14:paraId="37A23461" w14:textId="77777777" w:rsidR="00AE42C0" w:rsidRDefault="00000000">
      <w:pPr>
        <w:pStyle w:val="BodyText"/>
      </w:pPr>
      <w:r>
        <w:t>This paper presents IPFLang (Intellectual Property Fees Language), a domain-specific language specification for multi-jurisdiction fee calculations, with five principal contributions:</w:t>
      </w:r>
    </w:p>
    <w:p w14:paraId="64C031DF" w14:textId="77777777" w:rsidR="00AE42C0" w:rsidRDefault="00000000">
      <w:pPr>
        <w:numPr>
          <w:ilvl w:val="0"/>
          <w:numId w:val="3"/>
        </w:numPr>
      </w:pPr>
      <w:r>
        <w:rPr>
          <w:b/>
          <w:bCs/>
        </w:rPr>
        <w:t>Language Specification</w:t>
      </w:r>
      <w:r>
        <w:t xml:space="preserve"> (Section 3): Formal definition of IPFLang syntax using EBNF grammar, with declarative fee computation blocks, explicit input type declarations including a currency-aware AMOUNT type, temporal operators for date-dependent calculations, version management with effective dates, and jurisdiction composition for code reuse.</w:t>
      </w:r>
    </w:p>
    <w:p w14:paraId="3C46208A" w14:textId="77777777" w:rsidR="00AE42C0" w:rsidRDefault="00000000">
      <w:pPr>
        <w:numPr>
          <w:ilvl w:val="0"/>
          <w:numId w:val="3"/>
        </w:numPr>
      </w:pPr>
      <w:r>
        <w:rPr>
          <w:b/>
          <w:bCs/>
        </w:rPr>
        <w:t>Type System and Static Verification</w:t>
      </w:r>
      <w:r>
        <w:t xml:space="preserve"> (Section 4): A currency-aware type system supporting 161 ISO 4217 currencies with formal typing rules that prevent cross-currency arithmetic errors at compile time, along with verification algorithms for completeness and monotonicity with complexity analysis.</w:t>
      </w:r>
    </w:p>
    <w:p w14:paraId="695B1084" w14:textId="77777777" w:rsidR="00AE42C0" w:rsidRDefault="00000000">
      <w:pPr>
        <w:numPr>
          <w:ilvl w:val="0"/>
          <w:numId w:val="3"/>
        </w:numPr>
      </w:pPr>
      <w:r>
        <w:rPr>
          <w:b/>
          <w:bCs/>
        </w:rPr>
        <w:t>Provenance and Auditability</w:t>
      </w:r>
      <w:r>
        <w:t xml:space="preserve"> (Section 5): Execution tracing showing how final amounts derive from input parameters, with counterfactual analysis enabling what-if scenarios for regulatory compliance.</w:t>
      </w:r>
    </w:p>
    <w:p w14:paraId="6595959B" w14:textId="77777777" w:rsidR="00AE42C0" w:rsidRDefault="00000000">
      <w:pPr>
        <w:numPr>
          <w:ilvl w:val="0"/>
          <w:numId w:val="3"/>
        </w:numPr>
      </w:pPr>
      <w:r>
        <w:rPr>
          <w:b/>
          <w:bCs/>
        </w:rPr>
        <w:t>Reference Implementation</w:t>
      </w:r>
      <w:r>
        <w:t xml:space="preserve"> (Section 6): An open-source command-line tool released under GPLv3 demonstrating IPFLang execution with 260 test methods validating type safety and verification correctness.</w:t>
      </w:r>
    </w:p>
    <w:p w14:paraId="36994C9A" w14:textId="77777777" w:rsidR="00AE42C0" w:rsidRDefault="00000000">
      <w:pPr>
        <w:numPr>
          <w:ilvl w:val="0"/>
          <w:numId w:val="3"/>
        </w:numPr>
      </w:pPr>
      <w:r>
        <w:rPr>
          <w:b/>
          <w:bCs/>
        </w:rPr>
        <w:t>Validation</w:t>
      </w:r>
      <w:r>
        <w:t xml:space="preserve"> (Section 7): Expert validation of 118 production jurisdiction files covering PCT national/regional phase entry fees for major patent offices worldwide.</w:t>
      </w:r>
    </w:p>
    <w:p w14:paraId="321C7C00" w14:textId="77777777" w:rsidR="00AE42C0" w:rsidRDefault="00000000">
      <w:pPr>
        <w:pStyle w:val="Heading3"/>
      </w:pPr>
      <w:bookmarkStart w:id="7" w:name="paper-organization"/>
      <w:bookmarkEnd w:id="6"/>
      <w:r>
        <w:t>1.4 Paper Organization</w:t>
      </w:r>
    </w:p>
    <w:p w14:paraId="09CDCD7E" w14:textId="77777777" w:rsidR="00AE42C0" w:rsidRDefault="00000000">
      <w:pPr>
        <w:pStyle w:val="FirstParagraph"/>
      </w:pPr>
      <w:r>
        <w:t>Section 2 surveys related work in IP data standards, legal domain DSLs, and regulatory automation. Section 3 presents the complete IPFLang specification including formal grammar and input type system. Section 4 details the currency-aware type system with formal typing rules and static verification algorithms. Section 5 describes provenance tracking and counterfactual analysis. Section 6 presents the reference implementation architecture. Section 7 provides evaluation including expert validation of production jurisdiction files and threats to validity. Section 8 discusses advantages of DSL-based standardization, cross-domain applicability, and limitations. Section 9 concludes with contributions summary, impact assessment, and future directions.</w:t>
      </w:r>
    </w:p>
    <w:p w14:paraId="3A324F38" w14:textId="77777777" w:rsidR="00AE42C0" w:rsidRDefault="00000000" w:rsidP="00C44736">
      <w:pPr>
        <w:pStyle w:val="Heading1"/>
      </w:pPr>
      <w:bookmarkStart w:id="8" w:name="related-work-and-standards-landscape"/>
      <w:bookmarkEnd w:id="3"/>
      <w:bookmarkEnd w:id="7"/>
      <w:r>
        <w:lastRenderedPageBreak/>
        <w:t>2. Related Work and Standards Landscape</w:t>
      </w:r>
    </w:p>
    <w:p w14:paraId="3715DEE7" w14:textId="77777777" w:rsidR="00AE42C0" w:rsidRDefault="00000000">
      <w:pPr>
        <w:pStyle w:val="Heading3"/>
      </w:pPr>
      <w:bookmarkStart w:id="9" w:name="existing-ip-data-standards"/>
      <w:r>
        <w:t>2.1 Existing IP Data Standards</w:t>
      </w:r>
    </w:p>
    <w:p w14:paraId="5D15094D" w14:textId="77777777" w:rsidR="00AE42C0" w:rsidRDefault="00000000">
      <w:pPr>
        <w:pStyle w:val="FirstParagraph"/>
      </w:pPr>
      <w:r>
        <w:t>The IP technology domain has achieved partial standardization in data exchange but lacks standards for computational tasks like fee calculation.</w:t>
      </w:r>
    </w:p>
    <w:p w14:paraId="0B12B075" w14:textId="77777777" w:rsidR="00AE42C0" w:rsidRDefault="00000000">
      <w:pPr>
        <w:pStyle w:val="BodyText"/>
      </w:pPr>
      <w:r>
        <w:t>WIPO ST.96, commonly known as Patent XML, represents the World Intellectual Property Organization’s standard for patent application data exchange [8]. The standard defines XML schemas covering bibliographic data, descriptions, claims, and drawings, but it explicitly excludes financial calculations from its scope. While the standard provides a foundation for data interoperability, fee calculations fall entirely outside its purview.</w:t>
      </w:r>
    </w:p>
    <w:p w14:paraId="6708380B" w14:textId="77777777" w:rsidR="00AE42C0" w:rsidRDefault="00000000">
      <w:pPr>
        <w:pStyle w:val="BodyText"/>
      </w:pPr>
      <w:r>
        <w:t>The European Patent Office provides Open Patent Services (OPS), which offers RESTful APIs for patent search and retrieval [9]. OPS provides family information, legal status, and bibliographic data, but omits fee calculation endpoints entirely. The existence of OPS demonstrates that patent offices can successfully deploy programmatic interfaces, suggesting that fee calculation APIs are technically feasible but simply have not been prioritized.</w:t>
      </w:r>
    </w:p>
    <w:p w14:paraId="415AD909" w14:textId="77777777" w:rsidR="00AE42C0" w:rsidRDefault="00000000">
      <w:pPr>
        <w:pStyle w:val="BodyText"/>
      </w:pPr>
      <w:r>
        <w:t>The gap becomes clear upon examination: IP data standards focus on informational exchange such as bibliographic data, legal status, and full-text search, while omitting computational tasks entirely. Fee calculation remains manual, preventing end-to-end workflow automation.</w:t>
      </w:r>
    </w:p>
    <w:p w14:paraId="5544FC58" w14:textId="77777777" w:rsidR="00AE42C0" w:rsidRDefault="00000000">
      <w:pPr>
        <w:pStyle w:val="Heading3"/>
      </w:pPr>
      <w:bookmarkStart w:id="10" w:name="X738f784980d4a29760e47e790d6c25ae91fb2d9"/>
      <w:bookmarkEnd w:id="9"/>
      <w:r>
        <w:t>2.2 Domain-Specific Languages for Legal Domains</w:t>
      </w:r>
    </w:p>
    <w:p w14:paraId="5291A026" w14:textId="77777777" w:rsidR="00AE42C0" w:rsidRDefault="00000000">
      <w:pPr>
        <w:pStyle w:val="FirstParagraph"/>
      </w:pPr>
      <w:r>
        <w:t>Academic research in computational law has produced several DSLs for legal rules, yet none address regulatory fee calculations with multi-currency and multi-jurisdiction requirements.</w:t>
      </w:r>
    </w:p>
    <w:p w14:paraId="37B9A606" w14:textId="77777777" w:rsidR="00AE42C0" w:rsidRDefault="00000000">
      <w:pPr>
        <w:pStyle w:val="BodyText"/>
      </w:pPr>
      <w:r>
        <w:t>LegalRuleML, developed by Athan et al. [6], provides an XML-based specification language for legal rules with ontology-based reasoning. The language excels at representing deontic logic covering obligations, permissions, and prohibitions, and supports defeasibility for handling rule precedence. However, LegalRuleML emphasizes binary compliance checking (compliant or non-compliant) with minimal arithmetic support. Complex fee formulas involving thresholds, progressions, and conditional multipliers exceed the language’s design scope. The XML syntax also presents accessibility challenges for legal professionals without technical training.</w:t>
      </w:r>
    </w:p>
    <w:p w14:paraId="68231450" w14:textId="77777777" w:rsidR="00AE42C0" w:rsidRDefault="00000000">
      <w:pPr>
        <w:pStyle w:val="BodyText"/>
      </w:pPr>
      <w:r>
        <w:t xml:space="preserve">Catala, created by Merigoux et al. [7], represents a programming language specifically designed for tax law computation. The language demonstrates sophisticated financial calculations with formal verification guarantees through dependent type theory. However, Catala targets single-jurisdiction applications, primarily the French tax code, and requires formal methods expertise that limits adoption by legal practitioners. IPFLang and Catala represent complementary approaches: Catala employs dependent types for exhaustive case coverage targeting formal verification experts, while IPFLang prioritizes comprehensibility through keyword-based syntax (EQ, GT, AND rather than symbols) and domain-specific primitives (currency literals, temporal operators) </w:t>
      </w:r>
      <w:r>
        <w:lastRenderedPageBreak/>
        <w:t>designed for IP practitioners to read and modify directly. While Catala’s dependent types provide stronger theoretical guarantees, IPFLang’s simpler type system (currency-parameterized amounts without dependent types) suffices for IP fee calculations where amounts are always non-negative and conditions are finite Boolean combinations.</w:t>
      </w:r>
    </w:p>
    <w:p w14:paraId="24CF1CA0" w14:textId="77777777" w:rsidR="00AE42C0" w:rsidRDefault="00000000">
      <w:pPr>
        <w:pStyle w:val="BodyText"/>
      </w:pPr>
      <w:r>
        <w:t>Contract-oriented DSLs [10] focus on party obligations, temporal constraints, and conditional execution semantics. Monetary aspects receive minimal treatment, with basic arithmetic operations but lacking multi-currency precision, exchange rate management, and historical rate tracking required for cross-border IP portfolios.</w:t>
      </w:r>
    </w:p>
    <w:p w14:paraId="3889FE9E" w14:textId="77777777" w:rsidR="00AE42C0" w:rsidRDefault="00000000">
      <w:pPr>
        <w:pStyle w:val="BodyText"/>
      </w:pPr>
      <w:r>
        <w:t>The concept of encoding units in type systems originates with Kennedy’s dimensional types [11], which prevent unit mismatch errors in scientific computing. IPFLang applies similar principles to currency, extending the concept with explicit conversion operators and polymorphic type variables for generic fee definitions. Recent work on graded modal types [20] demonstrates how type systems can track quantitative resource usage, providing theoretical foundations for systems that reason about resource consumption—a concept related to IPFLang’s tracking of monetary values across fee computations.</w:t>
      </w:r>
    </w:p>
    <w:p w14:paraId="20F9BABB" w14:textId="77777777" w:rsidR="00AE42C0" w:rsidRDefault="00000000">
      <w:pPr>
        <w:pStyle w:val="BodyText"/>
      </w:pPr>
      <w:r>
        <w:t>OpenFisca [12] provides a Python-based platform for tax-benefit microsimulation, used by governments including France and New Zealand. While powerful, OpenFisca requires Python programming expertise and targets general fiscal policy rather than the specific requirements of IP fee calculation.</w:t>
      </w:r>
    </w:p>
    <w:p w14:paraId="277D6EC7" w14:textId="77777777" w:rsidR="00AE42C0" w:rsidRDefault="00000000">
      <w:pPr>
        <w:pStyle w:val="BodyText"/>
      </w:pPr>
      <w:r>
        <w:t>Existing legal DSLs address contract execution, compliance checking, or single-jurisdiction calculations, but none provide the combination of arithmetic expressiveness for complex fee formulas, multi-currency support with type safety, static verification of completeness and monotonicity, and multi-jurisdiction portability that IP fee calculation demands.</w:t>
      </w:r>
    </w:p>
    <w:p w14:paraId="120F8FC7" w14:textId="77777777" w:rsidR="00AE42C0" w:rsidRDefault="00000000">
      <w:pPr>
        <w:pStyle w:val="Heading3"/>
      </w:pPr>
      <w:bookmarkStart w:id="11" w:name="regulatory-automation-and-rules-engines"/>
      <w:bookmarkEnd w:id="10"/>
      <w:r>
        <w:t>2.3 Regulatory Automation and Rules Engines</w:t>
      </w:r>
    </w:p>
    <w:p w14:paraId="7A0B83B4" w14:textId="77777777" w:rsidR="00AE42C0" w:rsidRDefault="00000000">
      <w:pPr>
        <w:pStyle w:val="FirstParagraph"/>
      </w:pPr>
      <w:r>
        <w:t>Automated compliance checking represents a related domain where technology assists regulatory interpretation.</w:t>
      </w:r>
    </w:p>
    <w:p w14:paraId="26C89C5C" w14:textId="77777777" w:rsidR="00AE42C0" w:rsidRDefault="00000000">
      <w:pPr>
        <w:pStyle w:val="BodyText"/>
      </w:pPr>
      <w:r>
        <w:t>Business Rules Management Systems such as Drools [13] provide general-purpose rules engines using production rules with Rete algorithm inference. These systems require substantial technical expertise, lack domain-specific abstractions for legal concepts, and impose expensive enterprise licensing. While powerful, BRMS platforms are fundamentally over-engineered for deterministic fee calculations.</w:t>
      </w:r>
    </w:p>
    <w:p w14:paraId="79233495" w14:textId="77777777" w:rsidR="00AE42C0" w:rsidRDefault="00000000">
      <w:pPr>
        <w:pStyle w:val="BodyText"/>
      </w:pPr>
      <w:r>
        <w:t xml:space="preserve">Some governments have begun pursuing rules-as-code initiatives that encode regulations in executable formats [14, 15]. New Zealand’s “Better Rules” program and similar initiatives in Australia and France explore machine-consumable legislation. The OECD has documented the international scope of these efforts, providing frameworks for encoding rules in machine-readable formats that emphasize transparency and regulatory automation [21]. More recent policy analysis explores how rules-as-code approaches can enable more efficient global economic governance, including applications to international trade regulations and intellectual property [22]. These </w:t>
      </w:r>
      <w:r>
        <w:lastRenderedPageBreak/>
        <w:t>initiatives typically use general-purpose languages rather than domain-specific languages, limiting accessibility to legal experts who must rely on programmers for implementation.</w:t>
      </w:r>
    </w:p>
    <w:p w14:paraId="56A53D0D" w14:textId="77777777" w:rsidR="00AE42C0" w:rsidRDefault="00000000">
      <w:pPr>
        <w:pStyle w:val="BodyText"/>
      </w:pPr>
      <w:r>
        <w:t>Table 1 provides a systematic comparison of IPFLang with related approaches.</w:t>
      </w:r>
    </w:p>
    <w:tbl>
      <w:tblPr>
        <w:tblStyle w:val="ListTable3"/>
        <w:tblW w:w="5000" w:type="pct"/>
        <w:tblLayout w:type="fixed"/>
        <w:tblLook w:val="0020" w:firstRow="1" w:lastRow="0" w:firstColumn="0" w:lastColumn="0" w:noHBand="0" w:noVBand="0"/>
      </w:tblPr>
      <w:tblGrid>
        <w:gridCol w:w="1540"/>
        <w:gridCol w:w="1540"/>
        <w:gridCol w:w="1541"/>
        <w:gridCol w:w="1540"/>
        <w:gridCol w:w="1540"/>
        <w:gridCol w:w="1541"/>
      </w:tblGrid>
      <w:tr w:rsidR="00AE42C0" w:rsidRPr="00D81084" w14:paraId="286515D8" w14:textId="77777777" w:rsidTr="00D8108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1C23FE8E" w14:textId="77777777" w:rsidR="00AE42C0" w:rsidRPr="00D81084" w:rsidRDefault="00000000">
            <w:pPr>
              <w:pStyle w:val="Compact"/>
              <w:rPr>
                <w:sz w:val="18"/>
                <w:szCs w:val="18"/>
              </w:rPr>
            </w:pPr>
            <w:r w:rsidRPr="00D81084">
              <w:rPr>
                <w:sz w:val="18"/>
                <w:szCs w:val="18"/>
              </w:rPr>
              <w:t>Feature</w:t>
            </w:r>
          </w:p>
        </w:tc>
        <w:tc>
          <w:tcPr>
            <w:tcW w:w="1540" w:type="dxa"/>
          </w:tcPr>
          <w:p w14:paraId="2BE95777" w14:textId="77777777" w:rsidR="00AE42C0" w:rsidRPr="00D81084" w:rsidRDefault="00000000">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D81084">
              <w:rPr>
                <w:sz w:val="18"/>
                <w:szCs w:val="18"/>
              </w:rPr>
              <w:t>IPFLang</w:t>
            </w:r>
          </w:p>
        </w:tc>
        <w:tc>
          <w:tcPr>
            <w:cnfStyle w:val="000010000000" w:firstRow="0" w:lastRow="0" w:firstColumn="0" w:lastColumn="0" w:oddVBand="1" w:evenVBand="0" w:oddHBand="0" w:evenHBand="0" w:firstRowFirstColumn="0" w:firstRowLastColumn="0" w:lastRowFirstColumn="0" w:lastRowLastColumn="0"/>
            <w:tcW w:w="1541" w:type="dxa"/>
          </w:tcPr>
          <w:p w14:paraId="31CD4DD1" w14:textId="77777777" w:rsidR="00AE42C0" w:rsidRPr="00D81084" w:rsidRDefault="00000000">
            <w:pPr>
              <w:pStyle w:val="Compact"/>
              <w:rPr>
                <w:sz w:val="18"/>
                <w:szCs w:val="18"/>
              </w:rPr>
            </w:pPr>
            <w:r w:rsidRPr="00D81084">
              <w:rPr>
                <w:sz w:val="18"/>
                <w:szCs w:val="18"/>
              </w:rPr>
              <w:t>Catala</w:t>
            </w:r>
          </w:p>
        </w:tc>
        <w:tc>
          <w:tcPr>
            <w:tcW w:w="1540" w:type="dxa"/>
          </w:tcPr>
          <w:p w14:paraId="2C2F1FBF" w14:textId="77777777" w:rsidR="00AE42C0" w:rsidRPr="00D81084" w:rsidRDefault="00000000">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D81084">
              <w:rPr>
                <w:sz w:val="18"/>
                <w:szCs w:val="18"/>
              </w:rPr>
              <w:t>LegalRuleML</w:t>
            </w:r>
          </w:p>
        </w:tc>
        <w:tc>
          <w:tcPr>
            <w:cnfStyle w:val="000010000000" w:firstRow="0" w:lastRow="0" w:firstColumn="0" w:lastColumn="0" w:oddVBand="1" w:evenVBand="0" w:oddHBand="0" w:evenHBand="0" w:firstRowFirstColumn="0" w:firstRowLastColumn="0" w:lastRowFirstColumn="0" w:lastRowLastColumn="0"/>
            <w:tcW w:w="1540" w:type="dxa"/>
          </w:tcPr>
          <w:p w14:paraId="26E1AD8B" w14:textId="77777777" w:rsidR="00AE42C0" w:rsidRPr="00D81084" w:rsidRDefault="00000000">
            <w:pPr>
              <w:pStyle w:val="Compact"/>
              <w:rPr>
                <w:sz w:val="18"/>
                <w:szCs w:val="18"/>
              </w:rPr>
            </w:pPr>
            <w:r w:rsidRPr="00D81084">
              <w:rPr>
                <w:sz w:val="18"/>
                <w:szCs w:val="18"/>
              </w:rPr>
              <w:t>Drools</w:t>
            </w:r>
          </w:p>
        </w:tc>
        <w:tc>
          <w:tcPr>
            <w:tcW w:w="1541" w:type="dxa"/>
          </w:tcPr>
          <w:p w14:paraId="3ACB6817" w14:textId="77777777" w:rsidR="00AE42C0" w:rsidRPr="00D81084" w:rsidRDefault="00000000">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D81084">
              <w:rPr>
                <w:sz w:val="18"/>
                <w:szCs w:val="18"/>
              </w:rPr>
              <w:t>OpenFisca</w:t>
            </w:r>
          </w:p>
        </w:tc>
      </w:tr>
      <w:tr w:rsidR="00AE42C0" w:rsidRPr="00D81084" w14:paraId="69CF1FD0"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4903D0FE" w14:textId="77777777" w:rsidR="00AE42C0" w:rsidRPr="00D81084" w:rsidRDefault="00000000">
            <w:pPr>
              <w:pStyle w:val="Compact"/>
              <w:rPr>
                <w:sz w:val="18"/>
                <w:szCs w:val="18"/>
              </w:rPr>
            </w:pPr>
            <w:r w:rsidRPr="00D81084">
              <w:rPr>
                <w:sz w:val="18"/>
                <w:szCs w:val="18"/>
              </w:rPr>
              <w:t>Primary Domain</w:t>
            </w:r>
          </w:p>
        </w:tc>
        <w:tc>
          <w:tcPr>
            <w:tcW w:w="1540" w:type="dxa"/>
          </w:tcPr>
          <w:p w14:paraId="32756BBA"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IP fees</w:t>
            </w:r>
          </w:p>
        </w:tc>
        <w:tc>
          <w:tcPr>
            <w:cnfStyle w:val="000010000000" w:firstRow="0" w:lastRow="0" w:firstColumn="0" w:lastColumn="0" w:oddVBand="1" w:evenVBand="0" w:oddHBand="0" w:evenHBand="0" w:firstRowFirstColumn="0" w:firstRowLastColumn="0" w:lastRowFirstColumn="0" w:lastRowLastColumn="0"/>
            <w:tcW w:w="1541" w:type="dxa"/>
          </w:tcPr>
          <w:p w14:paraId="5DB29509" w14:textId="77777777" w:rsidR="00AE42C0" w:rsidRPr="00D81084" w:rsidRDefault="00000000">
            <w:pPr>
              <w:pStyle w:val="Compact"/>
              <w:rPr>
                <w:sz w:val="18"/>
                <w:szCs w:val="18"/>
              </w:rPr>
            </w:pPr>
            <w:r w:rsidRPr="00D81084">
              <w:rPr>
                <w:sz w:val="18"/>
                <w:szCs w:val="18"/>
              </w:rPr>
              <w:t>Tax law</w:t>
            </w:r>
          </w:p>
        </w:tc>
        <w:tc>
          <w:tcPr>
            <w:tcW w:w="1540" w:type="dxa"/>
          </w:tcPr>
          <w:p w14:paraId="270C6BA3"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Compliance</w:t>
            </w:r>
          </w:p>
        </w:tc>
        <w:tc>
          <w:tcPr>
            <w:cnfStyle w:val="000010000000" w:firstRow="0" w:lastRow="0" w:firstColumn="0" w:lastColumn="0" w:oddVBand="1" w:evenVBand="0" w:oddHBand="0" w:evenHBand="0" w:firstRowFirstColumn="0" w:firstRowLastColumn="0" w:lastRowFirstColumn="0" w:lastRowLastColumn="0"/>
            <w:tcW w:w="1540" w:type="dxa"/>
          </w:tcPr>
          <w:p w14:paraId="228A1F3D" w14:textId="77777777" w:rsidR="00AE42C0" w:rsidRPr="00D81084" w:rsidRDefault="00000000">
            <w:pPr>
              <w:pStyle w:val="Compact"/>
              <w:rPr>
                <w:sz w:val="18"/>
                <w:szCs w:val="18"/>
              </w:rPr>
            </w:pPr>
            <w:r w:rsidRPr="00D81084">
              <w:rPr>
                <w:sz w:val="18"/>
                <w:szCs w:val="18"/>
              </w:rPr>
              <w:t>General</w:t>
            </w:r>
          </w:p>
        </w:tc>
        <w:tc>
          <w:tcPr>
            <w:tcW w:w="1541" w:type="dxa"/>
          </w:tcPr>
          <w:p w14:paraId="27DD2487"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Tax-benefit</w:t>
            </w:r>
          </w:p>
        </w:tc>
      </w:tr>
      <w:tr w:rsidR="00AE42C0" w:rsidRPr="00D81084" w14:paraId="7AB33DE6"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4A04676C" w14:textId="77777777" w:rsidR="00AE42C0" w:rsidRPr="00D81084" w:rsidRDefault="00000000">
            <w:pPr>
              <w:pStyle w:val="Compact"/>
              <w:rPr>
                <w:sz w:val="18"/>
                <w:szCs w:val="18"/>
              </w:rPr>
            </w:pPr>
            <w:r w:rsidRPr="00D81084">
              <w:rPr>
                <w:sz w:val="18"/>
                <w:szCs w:val="18"/>
              </w:rPr>
              <w:t>Type Safety</w:t>
            </w:r>
          </w:p>
        </w:tc>
        <w:tc>
          <w:tcPr>
            <w:tcW w:w="1540" w:type="dxa"/>
          </w:tcPr>
          <w:p w14:paraId="2600738D"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Currency-aware</w:t>
            </w:r>
          </w:p>
        </w:tc>
        <w:tc>
          <w:tcPr>
            <w:cnfStyle w:val="000010000000" w:firstRow="0" w:lastRow="0" w:firstColumn="0" w:lastColumn="0" w:oddVBand="1" w:evenVBand="0" w:oddHBand="0" w:evenHBand="0" w:firstRowFirstColumn="0" w:firstRowLastColumn="0" w:lastRowFirstColumn="0" w:lastRowLastColumn="0"/>
            <w:tcW w:w="1541" w:type="dxa"/>
          </w:tcPr>
          <w:p w14:paraId="7A5DAF7A" w14:textId="77777777" w:rsidR="00AE42C0" w:rsidRPr="00D81084" w:rsidRDefault="00000000">
            <w:pPr>
              <w:pStyle w:val="Compact"/>
              <w:rPr>
                <w:sz w:val="18"/>
                <w:szCs w:val="18"/>
              </w:rPr>
            </w:pPr>
            <w:r w:rsidRPr="00D81084">
              <w:rPr>
                <w:sz w:val="18"/>
                <w:szCs w:val="18"/>
              </w:rPr>
              <w:t>Dependent types</w:t>
            </w:r>
          </w:p>
        </w:tc>
        <w:tc>
          <w:tcPr>
            <w:tcW w:w="1540" w:type="dxa"/>
          </w:tcPr>
          <w:p w14:paraId="7721D18E"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None</w:t>
            </w:r>
          </w:p>
        </w:tc>
        <w:tc>
          <w:tcPr>
            <w:cnfStyle w:val="000010000000" w:firstRow="0" w:lastRow="0" w:firstColumn="0" w:lastColumn="0" w:oddVBand="1" w:evenVBand="0" w:oddHBand="0" w:evenHBand="0" w:firstRowFirstColumn="0" w:firstRowLastColumn="0" w:lastRowFirstColumn="0" w:lastRowLastColumn="0"/>
            <w:tcW w:w="1540" w:type="dxa"/>
          </w:tcPr>
          <w:p w14:paraId="677126B3" w14:textId="77777777" w:rsidR="00AE42C0" w:rsidRPr="00D81084" w:rsidRDefault="00000000">
            <w:pPr>
              <w:pStyle w:val="Compact"/>
              <w:rPr>
                <w:sz w:val="18"/>
                <w:szCs w:val="18"/>
              </w:rPr>
            </w:pPr>
            <w:r w:rsidRPr="00D81084">
              <w:rPr>
                <w:sz w:val="18"/>
                <w:szCs w:val="18"/>
              </w:rPr>
              <w:t>None</w:t>
            </w:r>
          </w:p>
        </w:tc>
        <w:tc>
          <w:tcPr>
            <w:tcW w:w="1541" w:type="dxa"/>
          </w:tcPr>
          <w:p w14:paraId="7AE69371"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Runtime</w:t>
            </w:r>
          </w:p>
        </w:tc>
      </w:tr>
      <w:tr w:rsidR="00AE42C0" w:rsidRPr="00D81084" w14:paraId="3F6D8B05"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495A9777" w14:textId="77777777" w:rsidR="00AE42C0" w:rsidRPr="00D81084" w:rsidRDefault="00000000">
            <w:pPr>
              <w:pStyle w:val="Compact"/>
              <w:rPr>
                <w:sz w:val="18"/>
                <w:szCs w:val="18"/>
              </w:rPr>
            </w:pPr>
            <w:r w:rsidRPr="00D81084">
              <w:rPr>
                <w:sz w:val="18"/>
                <w:szCs w:val="18"/>
              </w:rPr>
              <w:t>Multi-currency</w:t>
            </w:r>
          </w:p>
        </w:tc>
        <w:tc>
          <w:tcPr>
            <w:tcW w:w="1540" w:type="dxa"/>
          </w:tcPr>
          <w:p w14:paraId="33719443" w14:textId="6C99DC92"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 xml:space="preserve">Built-in </w:t>
            </w:r>
          </w:p>
        </w:tc>
        <w:tc>
          <w:tcPr>
            <w:cnfStyle w:val="000010000000" w:firstRow="0" w:lastRow="0" w:firstColumn="0" w:lastColumn="0" w:oddVBand="1" w:evenVBand="0" w:oddHBand="0" w:evenHBand="0" w:firstRowFirstColumn="0" w:firstRowLastColumn="0" w:lastRowFirstColumn="0" w:lastRowLastColumn="0"/>
            <w:tcW w:w="1541" w:type="dxa"/>
          </w:tcPr>
          <w:p w14:paraId="275194A0" w14:textId="77777777" w:rsidR="00AE42C0" w:rsidRPr="00D81084" w:rsidRDefault="00000000">
            <w:pPr>
              <w:pStyle w:val="Compact"/>
              <w:rPr>
                <w:sz w:val="18"/>
                <w:szCs w:val="18"/>
              </w:rPr>
            </w:pPr>
            <w:r w:rsidRPr="00D81084">
              <w:rPr>
                <w:sz w:val="18"/>
                <w:szCs w:val="18"/>
              </w:rPr>
              <w:t>User-definable</w:t>
            </w:r>
          </w:p>
        </w:tc>
        <w:tc>
          <w:tcPr>
            <w:tcW w:w="1540" w:type="dxa"/>
          </w:tcPr>
          <w:p w14:paraId="7FBF8022"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c>
          <w:tcPr>
            <w:cnfStyle w:val="000010000000" w:firstRow="0" w:lastRow="0" w:firstColumn="0" w:lastColumn="0" w:oddVBand="1" w:evenVBand="0" w:oddHBand="0" w:evenHBand="0" w:firstRowFirstColumn="0" w:firstRowLastColumn="0" w:lastRowFirstColumn="0" w:lastRowLastColumn="0"/>
            <w:tcW w:w="1540" w:type="dxa"/>
          </w:tcPr>
          <w:p w14:paraId="70A39986" w14:textId="77777777" w:rsidR="00AE42C0" w:rsidRPr="00D81084" w:rsidRDefault="00000000">
            <w:pPr>
              <w:pStyle w:val="Compact"/>
              <w:rPr>
                <w:sz w:val="18"/>
                <w:szCs w:val="18"/>
              </w:rPr>
            </w:pPr>
            <w:r w:rsidRPr="00D81084">
              <w:rPr>
                <w:sz w:val="18"/>
                <w:szCs w:val="18"/>
              </w:rPr>
              <w:t>No</w:t>
            </w:r>
          </w:p>
        </w:tc>
        <w:tc>
          <w:tcPr>
            <w:tcW w:w="1541" w:type="dxa"/>
          </w:tcPr>
          <w:p w14:paraId="4F45AF93"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Limited</w:t>
            </w:r>
          </w:p>
        </w:tc>
      </w:tr>
      <w:tr w:rsidR="00AE42C0" w:rsidRPr="00D81084" w14:paraId="0467311F"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687B18E1" w14:textId="77777777" w:rsidR="00AE42C0" w:rsidRPr="00D81084" w:rsidRDefault="00000000">
            <w:pPr>
              <w:pStyle w:val="Compact"/>
              <w:rPr>
                <w:sz w:val="18"/>
                <w:szCs w:val="18"/>
              </w:rPr>
            </w:pPr>
            <w:r w:rsidRPr="00D81084">
              <w:rPr>
                <w:sz w:val="18"/>
                <w:szCs w:val="18"/>
              </w:rPr>
              <w:t>Static Verification</w:t>
            </w:r>
          </w:p>
        </w:tc>
        <w:tc>
          <w:tcPr>
            <w:tcW w:w="1540" w:type="dxa"/>
          </w:tcPr>
          <w:p w14:paraId="55765650"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Completeness, Monotonicity</w:t>
            </w:r>
          </w:p>
        </w:tc>
        <w:tc>
          <w:tcPr>
            <w:cnfStyle w:val="000010000000" w:firstRow="0" w:lastRow="0" w:firstColumn="0" w:lastColumn="0" w:oddVBand="1" w:evenVBand="0" w:oddHBand="0" w:evenHBand="0" w:firstRowFirstColumn="0" w:firstRowLastColumn="0" w:lastRowFirstColumn="0" w:lastRowLastColumn="0"/>
            <w:tcW w:w="1541" w:type="dxa"/>
          </w:tcPr>
          <w:p w14:paraId="37DA2E74" w14:textId="77777777" w:rsidR="00AE42C0" w:rsidRPr="00D81084" w:rsidRDefault="00000000">
            <w:pPr>
              <w:pStyle w:val="Compact"/>
              <w:rPr>
                <w:sz w:val="18"/>
                <w:szCs w:val="18"/>
              </w:rPr>
            </w:pPr>
            <w:r w:rsidRPr="00D81084">
              <w:rPr>
                <w:sz w:val="18"/>
                <w:szCs w:val="18"/>
              </w:rPr>
              <w:t>Exhaustiveness</w:t>
            </w:r>
          </w:p>
        </w:tc>
        <w:tc>
          <w:tcPr>
            <w:tcW w:w="1540" w:type="dxa"/>
          </w:tcPr>
          <w:p w14:paraId="4834E77D"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Defeasibility</w:t>
            </w:r>
          </w:p>
        </w:tc>
        <w:tc>
          <w:tcPr>
            <w:cnfStyle w:val="000010000000" w:firstRow="0" w:lastRow="0" w:firstColumn="0" w:lastColumn="0" w:oddVBand="1" w:evenVBand="0" w:oddHBand="0" w:evenHBand="0" w:firstRowFirstColumn="0" w:firstRowLastColumn="0" w:lastRowFirstColumn="0" w:lastRowLastColumn="0"/>
            <w:tcW w:w="1540" w:type="dxa"/>
          </w:tcPr>
          <w:p w14:paraId="30A18DF6" w14:textId="77777777" w:rsidR="00AE42C0" w:rsidRPr="00D81084" w:rsidRDefault="00000000">
            <w:pPr>
              <w:pStyle w:val="Compact"/>
              <w:rPr>
                <w:sz w:val="18"/>
                <w:szCs w:val="18"/>
              </w:rPr>
            </w:pPr>
            <w:r w:rsidRPr="00D81084">
              <w:rPr>
                <w:sz w:val="18"/>
                <w:szCs w:val="18"/>
              </w:rPr>
              <w:t>None</w:t>
            </w:r>
          </w:p>
        </w:tc>
        <w:tc>
          <w:tcPr>
            <w:tcW w:w="1541" w:type="dxa"/>
          </w:tcPr>
          <w:p w14:paraId="40CFF141"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None</w:t>
            </w:r>
          </w:p>
        </w:tc>
      </w:tr>
      <w:tr w:rsidR="00AE42C0" w:rsidRPr="00D81084" w14:paraId="65FF1EED"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05D411F6" w14:textId="77777777" w:rsidR="00AE42C0" w:rsidRPr="00D81084" w:rsidRDefault="00000000">
            <w:pPr>
              <w:pStyle w:val="Compact"/>
              <w:rPr>
                <w:sz w:val="18"/>
                <w:szCs w:val="18"/>
              </w:rPr>
            </w:pPr>
            <w:r w:rsidRPr="00D81084">
              <w:rPr>
                <w:sz w:val="18"/>
                <w:szCs w:val="18"/>
              </w:rPr>
              <w:t>Syntax Style</w:t>
            </w:r>
          </w:p>
        </w:tc>
        <w:tc>
          <w:tcPr>
            <w:tcW w:w="1540" w:type="dxa"/>
          </w:tcPr>
          <w:p w14:paraId="33C1B77A"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Declarative keywords</w:t>
            </w:r>
          </w:p>
        </w:tc>
        <w:tc>
          <w:tcPr>
            <w:cnfStyle w:val="000010000000" w:firstRow="0" w:lastRow="0" w:firstColumn="0" w:lastColumn="0" w:oddVBand="1" w:evenVBand="0" w:oddHBand="0" w:evenHBand="0" w:firstRowFirstColumn="0" w:firstRowLastColumn="0" w:lastRowFirstColumn="0" w:lastRowLastColumn="0"/>
            <w:tcW w:w="1541" w:type="dxa"/>
          </w:tcPr>
          <w:p w14:paraId="29A88423" w14:textId="77777777" w:rsidR="00AE42C0" w:rsidRPr="00D81084" w:rsidRDefault="00000000">
            <w:pPr>
              <w:pStyle w:val="Compact"/>
              <w:rPr>
                <w:sz w:val="18"/>
                <w:szCs w:val="18"/>
              </w:rPr>
            </w:pPr>
            <w:r w:rsidRPr="00D81084">
              <w:rPr>
                <w:sz w:val="18"/>
                <w:szCs w:val="18"/>
              </w:rPr>
              <w:t>Literate</w:t>
            </w:r>
          </w:p>
        </w:tc>
        <w:tc>
          <w:tcPr>
            <w:tcW w:w="1540" w:type="dxa"/>
          </w:tcPr>
          <w:p w14:paraId="40E1EAC3"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XML</w:t>
            </w:r>
          </w:p>
        </w:tc>
        <w:tc>
          <w:tcPr>
            <w:cnfStyle w:val="000010000000" w:firstRow="0" w:lastRow="0" w:firstColumn="0" w:lastColumn="0" w:oddVBand="1" w:evenVBand="0" w:oddHBand="0" w:evenHBand="0" w:firstRowFirstColumn="0" w:firstRowLastColumn="0" w:lastRowFirstColumn="0" w:lastRowLastColumn="0"/>
            <w:tcW w:w="1540" w:type="dxa"/>
          </w:tcPr>
          <w:p w14:paraId="35F80F96" w14:textId="77777777" w:rsidR="00AE42C0" w:rsidRPr="00D81084" w:rsidRDefault="00000000">
            <w:pPr>
              <w:pStyle w:val="Compact"/>
              <w:rPr>
                <w:sz w:val="18"/>
                <w:szCs w:val="18"/>
              </w:rPr>
            </w:pPr>
            <w:r w:rsidRPr="00D81084">
              <w:rPr>
                <w:sz w:val="18"/>
                <w:szCs w:val="18"/>
              </w:rPr>
              <w:t>Drools DRL</w:t>
            </w:r>
          </w:p>
        </w:tc>
        <w:tc>
          <w:tcPr>
            <w:tcW w:w="1541" w:type="dxa"/>
          </w:tcPr>
          <w:p w14:paraId="087AB1AE"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Python</w:t>
            </w:r>
          </w:p>
        </w:tc>
      </w:tr>
      <w:tr w:rsidR="00AE42C0" w:rsidRPr="00D81084" w14:paraId="78B80DB6"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07524537" w14:textId="77777777" w:rsidR="00AE42C0" w:rsidRPr="00D81084" w:rsidRDefault="00000000">
            <w:pPr>
              <w:pStyle w:val="Compact"/>
              <w:rPr>
                <w:sz w:val="18"/>
                <w:szCs w:val="18"/>
              </w:rPr>
            </w:pPr>
            <w:r w:rsidRPr="00D81084">
              <w:rPr>
                <w:sz w:val="18"/>
                <w:szCs w:val="18"/>
              </w:rPr>
              <w:t>Target User</w:t>
            </w:r>
          </w:p>
        </w:tc>
        <w:tc>
          <w:tcPr>
            <w:tcW w:w="1540" w:type="dxa"/>
          </w:tcPr>
          <w:p w14:paraId="7A35FDA8"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Domain experts</w:t>
            </w:r>
          </w:p>
        </w:tc>
        <w:tc>
          <w:tcPr>
            <w:cnfStyle w:val="000010000000" w:firstRow="0" w:lastRow="0" w:firstColumn="0" w:lastColumn="0" w:oddVBand="1" w:evenVBand="0" w:oddHBand="0" w:evenHBand="0" w:firstRowFirstColumn="0" w:firstRowLastColumn="0" w:lastRowFirstColumn="0" w:lastRowLastColumn="0"/>
            <w:tcW w:w="1541" w:type="dxa"/>
          </w:tcPr>
          <w:p w14:paraId="04511C75" w14:textId="77777777" w:rsidR="00AE42C0" w:rsidRPr="00D81084" w:rsidRDefault="00000000">
            <w:pPr>
              <w:pStyle w:val="Compact"/>
              <w:rPr>
                <w:sz w:val="18"/>
                <w:szCs w:val="18"/>
              </w:rPr>
            </w:pPr>
            <w:r w:rsidRPr="00D81084">
              <w:rPr>
                <w:sz w:val="18"/>
                <w:szCs w:val="18"/>
              </w:rPr>
              <w:t>Formal methods experts</w:t>
            </w:r>
          </w:p>
        </w:tc>
        <w:tc>
          <w:tcPr>
            <w:tcW w:w="1540" w:type="dxa"/>
          </w:tcPr>
          <w:p w14:paraId="36BD62E3"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Ontology engineers</w:t>
            </w:r>
          </w:p>
        </w:tc>
        <w:tc>
          <w:tcPr>
            <w:cnfStyle w:val="000010000000" w:firstRow="0" w:lastRow="0" w:firstColumn="0" w:lastColumn="0" w:oddVBand="1" w:evenVBand="0" w:oddHBand="0" w:evenHBand="0" w:firstRowFirstColumn="0" w:firstRowLastColumn="0" w:lastRowFirstColumn="0" w:lastRowLastColumn="0"/>
            <w:tcW w:w="1540" w:type="dxa"/>
          </w:tcPr>
          <w:p w14:paraId="1A8762A7" w14:textId="77777777" w:rsidR="00AE42C0" w:rsidRPr="00D81084" w:rsidRDefault="00000000">
            <w:pPr>
              <w:pStyle w:val="Compact"/>
              <w:rPr>
                <w:sz w:val="18"/>
                <w:szCs w:val="18"/>
              </w:rPr>
            </w:pPr>
            <w:r w:rsidRPr="00D81084">
              <w:rPr>
                <w:sz w:val="18"/>
                <w:szCs w:val="18"/>
              </w:rPr>
              <w:t>Developers</w:t>
            </w:r>
          </w:p>
        </w:tc>
        <w:tc>
          <w:tcPr>
            <w:tcW w:w="1541" w:type="dxa"/>
          </w:tcPr>
          <w:p w14:paraId="56E05F62"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Developers</w:t>
            </w:r>
          </w:p>
        </w:tc>
      </w:tr>
      <w:tr w:rsidR="00AE42C0" w:rsidRPr="00D81084" w14:paraId="22D0D047"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47F2FA86" w14:textId="77777777" w:rsidR="00AE42C0" w:rsidRPr="00D81084" w:rsidRDefault="00000000">
            <w:pPr>
              <w:pStyle w:val="Compact"/>
              <w:rPr>
                <w:sz w:val="18"/>
                <w:szCs w:val="18"/>
              </w:rPr>
            </w:pPr>
            <w:r w:rsidRPr="00D81084">
              <w:rPr>
                <w:sz w:val="18"/>
                <w:szCs w:val="18"/>
              </w:rPr>
              <w:t>Multi-jurisdiction</w:t>
            </w:r>
          </w:p>
        </w:tc>
        <w:tc>
          <w:tcPr>
            <w:tcW w:w="1540" w:type="dxa"/>
          </w:tcPr>
          <w:p w14:paraId="4F81C6D0"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Composition</w:t>
            </w:r>
          </w:p>
        </w:tc>
        <w:tc>
          <w:tcPr>
            <w:cnfStyle w:val="000010000000" w:firstRow="0" w:lastRow="0" w:firstColumn="0" w:lastColumn="0" w:oddVBand="1" w:evenVBand="0" w:oddHBand="0" w:evenHBand="0" w:firstRowFirstColumn="0" w:firstRowLastColumn="0" w:lastRowFirstColumn="0" w:lastRowLastColumn="0"/>
            <w:tcW w:w="1541" w:type="dxa"/>
          </w:tcPr>
          <w:p w14:paraId="40B4F520" w14:textId="77777777" w:rsidR="00AE42C0" w:rsidRPr="00D81084" w:rsidRDefault="00000000">
            <w:pPr>
              <w:pStyle w:val="Compact"/>
              <w:rPr>
                <w:sz w:val="18"/>
                <w:szCs w:val="18"/>
              </w:rPr>
            </w:pPr>
            <w:r w:rsidRPr="00D81084">
              <w:rPr>
                <w:sz w:val="18"/>
                <w:szCs w:val="18"/>
              </w:rPr>
              <w:t>No</w:t>
            </w:r>
          </w:p>
        </w:tc>
        <w:tc>
          <w:tcPr>
            <w:tcW w:w="1540" w:type="dxa"/>
          </w:tcPr>
          <w:p w14:paraId="792CA51D"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c>
          <w:tcPr>
            <w:cnfStyle w:val="000010000000" w:firstRow="0" w:lastRow="0" w:firstColumn="0" w:lastColumn="0" w:oddVBand="1" w:evenVBand="0" w:oddHBand="0" w:evenHBand="0" w:firstRowFirstColumn="0" w:firstRowLastColumn="0" w:lastRowFirstColumn="0" w:lastRowLastColumn="0"/>
            <w:tcW w:w="1540" w:type="dxa"/>
          </w:tcPr>
          <w:p w14:paraId="40C7373B" w14:textId="77777777" w:rsidR="00AE42C0" w:rsidRPr="00D81084" w:rsidRDefault="00000000">
            <w:pPr>
              <w:pStyle w:val="Compact"/>
              <w:rPr>
                <w:sz w:val="18"/>
                <w:szCs w:val="18"/>
              </w:rPr>
            </w:pPr>
            <w:r w:rsidRPr="00D81084">
              <w:rPr>
                <w:sz w:val="18"/>
                <w:szCs w:val="18"/>
              </w:rPr>
              <w:t>No</w:t>
            </w:r>
          </w:p>
        </w:tc>
        <w:tc>
          <w:tcPr>
            <w:tcW w:w="1541" w:type="dxa"/>
          </w:tcPr>
          <w:p w14:paraId="359EA947"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Yes</w:t>
            </w:r>
          </w:p>
        </w:tc>
      </w:tr>
      <w:tr w:rsidR="00AE42C0" w:rsidRPr="00D81084" w14:paraId="748F1850"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3FD2F235" w14:textId="77777777" w:rsidR="00AE42C0" w:rsidRPr="00D81084" w:rsidRDefault="00000000">
            <w:pPr>
              <w:pStyle w:val="Compact"/>
              <w:rPr>
                <w:sz w:val="18"/>
                <w:szCs w:val="18"/>
              </w:rPr>
            </w:pPr>
            <w:r w:rsidRPr="00D81084">
              <w:rPr>
                <w:sz w:val="18"/>
                <w:szCs w:val="18"/>
              </w:rPr>
              <w:t>Interoperability Focus</w:t>
            </w:r>
          </w:p>
        </w:tc>
        <w:tc>
          <w:tcPr>
            <w:tcW w:w="1540" w:type="dxa"/>
          </w:tcPr>
          <w:p w14:paraId="1AA2C0DC"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Multi-jurisdiction</w:t>
            </w:r>
          </w:p>
        </w:tc>
        <w:tc>
          <w:tcPr>
            <w:cnfStyle w:val="000010000000" w:firstRow="0" w:lastRow="0" w:firstColumn="0" w:lastColumn="0" w:oddVBand="1" w:evenVBand="0" w:oddHBand="0" w:evenHBand="0" w:firstRowFirstColumn="0" w:firstRowLastColumn="0" w:lastRowFirstColumn="0" w:lastRowLastColumn="0"/>
            <w:tcW w:w="1541" w:type="dxa"/>
          </w:tcPr>
          <w:p w14:paraId="70CD7715" w14:textId="096B188F" w:rsidR="00AE42C0" w:rsidRPr="00D81084" w:rsidRDefault="00D81084">
            <w:pPr>
              <w:pStyle w:val="Compact"/>
              <w:rPr>
                <w:sz w:val="18"/>
                <w:szCs w:val="18"/>
              </w:rPr>
            </w:pPr>
            <w:r w:rsidRPr="00D81084">
              <w:rPr>
                <w:sz w:val="18"/>
                <w:szCs w:val="18"/>
              </w:rPr>
              <w:t>Single jurisdiction</w:t>
            </w:r>
          </w:p>
        </w:tc>
        <w:tc>
          <w:tcPr>
            <w:tcW w:w="1540" w:type="dxa"/>
          </w:tcPr>
          <w:p w14:paraId="155E658E"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Ontology mapping</w:t>
            </w:r>
          </w:p>
        </w:tc>
        <w:tc>
          <w:tcPr>
            <w:cnfStyle w:val="000010000000" w:firstRow="0" w:lastRow="0" w:firstColumn="0" w:lastColumn="0" w:oddVBand="1" w:evenVBand="0" w:oddHBand="0" w:evenHBand="0" w:firstRowFirstColumn="0" w:firstRowLastColumn="0" w:lastRowFirstColumn="0" w:lastRowLastColumn="0"/>
            <w:tcW w:w="1540" w:type="dxa"/>
          </w:tcPr>
          <w:p w14:paraId="616AB50D" w14:textId="77777777" w:rsidR="00AE42C0" w:rsidRPr="00D81084" w:rsidRDefault="00000000">
            <w:pPr>
              <w:pStyle w:val="Compact"/>
              <w:rPr>
                <w:sz w:val="18"/>
                <w:szCs w:val="18"/>
              </w:rPr>
            </w:pPr>
            <w:r w:rsidRPr="00D81084">
              <w:rPr>
                <w:sz w:val="18"/>
                <w:szCs w:val="18"/>
              </w:rPr>
              <w:t>Integration APIs</w:t>
            </w:r>
          </w:p>
        </w:tc>
        <w:tc>
          <w:tcPr>
            <w:tcW w:w="1541" w:type="dxa"/>
          </w:tcPr>
          <w:p w14:paraId="55B0A3F7"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Country modules</w:t>
            </w:r>
          </w:p>
        </w:tc>
      </w:tr>
      <w:tr w:rsidR="00AE42C0" w:rsidRPr="00D81084" w14:paraId="6515B189"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30A4B03F" w14:textId="77777777" w:rsidR="00AE42C0" w:rsidRPr="00D81084" w:rsidRDefault="00000000">
            <w:pPr>
              <w:pStyle w:val="Compact"/>
              <w:rPr>
                <w:sz w:val="18"/>
                <w:szCs w:val="18"/>
              </w:rPr>
            </w:pPr>
            <w:r w:rsidRPr="00D81084">
              <w:rPr>
                <w:sz w:val="18"/>
                <w:szCs w:val="18"/>
              </w:rPr>
              <w:t>Provenance</w:t>
            </w:r>
          </w:p>
        </w:tc>
        <w:tc>
          <w:tcPr>
            <w:tcW w:w="1540" w:type="dxa"/>
          </w:tcPr>
          <w:p w14:paraId="390A2C0A"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Built-in</w:t>
            </w:r>
          </w:p>
        </w:tc>
        <w:tc>
          <w:tcPr>
            <w:cnfStyle w:val="000010000000" w:firstRow="0" w:lastRow="0" w:firstColumn="0" w:lastColumn="0" w:oddVBand="1" w:evenVBand="0" w:oddHBand="0" w:evenHBand="0" w:firstRowFirstColumn="0" w:firstRowLastColumn="0" w:lastRowFirstColumn="0" w:lastRowLastColumn="0"/>
            <w:tcW w:w="1541" w:type="dxa"/>
          </w:tcPr>
          <w:p w14:paraId="56485C97" w14:textId="77777777" w:rsidR="00AE42C0" w:rsidRPr="00D81084" w:rsidRDefault="00000000">
            <w:pPr>
              <w:pStyle w:val="Compact"/>
              <w:rPr>
                <w:sz w:val="18"/>
                <w:szCs w:val="18"/>
              </w:rPr>
            </w:pPr>
            <w:r w:rsidRPr="00D81084">
              <w:rPr>
                <w:sz w:val="18"/>
                <w:szCs w:val="18"/>
              </w:rPr>
              <w:t>No</w:t>
            </w:r>
          </w:p>
        </w:tc>
        <w:tc>
          <w:tcPr>
            <w:tcW w:w="1540" w:type="dxa"/>
          </w:tcPr>
          <w:p w14:paraId="3114E858"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c>
          <w:tcPr>
            <w:cnfStyle w:val="000010000000" w:firstRow="0" w:lastRow="0" w:firstColumn="0" w:lastColumn="0" w:oddVBand="1" w:evenVBand="0" w:oddHBand="0" w:evenHBand="0" w:firstRowFirstColumn="0" w:firstRowLastColumn="0" w:lastRowFirstColumn="0" w:lastRowLastColumn="0"/>
            <w:tcW w:w="1540" w:type="dxa"/>
          </w:tcPr>
          <w:p w14:paraId="0A22497F" w14:textId="77777777" w:rsidR="00AE42C0" w:rsidRPr="00D81084" w:rsidRDefault="00000000">
            <w:pPr>
              <w:pStyle w:val="Compact"/>
              <w:rPr>
                <w:sz w:val="18"/>
                <w:szCs w:val="18"/>
              </w:rPr>
            </w:pPr>
            <w:r w:rsidRPr="00D81084">
              <w:rPr>
                <w:sz w:val="18"/>
                <w:szCs w:val="18"/>
              </w:rPr>
              <w:t>Audit log</w:t>
            </w:r>
          </w:p>
        </w:tc>
        <w:tc>
          <w:tcPr>
            <w:tcW w:w="1541" w:type="dxa"/>
          </w:tcPr>
          <w:p w14:paraId="606A3239"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r>
      <w:tr w:rsidR="00AE42C0" w:rsidRPr="00D81084" w14:paraId="6B4A85FA"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0C48C624" w14:textId="77777777" w:rsidR="00AE42C0" w:rsidRPr="00D81084" w:rsidRDefault="00000000">
            <w:pPr>
              <w:pStyle w:val="Compact"/>
              <w:rPr>
                <w:sz w:val="18"/>
                <w:szCs w:val="18"/>
              </w:rPr>
            </w:pPr>
            <w:r w:rsidRPr="00D81084">
              <w:rPr>
                <w:sz w:val="18"/>
                <w:szCs w:val="18"/>
              </w:rPr>
              <w:t>License</w:t>
            </w:r>
          </w:p>
        </w:tc>
        <w:tc>
          <w:tcPr>
            <w:tcW w:w="1540" w:type="dxa"/>
          </w:tcPr>
          <w:p w14:paraId="5EE5FFBC"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GPLv3</w:t>
            </w:r>
          </w:p>
        </w:tc>
        <w:tc>
          <w:tcPr>
            <w:cnfStyle w:val="000010000000" w:firstRow="0" w:lastRow="0" w:firstColumn="0" w:lastColumn="0" w:oddVBand="1" w:evenVBand="0" w:oddHBand="0" w:evenHBand="0" w:firstRowFirstColumn="0" w:firstRowLastColumn="0" w:lastRowFirstColumn="0" w:lastRowLastColumn="0"/>
            <w:tcW w:w="1541" w:type="dxa"/>
          </w:tcPr>
          <w:p w14:paraId="3890B307" w14:textId="77777777" w:rsidR="00AE42C0" w:rsidRPr="00D81084" w:rsidRDefault="00000000">
            <w:pPr>
              <w:pStyle w:val="Compact"/>
              <w:rPr>
                <w:sz w:val="18"/>
                <w:szCs w:val="18"/>
              </w:rPr>
            </w:pPr>
            <w:r w:rsidRPr="00D81084">
              <w:rPr>
                <w:sz w:val="18"/>
                <w:szCs w:val="18"/>
              </w:rPr>
              <w:t>Apache 2.0</w:t>
            </w:r>
          </w:p>
        </w:tc>
        <w:tc>
          <w:tcPr>
            <w:tcW w:w="1540" w:type="dxa"/>
          </w:tcPr>
          <w:p w14:paraId="2230E451"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OASIS</w:t>
            </w:r>
          </w:p>
        </w:tc>
        <w:tc>
          <w:tcPr>
            <w:cnfStyle w:val="000010000000" w:firstRow="0" w:lastRow="0" w:firstColumn="0" w:lastColumn="0" w:oddVBand="1" w:evenVBand="0" w:oddHBand="0" w:evenHBand="0" w:firstRowFirstColumn="0" w:firstRowLastColumn="0" w:lastRowFirstColumn="0" w:lastRowLastColumn="0"/>
            <w:tcW w:w="1540" w:type="dxa"/>
          </w:tcPr>
          <w:p w14:paraId="48B3C9EC" w14:textId="77777777" w:rsidR="00AE42C0" w:rsidRPr="00D81084" w:rsidRDefault="00000000">
            <w:pPr>
              <w:pStyle w:val="Compact"/>
              <w:rPr>
                <w:sz w:val="18"/>
                <w:szCs w:val="18"/>
              </w:rPr>
            </w:pPr>
            <w:r w:rsidRPr="00D81084">
              <w:rPr>
                <w:sz w:val="18"/>
                <w:szCs w:val="18"/>
              </w:rPr>
              <w:t>Apache 2.0</w:t>
            </w:r>
          </w:p>
        </w:tc>
        <w:tc>
          <w:tcPr>
            <w:tcW w:w="1541" w:type="dxa"/>
          </w:tcPr>
          <w:p w14:paraId="34563C0D"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AGPL</w:t>
            </w:r>
          </w:p>
        </w:tc>
      </w:tr>
    </w:tbl>
    <w:p w14:paraId="2502BE0F" w14:textId="6134493A" w:rsidR="00AE42C0" w:rsidRDefault="00D81084" w:rsidP="00D81084">
      <w:pPr>
        <w:pStyle w:val="Caption"/>
      </w:pPr>
      <w:r>
        <w:t xml:space="preserve">Table </w:t>
      </w:r>
      <w:fldSimple w:instr=" SEQ Table \* ARABIC ">
        <w:r>
          <w:rPr>
            <w:noProof/>
          </w:rPr>
          <w:t>1</w:t>
        </w:r>
      </w:fldSimple>
      <w:r>
        <w:t xml:space="preserve">- </w:t>
      </w:r>
      <w:r>
        <w:rPr>
          <w:iCs/>
        </w:rPr>
        <w:t>Comparison of legal DSLs and rules engines</w:t>
      </w:r>
    </w:p>
    <w:p w14:paraId="75421133" w14:textId="77777777" w:rsidR="00AE42C0" w:rsidRDefault="00000000">
      <w:pPr>
        <w:pStyle w:val="BodyText"/>
      </w:pPr>
      <w:r>
        <w:t>IPFLang differentiates itself through the combination of domain-specific syntax designed for readability, first-class multi-currency type safety with all 161 ISO 4217 currencies as built-in primitives, static verification of completeness and monotonicity, and explicit support for multi-jurisdiction fee structures with inheritance and composition. While languages like Catala could theoretically support currency types through user-defined abstractions, IPFLang provides these as language primitives requiring no additional implementation effort. The design follows established principles for DSL development that emphasize matching language constructs to domain concepts [23].</w:t>
      </w:r>
    </w:p>
    <w:p w14:paraId="0658FCAF" w14:textId="77777777" w:rsidR="00AE42C0" w:rsidRDefault="00000000" w:rsidP="00C44736">
      <w:pPr>
        <w:pStyle w:val="Heading1"/>
      </w:pPr>
      <w:bookmarkStart w:id="12" w:name="ipflang-language-specification"/>
      <w:bookmarkEnd w:id="8"/>
      <w:bookmarkEnd w:id="11"/>
      <w:r>
        <w:t>3. IPFLang Language Specification</w:t>
      </w:r>
    </w:p>
    <w:p w14:paraId="1EE281AC" w14:textId="77777777" w:rsidR="00AE42C0" w:rsidRDefault="00000000">
      <w:pPr>
        <w:pStyle w:val="Heading3"/>
      </w:pPr>
      <w:bookmarkStart w:id="13" w:name="design-principles"/>
      <w:r>
        <w:t>3.1 Design Principles</w:t>
      </w:r>
    </w:p>
    <w:p w14:paraId="72956183" w14:textId="77777777" w:rsidR="00AE42C0" w:rsidRDefault="00000000">
      <w:pPr>
        <w:pStyle w:val="FirstParagraph"/>
      </w:pPr>
      <w:r>
        <w:t>IPFLang design balances six competing objectives: expressiveness for complex regulatory logic, readability through domain-specific syntax designed for legal professionals, deterministic execution for financial accuracy, extensibility for evolving regulations, and formal verification potential.</w:t>
      </w:r>
    </w:p>
    <w:p w14:paraId="67CADED4" w14:textId="77777777" w:rsidR="00AE42C0" w:rsidRDefault="00000000">
      <w:pPr>
        <w:pStyle w:val="BodyText"/>
      </w:pPr>
      <w:r>
        <w:t>The first principle is declarative semantics. Fee calculations specify what to compute rather than how to compute it. Declarative approaches facilitate correctness verification by legal experts who can validate fee formulas directly against official schedules without needing to understand imperative control flow.</w:t>
      </w:r>
    </w:p>
    <w:p w14:paraId="6CD35363" w14:textId="77777777" w:rsidR="00AE42C0" w:rsidRDefault="00000000">
      <w:pPr>
        <w:pStyle w:val="BodyText"/>
      </w:pPr>
      <w:r>
        <w:lastRenderedPageBreak/>
        <w:t>The second principle requires explicit semantics. Operators use keyword syntax such as EQ, GT, AND, and OR rather than symbols like ==, &gt;, &amp;&amp;, and ||. This design choice aims to improve readability for users with varying technical backgrounds, aligning with DSL design guidelines emphasizing domain-specific notation [16]. Empirical validation of this readability hypothesis remains future work (see Section 8.3).</w:t>
      </w:r>
    </w:p>
    <w:p w14:paraId="0232FE25" w14:textId="77777777" w:rsidR="00AE42C0" w:rsidRDefault="00000000">
      <w:pPr>
        <w:pStyle w:val="BodyText"/>
      </w:pPr>
      <w:r>
        <w:t>The third principle establishes a static type system. Input declarations explicitly specify types including NUMBER, LIST, MULTILIST, BOOLEAN, DATE, and AMOUNT, enabling compile-time validation. Static typing prevents runtime errors from type mismatches and provides clear parameter documentation.</w:t>
      </w:r>
    </w:p>
    <w:p w14:paraId="794C8A9C" w14:textId="77777777" w:rsidR="00AE42C0" w:rsidRDefault="00000000">
      <w:pPr>
        <w:pStyle w:val="BodyText"/>
      </w:pPr>
      <w:r>
        <w:t>The fourth principle maintains minimal syntax complexity. Language features target the minimum necessary for regulatory fee calculations. Structured blocks such as DEFINE…ENDDEFINE and COMPUTE…ENDCOMPUTE with explicit terminators aid comprehension and prevent syntax errors common in expression-based languages.</w:t>
      </w:r>
    </w:p>
    <w:p w14:paraId="086E7338" w14:textId="77777777" w:rsidR="00AE42C0" w:rsidRDefault="00000000">
      <w:pPr>
        <w:pStyle w:val="BodyText"/>
      </w:pPr>
      <w:r>
        <w:t>The fifth principle ensures auditability and traceability. Fee computation produces step-by-step execution traces showing how final amounts derive from input parameters. This addresses legal requirements for calculation transparency and assists in dispute resolution.</w:t>
      </w:r>
    </w:p>
    <w:p w14:paraId="1046EF28" w14:textId="77777777" w:rsidR="00AE42C0" w:rsidRDefault="00000000">
      <w:pPr>
        <w:pStyle w:val="BodyText"/>
      </w:pPr>
      <w:r>
        <w:t>The sixth principle guarantees jurisdiction independence. Language constructs make no assumptions about specific jurisdictions, enabling code reuse across patent offices. Jurisdiction-specific business rules reside in fee definitions rather than language syntax.</w:t>
      </w:r>
    </w:p>
    <w:p w14:paraId="0C5193C5" w14:textId="77777777" w:rsidR="00AE42C0" w:rsidRDefault="00000000">
      <w:pPr>
        <w:pStyle w:val="Heading3"/>
      </w:pPr>
      <w:bookmarkStart w:id="14" w:name="language-syntax-overview"/>
      <w:bookmarkEnd w:id="13"/>
      <w:r>
        <w:t>3.2 Language Syntax Overview</w:t>
      </w:r>
    </w:p>
    <w:p w14:paraId="2392353E" w14:textId="77777777" w:rsidR="00833F9B" w:rsidRDefault="00000000">
      <w:pPr>
        <w:pStyle w:val="BodyText"/>
      </w:pPr>
      <w:r>
        <w:t xml:space="preserve">An </w:t>
      </w:r>
      <w:proofErr w:type="spellStart"/>
      <w:r>
        <w:t>IPFLang</w:t>
      </w:r>
      <w:proofErr w:type="spellEnd"/>
      <w:r>
        <w:t xml:space="preserve"> program begins with an optional version declaration that establishes metadata including version identifier, effective date, and references to authoritative fee schedules. Following the version declaration, group definitions organize inputs into logical categories for user interface presentation, with weights determining display order. The core of any IPFLang program consists of input definitions that declare the parameters required for fee calculation—these may be single-choice enumerations (LIST), multi-choice selections (MULTILIST), numeric values with optional constraints (NUMBER), binary choices (BOOLEAN), temporal values (DATE), or currency-aware monetary inputs (AMOUNT). Fee computation blocks contain the actual calculation logic using conditional yields and case statements. Programs may include verification directives that enable static analysis of completeness and monotonicity properties. Finally, return statements provide named outputs for integration with external systems.</w:t>
      </w:r>
    </w:p>
    <w:p w14:paraId="53B5F1E7" w14:textId="32272A65" w:rsidR="00AE42C0" w:rsidRDefault="00833F9B">
      <w:pPr>
        <w:pStyle w:val="BodyText"/>
      </w:pPr>
      <w:r>
        <w:rPr>
          <w:noProof/>
        </w:rPr>
        <w:lastRenderedPageBreak/>
        <w:drawing>
          <wp:inline distT="0" distB="0" distL="0" distR="0" wp14:anchorId="58AC1918" wp14:editId="5D4B98F1">
            <wp:extent cx="5486400" cy="2321859"/>
            <wp:effectExtent l="0" t="0" r="0" b="2540"/>
            <wp:docPr id="49394541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12EC337" w14:textId="66016D75" w:rsidR="00833F9B" w:rsidRDefault="00833F9B" w:rsidP="00833F9B">
      <w:pPr>
        <w:pStyle w:val="Caption"/>
      </w:pPr>
      <w:r>
        <w:t xml:space="preserve">Figure </w:t>
      </w:r>
      <w:fldSimple w:instr=" SEQ Figure \* ARABIC ">
        <w:r>
          <w:rPr>
            <w:noProof/>
          </w:rPr>
          <w:t>1</w:t>
        </w:r>
      </w:fldSimple>
      <w:r>
        <w:t xml:space="preserve"> – DSL overview</w:t>
      </w:r>
    </w:p>
    <w:p w14:paraId="060E1C97" w14:textId="77777777" w:rsidR="00AE42C0" w:rsidRDefault="00000000">
      <w:pPr>
        <w:pStyle w:val="Heading3"/>
      </w:pPr>
      <w:bookmarkStart w:id="15" w:name="version-declaration"/>
      <w:bookmarkEnd w:id="14"/>
      <w:r>
        <w:t>3.3 Version Declaration</w:t>
      </w:r>
    </w:p>
    <w:p w14:paraId="666B6F05" w14:textId="77777777" w:rsidR="00AE42C0" w:rsidRDefault="00000000">
      <w:pPr>
        <w:pStyle w:val="FirstParagraph"/>
      </w:pPr>
      <w:r>
        <w:t>Fee schedules change frequently, requiring version tracking with effective dates.</w:t>
      </w:r>
    </w:p>
    <w:p w14:paraId="428F0C6D" w14:textId="77777777" w:rsidR="00AE42C0" w:rsidRDefault="00000000">
      <w:pPr>
        <w:pStyle w:val="BodyText"/>
      </w:pPr>
      <w:r>
        <w:rPr>
          <w:b/>
          <w:bCs/>
        </w:rPr>
        <w:t>Syntax:</w:t>
      </w:r>
    </w:p>
    <w:p w14:paraId="04DC83DF" w14:textId="77777777" w:rsidR="00AE42C0" w:rsidRDefault="00000000">
      <w:pPr>
        <w:pStyle w:val="SourceCode"/>
      </w:pPr>
      <w:r>
        <w:rPr>
          <w:rStyle w:val="VerbatimChar"/>
        </w:rPr>
        <w:t>VERSION '&lt;VersionId&gt;' EFFECTIVE &lt;date&gt; [DESCRIPTION '&lt;description&gt;'] [REFERENCE '&lt;reference&gt;']</w:t>
      </w:r>
    </w:p>
    <w:p w14:paraId="1ABBC66D" w14:textId="77777777" w:rsidR="00AE42C0" w:rsidRDefault="00000000">
      <w:pPr>
        <w:pStyle w:val="FirstParagraph"/>
      </w:pPr>
      <w:r>
        <w:rPr>
          <w:b/>
          <w:bCs/>
        </w:rPr>
        <w:t>Example:</w:t>
      </w:r>
    </w:p>
    <w:p w14:paraId="30B7F0DB" w14:textId="77777777" w:rsidR="00AE42C0" w:rsidRDefault="00000000">
      <w:pPr>
        <w:pStyle w:val="SourceCode"/>
      </w:pPr>
      <w:r>
        <w:rPr>
          <w:rStyle w:val="VerbatimChar"/>
        </w:rPr>
        <w:t>VERSION '2024.1' EFFECTIVE 01.04.2024 DESCRIPTION 'EPO official fees 2024' REFERENCE 'EPO Official Journal 2024/03'</w:t>
      </w:r>
    </w:p>
    <w:p w14:paraId="1B9FD050" w14:textId="77777777" w:rsidR="00AE42C0" w:rsidRDefault="00000000">
      <w:pPr>
        <w:pStyle w:val="FirstParagraph"/>
      </w:pPr>
      <w:r>
        <w:t>The VERSION directive enables temporal queries (calculating fees as they were on a specific date), version comparison (identifying changes between fee schedule revisions), and regulatory traceability (linking calculations to authoritative sources).</w:t>
      </w:r>
    </w:p>
    <w:p w14:paraId="5D073CDE" w14:textId="77777777" w:rsidR="00AE42C0" w:rsidRDefault="00000000">
      <w:pPr>
        <w:pStyle w:val="Heading3"/>
      </w:pPr>
      <w:bookmarkStart w:id="16" w:name="input-type-system"/>
      <w:bookmarkEnd w:id="15"/>
      <w:r>
        <w:t>3.4 Input Type System</w:t>
      </w:r>
    </w:p>
    <w:p w14:paraId="79B6E623" w14:textId="77777777" w:rsidR="00AE42C0" w:rsidRDefault="00000000">
      <w:pPr>
        <w:pStyle w:val="FirstParagraph"/>
      </w:pPr>
      <w:r>
        <w:t>IPFLang provides six input types matching common parameter patterns across patent offices.</w:t>
      </w:r>
    </w:p>
    <w:p w14:paraId="78A7D694" w14:textId="77777777" w:rsidR="00AE42C0" w:rsidRDefault="00000000">
      <w:pPr>
        <w:pStyle w:val="Heading4"/>
      </w:pPr>
      <w:bookmarkStart w:id="17" w:name="list-single-choice-enumeration"/>
      <w:r>
        <w:t>3.4.1 LIST (Single-Choice Enumeration)</w:t>
      </w:r>
    </w:p>
    <w:p w14:paraId="59DFF45C" w14:textId="77777777" w:rsidR="00AE42C0" w:rsidRDefault="00000000">
      <w:pPr>
        <w:pStyle w:val="FirstParagraph"/>
      </w:pPr>
      <w:r>
        <w:t>The LIST type handles parameters with mutually exclusive options such as entity type, filing basis, or examination request.</w:t>
      </w:r>
    </w:p>
    <w:p w14:paraId="7FAE4C5A" w14:textId="77777777" w:rsidR="00AE42C0" w:rsidRDefault="00000000">
      <w:pPr>
        <w:pStyle w:val="SourceCode"/>
      </w:pPr>
      <w:r>
        <w:rPr>
          <w:rStyle w:val="VerbatimChar"/>
        </w:rPr>
        <w:t>DEFINE LIST EntityType AS 'Select entity size'</w:t>
      </w:r>
      <w:r>
        <w:br/>
      </w:r>
      <w:r>
        <w:rPr>
          <w:rStyle w:val="VerbatimChar"/>
        </w:rPr>
        <w:t>GROUP General</w:t>
      </w:r>
      <w:r>
        <w:br/>
      </w:r>
      <w:r>
        <w:rPr>
          <w:rStyle w:val="VerbatimChar"/>
        </w:rPr>
        <w:t>CHOICE NormalEntity AS 'Large Entity'</w:t>
      </w:r>
      <w:r>
        <w:br/>
      </w:r>
      <w:r>
        <w:rPr>
          <w:rStyle w:val="VerbatimChar"/>
        </w:rPr>
        <w:t>CHOICE SmallEntity AS 'Small Entity (50% discount)'</w:t>
      </w:r>
      <w:r>
        <w:br/>
      </w:r>
      <w:r>
        <w:rPr>
          <w:rStyle w:val="VerbatimChar"/>
        </w:rPr>
        <w:t>CHOICE MicroEntity AS 'Micro Entity (75% discount)'</w:t>
      </w:r>
      <w:r>
        <w:br/>
      </w:r>
      <w:r>
        <w:rPr>
          <w:rStyle w:val="VerbatimChar"/>
        </w:rPr>
        <w:t>DEFAULT NormalEntity</w:t>
      </w:r>
      <w:r>
        <w:br/>
      </w:r>
      <w:r>
        <w:rPr>
          <w:rStyle w:val="VerbatimChar"/>
        </w:rPr>
        <w:t>ENDDEFINE</w:t>
      </w:r>
    </w:p>
    <w:p w14:paraId="5CB41E37" w14:textId="77777777" w:rsidR="00AE42C0" w:rsidRDefault="00000000">
      <w:pPr>
        <w:pStyle w:val="Heading4"/>
      </w:pPr>
      <w:bookmarkStart w:id="18" w:name="multilist-multi-choice-enumeration"/>
      <w:bookmarkEnd w:id="17"/>
      <w:r>
        <w:lastRenderedPageBreak/>
        <w:t>3.4.2 MULTILIST (Multi-Choice Enumeration)</w:t>
      </w:r>
    </w:p>
    <w:p w14:paraId="04F81833" w14:textId="77777777" w:rsidR="00AE42C0" w:rsidRDefault="00000000">
      <w:pPr>
        <w:pStyle w:val="FirstParagraph"/>
      </w:pPr>
      <w:r>
        <w:t xml:space="preserve">The MULTILIST type accommodates parameters allowing multiple selections. The special property accessor </w:t>
      </w:r>
      <w:r>
        <w:rPr>
          <w:rStyle w:val="VerbatimChar"/>
        </w:rPr>
        <w:t>!COUNT</w:t>
      </w:r>
      <w:r>
        <w:t xml:space="preserve"> returns the number of selections. IPFLang uses the exclamation mark (</w:t>
      </w:r>
      <w:r>
        <w:rPr>
          <w:rStyle w:val="VerbatimChar"/>
        </w:rPr>
        <w:t>!</w:t>
      </w:r>
      <w:r>
        <w:t>) as the property accessor to distinguish property access from other syntactic elements and to provide visual emphasis for these computed properties, which derive values from the underlying data rather than representing stored values directly.</w:t>
      </w:r>
    </w:p>
    <w:p w14:paraId="3CC50570" w14:textId="77777777" w:rsidR="00AE42C0" w:rsidRDefault="00000000">
      <w:pPr>
        <w:pStyle w:val="SourceCode"/>
      </w:pPr>
      <w:r>
        <w:rPr>
          <w:rStyle w:val="VerbatimChar"/>
        </w:rPr>
        <w:t>DEFINE MULTILIST Countries AS 'Select validation countries'</w:t>
      </w:r>
      <w:r>
        <w:br/>
      </w:r>
      <w:r>
        <w:rPr>
          <w:rStyle w:val="VerbatimChar"/>
        </w:rPr>
        <w:t>CHOICE VAL_DE AS 'Germany'</w:t>
      </w:r>
      <w:r>
        <w:br/>
      </w:r>
      <w:r>
        <w:rPr>
          <w:rStyle w:val="VerbatimChar"/>
        </w:rPr>
        <w:t>CHOICE VAL_FR AS 'France'</w:t>
      </w:r>
      <w:r>
        <w:br/>
      </w:r>
      <w:r>
        <w:rPr>
          <w:rStyle w:val="VerbatimChar"/>
        </w:rPr>
        <w:t>CHOICE VAL_GB AS 'United Kingdom'</w:t>
      </w:r>
      <w:r>
        <w:br/>
      </w:r>
      <w:r>
        <w:rPr>
          <w:rStyle w:val="VerbatimChar"/>
        </w:rPr>
        <w:t>DEFAULT VAL_DE,VAL_FR</w:t>
      </w:r>
      <w:r>
        <w:br/>
      </w:r>
      <w:r>
        <w:rPr>
          <w:rStyle w:val="VerbatimChar"/>
        </w:rPr>
        <w:t>ENDDEFINE</w:t>
      </w:r>
    </w:p>
    <w:p w14:paraId="6D6E7A45" w14:textId="77777777" w:rsidR="00AE42C0" w:rsidRDefault="00000000">
      <w:pPr>
        <w:pStyle w:val="FirstParagraph"/>
      </w:pPr>
      <w:r>
        <w:rPr>
          <w:b/>
          <w:bCs/>
        </w:rPr>
        <w:t>Usage:</w:t>
      </w:r>
      <w:r>
        <w:t xml:space="preserve"> </w:t>
      </w:r>
      <w:r>
        <w:rPr>
          <w:rStyle w:val="VerbatimChar"/>
        </w:rPr>
        <w:t>YIELD 100 * Countries!COUNT</w:t>
      </w:r>
    </w:p>
    <w:p w14:paraId="42558813" w14:textId="77777777" w:rsidR="00AE42C0" w:rsidRDefault="00000000">
      <w:pPr>
        <w:pStyle w:val="Heading4"/>
      </w:pPr>
      <w:bookmarkStart w:id="19" w:name="number-numeric-input"/>
      <w:bookmarkEnd w:id="18"/>
      <w:r>
        <w:t>3.4.3 NUMBER (Numeric Input)</w:t>
      </w:r>
    </w:p>
    <w:p w14:paraId="66522707" w14:textId="77777777" w:rsidR="00AE42C0" w:rsidRDefault="00000000">
      <w:pPr>
        <w:pStyle w:val="FirstParagraph"/>
      </w:pPr>
      <w:r>
        <w:t>The NUMBER type handles counts, quantities, and page numbers with optional constraints.</w:t>
      </w:r>
    </w:p>
    <w:p w14:paraId="78B0277C" w14:textId="77777777" w:rsidR="00AE42C0" w:rsidRDefault="00000000">
      <w:pPr>
        <w:pStyle w:val="SourceCode"/>
      </w:pPr>
      <w:r>
        <w:rPr>
          <w:rStyle w:val="VerbatimChar"/>
        </w:rPr>
        <w:t>DEFINE NUMBER ClaimCount AS 'Number of claims in application'</w:t>
      </w:r>
      <w:r>
        <w:br/>
      </w:r>
      <w:r>
        <w:rPr>
          <w:rStyle w:val="VerbatimChar"/>
        </w:rPr>
        <w:t>BETWEEN 1 AND 500</w:t>
      </w:r>
      <w:r>
        <w:br/>
      </w:r>
      <w:r>
        <w:rPr>
          <w:rStyle w:val="VerbatimChar"/>
        </w:rPr>
        <w:t>DEFAULT 10</w:t>
      </w:r>
      <w:r>
        <w:br/>
      </w:r>
      <w:r>
        <w:rPr>
          <w:rStyle w:val="VerbatimChar"/>
        </w:rPr>
        <w:t>ENDDEFINE</w:t>
      </w:r>
    </w:p>
    <w:p w14:paraId="18E7A820" w14:textId="77777777" w:rsidR="00AE42C0" w:rsidRDefault="00000000">
      <w:pPr>
        <w:pStyle w:val="Heading4"/>
      </w:pPr>
      <w:bookmarkStart w:id="20" w:name="boolean-yesno"/>
      <w:bookmarkEnd w:id="19"/>
      <w:r>
        <w:t>3.4.4 BOOLEAN (Yes/No)</w:t>
      </w:r>
    </w:p>
    <w:p w14:paraId="0A2992A5" w14:textId="77777777" w:rsidR="00AE42C0" w:rsidRDefault="00000000">
      <w:pPr>
        <w:pStyle w:val="FirstParagraph"/>
      </w:pPr>
      <w:r>
        <w:t>The BOOLEAN type represents binary choices.</w:t>
      </w:r>
    </w:p>
    <w:p w14:paraId="77EB6E33" w14:textId="77777777" w:rsidR="00AE42C0" w:rsidRDefault="00000000">
      <w:pPr>
        <w:pStyle w:val="SourceCode"/>
      </w:pPr>
      <w:r>
        <w:rPr>
          <w:rStyle w:val="VerbatimChar"/>
        </w:rPr>
        <w:t>DEFINE BOOLEAN RequestExamination AS 'Request substantive examination?'</w:t>
      </w:r>
      <w:r>
        <w:br/>
      </w:r>
      <w:r>
        <w:rPr>
          <w:rStyle w:val="VerbatimChar"/>
        </w:rPr>
        <w:t>DEFAULT TRUE</w:t>
      </w:r>
      <w:r>
        <w:br/>
      </w:r>
      <w:r>
        <w:rPr>
          <w:rStyle w:val="VerbatimChar"/>
        </w:rPr>
        <w:t>ENDDEFINE</w:t>
      </w:r>
    </w:p>
    <w:p w14:paraId="1DEF8574" w14:textId="77777777" w:rsidR="00AE42C0" w:rsidRDefault="00000000">
      <w:pPr>
        <w:pStyle w:val="Heading4"/>
      </w:pPr>
      <w:bookmarkStart w:id="21" w:name="date-date-input"/>
      <w:bookmarkEnd w:id="20"/>
      <w:r>
        <w:t>3.4.5 DATE (Date Input)</w:t>
      </w:r>
    </w:p>
    <w:p w14:paraId="08DF6E6A" w14:textId="77777777" w:rsidR="00AE42C0" w:rsidRDefault="00000000">
      <w:pPr>
        <w:pStyle w:val="FirstParagraph"/>
      </w:pPr>
      <w:r>
        <w:t>The DATE type handles filing dates and priority dates for calculating time-dependent fees. Temporal properties enable calculations based on elapsed time:</w:t>
      </w:r>
    </w:p>
    <w:p w14:paraId="7E9B7F9E" w14:textId="77777777" w:rsidR="00AE42C0" w:rsidRDefault="00000000">
      <w:pPr>
        <w:pStyle w:val="Compact"/>
        <w:numPr>
          <w:ilvl w:val="0"/>
          <w:numId w:val="4"/>
        </w:numPr>
      </w:pPr>
      <w:r>
        <w:rPr>
          <w:rStyle w:val="VerbatimChar"/>
        </w:rPr>
        <w:t>!YEARSTONOW</w:t>
      </w:r>
      <w:r>
        <w:t xml:space="preserve"> - Years from date to current date</w:t>
      </w:r>
    </w:p>
    <w:p w14:paraId="2E7BC98F" w14:textId="77777777" w:rsidR="00AE42C0" w:rsidRDefault="00000000">
      <w:pPr>
        <w:pStyle w:val="Compact"/>
        <w:numPr>
          <w:ilvl w:val="0"/>
          <w:numId w:val="4"/>
        </w:numPr>
      </w:pPr>
      <w:r>
        <w:rPr>
          <w:rStyle w:val="VerbatimChar"/>
        </w:rPr>
        <w:t>!MONTHSTONOW</w:t>
      </w:r>
      <w:r>
        <w:t xml:space="preserve"> - Months from date to current date</w:t>
      </w:r>
    </w:p>
    <w:p w14:paraId="5DF041D9" w14:textId="77777777" w:rsidR="00AE42C0" w:rsidRDefault="00000000">
      <w:pPr>
        <w:pStyle w:val="Compact"/>
        <w:numPr>
          <w:ilvl w:val="0"/>
          <w:numId w:val="4"/>
        </w:numPr>
      </w:pPr>
      <w:r>
        <w:rPr>
          <w:rStyle w:val="VerbatimChar"/>
        </w:rPr>
        <w:t>!DAYSTONOW</w:t>
      </w:r>
      <w:r>
        <w:t xml:space="preserve"> - Days from date to current date</w:t>
      </w:r>
    </w:p>
    <w:p w14:paraId="651B05EF" w14:textId="77777777" w:rsidR="00AE42C0" w:rsidRDefault="00000000">
      <w:pPr>
        <w:pStyle w:val="Compact"/>
        <w:numPr>
          <w:ilvl w:val="0"/>
          <w:numId w:val="4"/>
        </w:numPr>
      </w:pPr>
      <w:r>
        <w:rPr>
          <w:rStyle w:val="VerbatimChar"/>
        </w:rPr>
        <w:t>!MONTHSTONOW_FROMLASTDAY</w:t>
      </w:r>
      <w:r>
        <w:t xml:space="preserve"> - Months from end of date’s month</w:t>
      </w:r>
    </w:p>
    <w:p w14:paraId="58BF9570" w14:textId="77777777" w:rsidR="00AE42C0" w:rsidRDefault="00000000">
      <w:pPr>
        <w:pStyle w:val="SourceCode"/>
      </w:pPr>
      <w:r>
        <w:rPr>
          <w:rStyle w:val="VerbatimChar"/>
        </w:rPr>
        <w:t>DEFINE DATE FilingDate AS 'Application filing date'</w:t>
      </w:r>
      <w:r>
        <w:br/>
      </w:r>
      <w:r>
        <w:rPr>
          <w:rStyle w:val="VerbatimChar"/>
        </w:rPr>
        <w:t>BETWEEN 01.01.2000 AND TODAY</w:t>
      </w:r>
      <w:r>
        <w:br/>
      </w:r>
      <w:r>
        <w:rPr>
          <w:rStyle w:val="VerbatimChar"/>
        </w:rPr>
        <w:t>DEFAULT TODAY</w:t>
      </w:r>
      <w:r>
        <w:br/>
      </w:r>
      <w:r>
        <w:rPr>
          <w:rStyle w:val="VerbatimChar"/>
        </w:rPr>
        <w:t>ENDDEFINE</w:t>
      </w:r>
    </w:p>
    <w:p w14:paraId="48D4CDF1" w14:textId="77777777" w:rsidR="00AE42C0" w:rsidRDefault="00000000">
      <w:pPr>
        <w:pStyle w:val="FirstParagraph"/>
      </w:pPr>
      <w:r>
        <w:rPr>
          <w:b/>
          <w:bCs/>
        </w:rPr>
        <w:t>Usage:</w:t>
      </w:r>
      <w:r>
        <w:t xml:space="preserve"> </w:t>
      </w:r>
      <w:r>
        <w:rPr>
          <w:rStyle w:val="VerbatimChar"/>
        </w:rPr>
        <w:t>LET YearsSinceFiling AS FilingDate!YEARSTONOW</w:t>
      </w:r>
    </w:p>
    <w:p w14:paraId="26ED71BE" w14:textId="77777777" w:rsidR="00AE42C0" w:rsidRDefault="00000000">
      <w:pPr>
        <w:pStyle w:val="Heading4"/>
      </w:pPr>
      <w:bookmarkStart w:id="22" w:name="amount-currency-aware-monetary-input"/>
      <w:bookmarkEnd w:id="21"/>
      <w:r>
        <w:lastRenderedPageBreak/>
        <w:t>3.4.6 AMOUNT (Currency-Aware Monetary Input)</w:t>
      </w:r>
    </w:p>
    <w:p w14:paraId="7E313BAB" w14:textId="77777777" w:rsidR="00AE42C0" w:rsidRDefault="00000000">
      <w:pPr>
        <w:pStyle w:val="FirstParagraph"/>
      </w:pPr>
      <w:r>
        <w:t>The AMOUNT type represents monetary values with an associated ISO 4217 currency code, enabling type-safe arithmetic.</w:t>
      </w:r>
    </w:p>
    <w:p w14:paraId="41CB116C" w14:textId="77777777" w:rsidR="00AE42C0" w:rsidRDefault="00000000">
      <w:pPr>
        <w:pStyle w:val="SourceCode"/>
      </w:pPr>
      <w:r>
        <w:rPr>
          <w:rStyle w:val="VerbatimChar"/>
        </w:rPr>
        <w:t>DEFINE AMOUNT PriorSearchFee AS 'Prior art search fee paid'</w:t>
      </w:r>
      <w:r>
        <w:br/>
      </w:r>
      <w:r>
        <w:rPr>
          <w:rStyle w:val="VerbatimChar"/>
        </w:rPr>
        <w:t>CURRENCY EUR</w:t>
      </w:r>
      <w:r>
        <w:br/>
      </w:r>
      <w:r>
        <w:rPr>
          <w:rStyle w:val="VerbatimChar"/>
        </w:rPr>
        <w:t>DEFAULT 0</w:t>
      </w:r>
      <w:r>
        <w:br/>
      </w:r>
      <w:r>
        <w:rPr>
          <w:rStyle w:val="VerbatimChar"/>
        </w:rPr>
        <w:t>ENDDEFINE</w:t>
      </w:r>
    </w:p>
    <w:p w14:paraId="26683148" w14:textId="77777777" w:rsidR="00AE42C0" w:rsidRDefault="00000000">
      <w:pPr>
        <w:pStyle w:val="FirstParagraph"/>
      </w:pPr>
      <w:r>
        <w:t>The AMOUNT type integrates with the currency-aware type system described in Section 4, preventing accidental cross-currency arithmetic.</w:t>
      </w:r>
    </w:p>
    <w:p w14:paraId="063750DB" w14:textId="77777777" w:rsidR="00AE42C0" w:rsidRDefault="00000000">
      <w:pPr>
        <w:pStyle w:val="Heading3"/>
      </w:pPr>
      <w:bookmarkStart w:id="23" w:name="group-definitions"/>
      <w:bookmarkEnd w:id="16"/>
      <w:bookmarkEnd w:id="22"/>
      <w:r>
        <w:t>3.5 Group Definitions</w:t>
      </w:r>
    </w:p>
    <w:p w14:paraId="13258FCB" w14:textId="77777777" w:rsidR="00AE42C0" w:rsidRDefault="00000000">
      <w:pPr>
        <w:pStyle w:val="FirstParagraph"/>
      </w:pPr>
      <w:r>
        <w:t>Groups organize inputs for user interface presentation, with weights determining display order.</w:t>
      </w:r>
    </w:p>
    <w:p w14:paraId="230A14FF" w14:textId="77777777" w:rsidR="00AE42C0" w:rsidRDefault="00000000">
      <w:pPr>
        <w:pStyle w:val="SourceCode"/>
      </w:pPr>
      <w:r>
        <w:rPr>
          <w:rStyle w:val="VerbatimChar"/>
        </w:rPr>
        <w:t>DEFINE GROUP General AS 'General Information' WITH WEIGHT 10</w:t>
      </w:r>
      <w:r>
        <w:br/>
      </w:r>
      <w:r>
        <w:rPr>
          <w:rStyle w:val="VerbatimChar"/>
        </w:rPr>
        <w:t>DEFINE GROUP Claims AS 'Claims Information' WITH WEIGHT 20</w:t>
      </w:r>
      <w:r>
        <w:br/>
      </w:r>
      <w:r>
        <w:rPr>
          <w:rStyle w:val="VerbatimChar"/>
        </w:rPr>
        <w:t>DEFINE GROUP Options AS 'Fee Options' WITH WEIGHT 30</w:t>
      </w:r>
    </w:p>
    <w:p w14:paraId="54D44198" w14:textId="77777777" w:rsidR="00AE42C0" w:rsidRDefault="00000000">
      <w:pPr>
        <w:pStyle w:val="Heading3"/>
      </w:pPr>
      <w:bookmarkStart w:id="24" w:name="fee-computation-blocks"/>
      <w:bookmarkEnd w:id="23"/>
      <w:r>
        <w:t>3.6 Fee Computation Blocks</w:t>
      </w:r>
    </w:p>
    <w:p w14:paraId="6DE53E94" w14:textId="77777777" w:rsidR="00AE42C0" w:rsidRDefault="00000000">
      <w:pPr>
        <w:pStyle w:val="FirstParagraph"/>
      </w:pPr>
      <w:r>
        <w:t>Fee calculations use structured COMPUTE FEE blocks with conditional YIELD statements.</w:t>
      </w:r>
    </w:p>
    <w:p w14:paraId="0E9EB638" w14:textId="77777777" w:rsidR="00AE42C0" w:rsidRDefault="00000000">
      <w:pPr>
        <w:pStyle w:val="BodyText"/>
      </w:pPr>
      <w:r>
        <w:rPr>
          <w:b/>
          <w:bCs/>
        </w:rPr>
        <w:t>Basic syntax:</w:t>
      </w:r>
    </w:p>
    <w:p w14:paraId="79C13EF5" w14:textId="77777777" w:rsidR="00AE42C0" w:rsidRDefault="00000000">
      <w:pPr>
        <w:pStyle w:val="SourceCode"/>
      </w:pPr>
      <w:r>
        <w:rPr>
          <w:rStyle w:val="VerbatimChar"/>
        </w:rPr>
        <w:t>COMPUTE FEE &lt;fee_name&gt; [OPTIONAL]</w:t>
      </w:r>
      <w:r>
        <w:br/>
      </w:r>
      <w:r>
        <w:rPr>
          <w:rStyle w:val="VerbatimChar"/>
        </w:rPr>
        <w:t xml:space="preserve">  [LET &lt;variable&gt; AS &lt;expression&gt;]*</w:t>
      </w:r>
      <w:r>
        <w:br/>
      </w:r>
      <w:r>
        <w:rPr>
          <w:rStyle w:val="VerbatimChar"/>
        </w:rPr>
        <w:t xml:space="preserve">  [CASE &lt;condition&gt; AS</w:t>
      </w:r>
      <w:r>
        <w:br/>
      </w:r>
      <w:r>
        <w:rPr>
          <w:rStyle w:val="VerbatimChar"/>
        </w:rPr>
        <w:t xml:space="preserve">    YIELD &lt;expression&gt; [IF &lt;condition&gt;]</w:t>
      </w:r>
      <w:r>
        <w:br/>
      </w:r>
      <w:r>
        <w:rPr>
          <w:rStyle w:val="VerbatimChar"/>
        </w:rPr>
        <w:t xml:space="preserve">  ENDCASE]*</w:t>
      </w:r>
      <w:r>
        <w:br/>
      </w:r>
      <w:r>
        <w:rPr>
          <w:rStyle w:val="VerbatimChar"/>
        </w:rPr>
        <w:t xml:space="preserve">  YIELD &lt;expression&gt; [IF &lt;condition&gt;]</w:t>
      </w:r>
      <w:r>
        <w:br/>
      </w:r>
      <w:r>
        <w:rPr>
          <w:rStyle w:val="VerbatimChar"/>
        </w:rPr>
        <w:t>ENDCOMPUTE</w:t>
      </w:r>
    </w:p>
    <w:p w14:paraId="05993B30" w14:textId="77777777" w:rsidR="00AE42C0" w:rsidRDefault="00000000">
      <w:pPr>
        <w:pStyle w:val="FirstParagraph"/>
      </w:pPr>
      <w:r>
        <w:t>The OPTIONAL keyword distinguishes fees that may or may not apply from mandatory fees.</w:t>
      </w:r>
    </w:p>
    <w:p w14:paraId="62804F6A" w14:textId="77777777" w:rsidR="00AE42C0" w:rsidRDefault="00000000">
      <w:pPr>
        <w:pStyle w:val="BodyText"/>
      </w:pPr>
      <w:r>
        <w:rPr>
          <w:b/>
          <w:bCs/>
        </w:rPr>
        <w:t>Example - EPO claim fees with progressive rates:</w:t>
      </w:r>
    </w:p>
    <w:p w14:paraId="6F739170" w14:textId="77777777" w:rsidR="00AE42C0" w:rsidRDefault="00000000">
      <w:pPr>
        <w:pStyle w:val="SourceCode"/>
      </w:pPr>
      <w:r>
        <w:rPr>
          <w:rStyle w:val="VerbatimChar"/>
        </w:rPr>
        <w:t>COMPUTE FEE ExcessClaimsFee</w:t>
      </w:r>
      <w:r>
        <w:br/>
      </w:r>
      <w:r>
        <w:rPr>
          <w:rStyle w:val="VerbatimChar"/>
        </w:rPr>
        <w:t>LET ClaimFee1 AS 265&lt;EUR&gt;</w:t>
      </w:r>
      <w:r>
        <w:br/>
      </w:r>
      <w:r>
        <w:rPr>
          <w:rStyle w:val="VerbatimChar"/>
        </w:rPr>
        <w:t>LET ClaimFee2 AS 660&lt;EUR&gt;</w:t>
      </w:r>
      <w:r>
        <w:br/>
      </w:r>
      <w:r>
        <w:rPr>
          <w:rStyle w:val="VerbatimChar"/>
        </w:rPr>
        <w:t>CASE ClaimCount LTE 15 AS</w:t>
      </w:r>
      <w:r>
        <w:br/>
      </w:r>
      <w:r>
        <w:rPr>
          <w:rStyle w:val="VerbatimChar"/>
        </w:rPr>
        <w:t xml:space="preserve">  YIELD 0&lt;EUR&gt;</w:t>
      </w:r>
      <w:r>
        <w:br/>
      </w:r>
      <w:r>
        <w:rPr>
          <w:rStyle w:val="VerbatimChar"/>
        </w:rPr>
        <w:t>ENDCASE</w:t>
      </w:r>
      <w:r>
        <w:br/>
      </w:r>
      <w:r>
        <w:rPr>
          <w:rStyle w:val="VerbatimChar"/>
        </w:rPr>
        <w:t>CASE ClaimCount GT 15 AND ClaimCount LTE 50 AS</w:t>
      </w:r>
      <w:r>
        <w:br/>
      </w:r>
      <w:r>
        <w:rPr>
          <w:rStyle w:val="VerbatimChar"/>
        </w:rPr>
        <w:t xml:space="preserve">  YIELD ClaimFee1 * (ClaimCount - 15)</w:t>
      </w:r>
      <w:r>
        <w:br/>
      </w:r>
      <w:r>
        <w:rPr>
          <w:rStyle w:val="VerbatimChar"/>
        </w:rPr>
        <w:t>ENDCASE</w:t>
      </w:r>
      <w:r>
        <w:br/>
      </w:r>
      <w:r>
        <w:rPr>
          <w:rStyle w:val="VerbatimChar"/>
        </w:rPr>
        <w:t>CASE ClaimCount GT 50 AS</w:t>
      </w:r>
      <w:r>
        <w:br/>
      </w:r>
      <w:r>
        <w:rPr>
          <w:rStyle w:val="VerbatimChar"/>
        </w:rPr>
        <w:t xml:space="preserve">  YIELD ClaimFee1 * 35 + ClaimFee2 * (ClaimCount - 50)</w:t>
      </w:r>
      <w:r>
        <w:br/>
      </w:r>
      <w:r>
        <w:rPr>
          <w:rStyle w:val="VerbatimChar"/>
        </w:rPr>
        <w:t>ENDCASE</w:t>
      </w:r>
      <w:r>
        <w:br/>
      </w:r>
      <w:r>
        <w:rPr>
          <w:rStyle w:val="VerbatimChar"/>
        </w:rPr>
        <w:t>ENDCOMPUTE</w:t>
      </w:r>
    </w:p>
    <w:p w14:paraId="3F9F6029" w14:textId="77777777" w:rsidR="00AE42C0" w:rsidRDefault="00000000">
      <w:pPr>
        <w:pStyle w:val="FirstParagraph"/>
      </w:pPr>
      <w:r>
        <w:lastRenderedPageBreak/>
        <w:t>This directly encodes the EPO’s fee schedule: EUR 265 per claim for claims 16-50 and EUR 660 per claim beyond 50.</w:t>
      </w:r>
    </w:p>
    <w:p w14:paraId="6038E314" w14:textId="77777777" w:rsidR="00AE42C0" w:rsidRDefault="00000000">
      <w:pPr>
        <w:pStyle w:val="Heading3"/>
      </w:pPr>
      <w:bookmarkStart w:id="25" w:name="currency-literals"/>
      <w:bookmarkEnd w:id="24"/>
      <w:r>
        <w:t>3.7 Currency Literals</w:t>
      </w:r>
    </w:p>
    <w:p w14:paraId="016C5C79" w14:textId="77777777" w:rsidR="00AE42C0" w:rsidRDefault="00000000">
      <w:pPr>
        <w:pStyle w:val="FirstParagraph"/>
      </w:pPr>
      <w:r>
        <w:t>Numeric values can be annotated with ISO 4217 currency codes:</w:t>
      </w:r>
    </w:p>
    <w:p w14:paraId="35243825" w14:textId="77777777" w:rsidR="00AE42C0" w:rsidRDefault="00000000">
      <w:pPr>
        <w:pStyle w:val="SourceCode"/>
      </w:pPr>
      <w:r>
        <w:rPr>
          <w:rStyle w:val="VerbatimChar"/>
        </w:rPr>
        <w:t>100&lt;EUR&gt;      # 100 Euros</w:t>
      </w:r>
      <w:r>
        <w:br/>
      </w:r>
      <w:r>
        <w:rPr>
          <w:rStyle w:val="VerbatimChar"/>
        </w:rPr>
        <w:t>50.50&lt;USD&gt;    # 50.50 US Dollars</w:t>
      </w:r>
      <w:r>
        <w:br/>
      </w:r>
      <w:r>
        <w:rPr>
          <w:rStyle w:val="VerbatimChar"/>
        </w:rPr>
        <w:t>1000&lt;JPY&gt;     # 1000 Japanese Yen</w:t>
      </w:r>
    </w:p>
    <w:p w14:paraId="498AA109" w14:textId="77777777" w:rsidR="00AE42C0" w:rsidRDefault="00000000">
      <w:pPr>
        <w:pStyle w:val="FirstParagraph"/>
      </w:pPr>
      <w:r>
        <w:t>The type system enforces currency compatibility at compile time, as detailed in Section 4.</w:t>
      </w:r>
    </w:p>
    <w:p w14:paraId="6650A115" w14:textId="77777777" w:rsidR="00AE42C0" w:rsidRDefault="00000000">
      <w:pPr>
        <w:pStyle w:val="Heading3"/>
      </w:pPr>
      <w:bookmarkStart w:id="26" w:name="operators-and-expressions"/>
      <w:bookmarkEnd w:id="25"/>
      <w:r>
        <w:t>3.8 Operators and Expressions</w:t>
      </w:r>
    </w:p>
    <w:p w14:paraId="3E409DD0" w14:textId="77777777" w:rsidR="00AE42C0" w:rsidRDefault="00000000">
      <w:pPr>
        <w:pStyle w:val="FirstParagraph"/>
      </w:pPr>
      <w:r>
        <w:t>IPFLang provides:</w:t>
      </w:r>
    </w:p>
    <w:p w14:paraId="4FF2FFB7" w14:textId="77777777" w:rsidR="00AE42C0" w:rsidRDefault="00000000">
      <w:pPr>
        <w:pStyle w:val="BodyText"/>
      </w:pPr>
      <w:r>
        <w:rPr>
          <w:b/>
          <w:bCs/>
        </w:rPr>
        <w:t>Comparison operators:</w:t>
      </w:r>
      <w:r>
        <w:t xml:space="preserve"> EQ (equality), NEQ (inequality), GT (greater than), LT (less than), GTE (greater or equal), LTE (less or equal)</w:t>
      </w:r>
    </w:p>
    <w:p w14:paraId="3848F070" w14:textId="77777777" w:rsidR="00AE42C0" w:rsidRDefault="00000000">
      <w:pPr>
        <w:pStyle w:val="BodyText"/>
      </w:pPr>
      <w:r>
        <w:rPr>
          <w:b/>
          <w:bCs/>
        </w:rPr>
        <w:t>Logical operators:</w:t>
      </w:r>
      <w:r>
        <w:t xml:space="preserve"> AND, OR (with short-circuit evaluation)</w:t>
      </w:r>
    </w:p>
    <w:p w14:paraId="613CD42C" w14:textId="77777777" w:rsidR="00AE42C0" w:rsidRDefault="00000000">
      <w:pPr>
        <w:pStyle w:val="BodyText"/>
      </w:pPr>
      <w:r>
        <w:rPr>
          <w:b/>
          <w:bCs/>
        </w:rPr>
        <w:t>Arithmetic operators:</w:t>
      </w:r>
      <w:r>
        <w:t xml:space="preserve"> +, -, *, /, with ROUND, FLOOR, CEIL functions</w:t>
      </w:r>
    </w:p>
    <w:p w14:paraId="75A493DE" w14:textId="77777777" w:rsidR="00AE42C0" w:rsidRDefault="00000000">
      <w:pPr>
        <w:pStyle w:val="BodyText"/>
      </w:pPr>
      <w:r>
        <w:rPr>
          <w:b/>
          <w:bCs/>
        </w:rPr>
        <w:t>Set operators for MULTILIST:</w:t>
      </w:r>
      <w:r>
        <w:t xml:space="preserve"> IN (membership), NIN (non-membership), !COUNT (cardinality)</w:t>
      </w:r>
    </w:p>
    <w:p w14:paraId="45C99D77" w14:textId="77777777" w:rsidR="00AE42C0" w:rsidRDefault="00000000">
      <w:pPr>
        <w:pStyle w:val="BodyText"/>
      </w:pPr>
      <w:r>
        <w:rPr>
          <w:b/>
          <w:bCs/>
        </w:rPr>
        <w:t>Operator precedence</w:t>
      </w:r>
      <w:r>
        <w:t xml:space="preserve"> (highest to lowest): ROUND/FLOOR/CEIL, then *, /, then +, -, then comparisons, then AND, then OR. Parentheses override default precedence.</w:t>
      </w:r>
    </w:p>
    <w:p w14:paraId="62AAB4C5" w14:textId="77777777" w:rsidR="00AE42C0" w:rsidRDefault="00000000">
      <w:pPr>
        <w:pStyle w:val="Heading3"/>
      </w:pPr>
      <w:bookmarkStart w:id="27" w:name="jurisdiction-composition"/>
      <w:bookmarkEnd w:id="26"/>
      <w:r>
        <w:t>3.9 Jurisdiction Composition</w:t>
      </w:r>
    </w:p>
    <w:p w14:paraId="49E5E1E7" w14:textId="77777777" w:rsidR="00AE42C0" w:rsidRDefault="00000000">
      <w:pPr>
        <w:pStyle w:val="FirstParagraph"/>
      </w:pPr>
      <w:r>
        <w:t>IPFLang supports inheritance for code reuse across related fee schedules. A child jurisdiction inherits inputs and fees from a parent, can add new definitions, and can override inherited fees.</w:t>
      </w:r>
    </w:p>
    <w:p w14:paraId="131829D2" w14:textId="77777777" w:rsidR="00AE42C0" w:rsidRDefault="00000000">
      <w:pPr>
        <w:pStyle w:val="BodyText"/>
      </w:pPr>
      <w:r>
        <w:rPr>
          <w:b/>
          <w:bCs/>
        </w:rPr>
        <w:t>Parent (EPO base):</w:t>
      </w:r>
    </w:p>
    <w:p w14:paraId="21091B08" w14:textId="77777777" w:rsidR="00AE42C0" w:rsidRDefault="00000000">
      <w:pPr>
        <w:pStyle w:val="SourceCode"/>
      </w:pPr>
      <w:r>
        <w:rPr>
          <w:rStyle w:val="VerbatimChar"/>
        </w:rPr>
        <w:t>COMPUTE FEE FilingFee</w:t>
      </w:r>
      <w:r>
        <w:br/>
      </w:r>
      <w:r>
        <w:rPr>
          <w:rStyle w:val="VerbatimChar"/>
        </w:rPr>
        <w:t>YIELD 135&lt;EUR&gt;</w:t>
      </w:r>
      <w:r>
        <w:br/>
      </w:r>
      <w:r>
        <w:rPr>
          <w:rStyle w:val="VerbatimChar"/>
        </w:rPr>
        <w:t>ENDCOMPUTE</w:t>
      </w:r>
    </w:p>
    <w:p w14:paraId="755ECF28" w14:textId="77777777" w:rsidR="00AE42C0" w:rsidRDefault="00000000">
      <w:pPr>
        <w:pStyle w:val="FirstParagraph"/>
      </w:pPr>
      <w:r>
        <w:rPr>
          <w:b/>
          <w:bCs/>
        </w:rPr>
        <w:t>Child (EPO Germany national phase):</w:t>
      </w:r>
    </w:p>
    <w:p w14:paraId="513E15C9" w14:textId="77777777" w:rsidR="00AE42C0" w:rsidRDefault="00000000">
      <w:pPr>
        <w:pStyle w:val="SourceCode"/>
      </w:pPr>
      <w:r>
        <w:rPr>
          <w:rStyle w:val="VerbatimChar"/>
        </w:rPr>
        <w:t># Inherits FilingFee from parent</w:t>
      </w:r>
      <w:r>
        <w:br/>
      </w:r>
      <w:r>
        <w:rPr>
          <w:rStyle w:val="VerbatimChar"/>
        </w:rPr>
        <w:t># Adds Germany-specific fee</w:t>
      </w:r>
      <w:r>
        <w:br/>
      </w:r>
      <w:r>
        <w:rPr>
          <w:rStyle w:val="VerbatimChar"/>
        </w:rPr>
        <w:t>COMPUTE FEE GermanTranslationFee</w:t>
      </w:r>
      <w:r>
        <w:br/>
      </w:r>
      <w:r>
        <w:rPr>
          <w:rStyle w:val="VerbatimChar"/>
        </w:rPr>
        <w:t>YIELD 1050&lt;EUR&gt; IF NeedsTranslation EQ TRUE</w:t>
      </w:r>
      <w:r>
        <w:br/>
      </w:r>
      <w:r>
        <w:rPr>
          <w:rStyle w:val="VerbatimChar"/>
        </w:rPr>
        <w:t>YIELD 0&lt;EUR&gt; IF NeedsTranslation EQ FALSE</w:t>
      </w:r>
      <w:r>
        <w:br/>
      </w:r>
      <w:r>
        <w:rPr>
          <w:rStyle w:val="VerbatimChar"/>
        </w:rPr>
        <w:t>ENDCOMPUTE</w:t>
      </w:r>
    </w:p>
    <w:p w14:paraId="55D69B5B" w14:textId="77777777" w:rsidR="00AE42C0" w:rsidRDefault="00000000">
      <w:pPr>
        <w:pStyle w:val="FirstParagraph"/>
      </w:pPr>
      <w:r>
        <w:t>Composition enables significant code reuse between related jurisdictions, simplifies maintenance when base fees change, and maintains clear traceability of fee origins.</w:t>
      </w:r>
    </w:p>
    <w:p w14:paraId="2512DC02" w14:textId="77777777" w:rsidR="00AE42C0" w:rsidRDefault="00000000">
      <w:pPr>
        <w:pStyle w:val="Heading3"/>
      </w:pPr>
      <w:bookmarkStart w:id="28" w:name="formal-grammar-ebnf"/>
      <w:bookmarkEnd w:id="27"/>
      <w:r>
        <w:lastRenderedPageBreak/>
        <w:t>3.10 Formal Grammar (EBNF)</w:t>
      </w:r>
    </w:p>
    <w:p w14:paraId="5F8F0C6B" w14:textId="77777777" w:rsidR="00AE42C0" w:rsidRDefault="00000000">
      <w:pPr>
        <w:pStyle w:val="FirstParagraph"/>
      </w:pPr>
      <w:r>
        <w:t>The complete formal grammar in Extended Backus-Naur Form:</w:t>
      </w:r>
    </w:p>
    <w:p w14:paraId="0DDC60F5" w14:textId="77777777" w:rsidR="00AE42C0" w:rsidRPr="0039012D" w:rsidRDefault="00000000">
      <w:pPr>
        <w:pStyle w:val="SourceCode"/>
        <w:rPr>
          <w:sz w:val="20"/>
          <w:szCs w:val="20"/>
        </w:rPr>
      </w:pPr>
      <w:r w:rsidRPr="0039012D">
        <w:rPr>
          <w:rStyle w:val="VerbatimChar"/>
          <w:sz w:val="18"/>
          <w:szCs w:val="20"/>
        </w:rPr>
        <w:t>(* Program Structure *)</w:t>
      </w:r>
      <w:r w:rsidRPr="0039012D">
        <w:rPr>
          <w:sz w:val="20"/>
          <w:szCs w:val="20"/>
        </w:rPr>
        <w:br/>
      </w:r>
      <w:r w:rsidRPr="0039012D">
        <w:rPr>
          <w:rStyle w:val="VerbatimChar"/>
          <w:sz w:val="18"/>
          <w:szCs w:val="20"/>
        </w:rPr>
        <w:t>&lt;program&gt;              ::= &lt;comment&gt;* &lt;version&gt;? &lt;group&gt;* &lt;input_definition&gt;*</w:t>
      </w:r>
      <w:r w:rsidRPr="0039012D">
        <w:rPr>
          <w:sz w:val="20"/>
          <w:szCs w:val="20"/>
        </w:rPr>
        <w:br/>
      </w:r>
      <w:r w:rsidRPr="0039012D">
        <w:rPr>
          <w:rStyle w:val="VerbatimChar"/>
          <w:sz w:val="18"/>
          <w:szCs w:val="20"/>
        </w:rPr>
        <w:t xml:space="preserve">                           &lt;fee_computation&gt;+ &lt;verification&gt;* &lt;return&gt;*</w:t>
      </w:r>
      <w:r w:rsidRPr="0039012D">
        <w:rPr>
          <w:sz w:val="20"/>
          <w:szCs w:val="20"/>
        </w:rPr>
        <w:br/>
      </w:r>
      <w:r w:rsidRPr="0039012D">
        <w:rPr>
          <w:sz w:val="20"/>
          <w:szCs w:val="20"/>
        </w:rPr>
        <w:br/>
      </w:r>
      <w:r w:rsidRPr="0039012D">
        <w:rPr>
          <w:rStyle w:val="VerbatimChar"/>
          <w:sz w:val="18"/>
          <w:szCs w:val="20"/>
        </w:rPr>
        <w:t>(* Comments *)</w:t>
      </w:r>
      <w:r w:rsidRPr="0039012D">
        <w:rPr>
          <w:sz w:val="20"/>
          <w:szCs w:val="20"/>
        </w:rPr>
        <w:br/>
      </w:r>
      <w:r w:rsidRPr="0039012D">
        <w:rPr>
          <w:rStyle w:val="VerbatimChar"/>
          <w:sz w:val="18"/>
          <w:szCs w:val="20"/>
        </w:rPr>
        <w:t>&lt;comment&gt;              ::= "#" {&lt;any_char&gt; - &lt;newline&gt;} &lt;newline&gt;</w:t>
      </w:r>
      <w:r w:rsidRPr="0039012D">
        <w:rPr>
          <w:sz w:val="20"/>
          <w:szCs w:val="20"/>
        </w:rPr>
        <w:br/>
      </w:r>
      <w:r w:rsidRPr="0039012D">
        <w:rPr>
          <w:sz w:val="20"/>
          <w:szCs w:val="20"/>
        </w:rPr>
        <w:br/>
      </w:r>
      <w:r w:rsidRPr="0039012D">
        <w:rPr>
          <w:rStyle w:val="VerbatimChar"/>
          <w:sz w:val="18"/>
          <w:szCs w:val="20"/>
        </w:rPr>
        <w:t>(* Version Declaration *)</w:t>
      </w:r>
      <w:r w:rsidRPr="0039012D">
        <w:rPr>
          <w:sz w:val="20"/>
          <w:szCs w:val="20"/>
        </w:rPr>
        <w:br/>
      </w:r>
      <w:r w:rsidRPr="0039012D">
        <w:rPr>
          <w:rStyle w:val="VerbatimChar"/>
          <w:sz w:val="18"/>
          <w:szCs w:val="20"/>
        </w:rPr>
        <w:t>&lt;version&gt;              ::= "VERSION" &lt;string&gt; "EFFECTIVE" &lt;date&gt;</w:t>
      </w:r>
      <w:r w:rsidRPr="0039012D">
        <w:rPr>
          <w:sz w:val="20"/>
          <w:szCs w:val="20"/>
        </w:rPr>
        <w:br/>
      </w:r>
      <w:r w:rsidRPr="0039012D">
        <w:rPr>
          <w:rStyle w:val="VerbatimChar"/>
          <w:sz w:val="18"/>
          <w:szCs w:val="20"/>
        </w:rPr>
        <w:t xml:space="preserve">                           ["DESCRIPTION" &lt;string&gt;] ["REFERENCE" &lt;string&gt;]</w:t>
      </w:r>
      <w:r w:rsidRPr="0039012D">
        <w:rPr>
          <w:sz w:val="20"/>
          <w:szCs w:val="20"/>
        </w:rPr>
        <w:br/>
      </w:r>
      <w:r w:rsidRPr="0039012D">
        <w:rPr>
          <w:sz w:val="20"/>
          <w:szCs w:val="20"/>
        </w:rPr>
        <w:br/>
      </w:r>
      <w:r w:rsidRPr="0039012D">
        <w:rPr>
          <w:rStyle w:val="VerbatimChar"/>
          <w:sz w:val="18"/>
          <w:szCs w:val="20"/>
        </w:rPr>
        <w:t>(* Group Definition *)</w:t>
      </w:r>
      <w:r w:rsidRPr="0039012D">
        <w:rPr>
          <w:sz w:val="20"/>
          <w:szCs w:val="20"/>
        </w:rPr>
        <w:br/>
      </w:r>
      <w:r w:rsidRPr="0039012D">
        <w:rPr>
          <w:rStyle w:val="VerbatimChar"/>
          <w:sz w:val="18"/>
          <w:szCs w:val="20"/>
        </w:rPr>
        <w:t>&lt;group&gt;                ::= "DEFINE" "GROUP" &lt;identifier&gt; "AS" &lt;string&gt;</w:t>
      </w:r>
      <w:r w:rsidRPr="0039012D">
        <w:rPr>
          <w:sz w:val="20"/>
          <w:szCs w:val="20"/>
        </w:rPr>
        <w:br/>
      </w:r>
      <w:r w:rsidRPr="0039012D">
        <w:rPr>
          <w:rStyle w:val="VerbatimChar"/>
          <w:sz w:val="18"/>
          <w:szCs w:val="20"/>
        </w:rPr>
        <w:t xml:space="preserve">                           "WITH" "WEIGHT" &lt;number&gt;</w:t>
      </w:r>
      <w:r w:rsidRPr="0039012D">
        <w:rPr>
          <w:sz w:val="20"/>
          <w:szCs w:val="20"/>
        </w:rPr>
        <w:br/>
      </w:r>
      <w:r w:rsidRPr="0039012D">
        <w:rPr>
          <w:sz w:val="20"/>
          <w:szCs w:val="20"/>
        </w:rPr>
        <w:br/>
      </w:r>
      <w:r w:rsidRPr="0039012D">
        <w:rPr>
          <w:rStyle w:val="VerbatimChar"/>
          <w:sz w:val="18"/>
          <w:szCs w:val="20"/>
        </w:rPr>
        <w:t>(* Input Definitions *)</w:t>
      </w:r>
      <w:r w:rsidRPr="0039012D">
        <w:rPr>
          <w:sz w:val="20"/>
          <w:szCs w:val="20"/>
        </w:rPr>
        <w:br/>
      </w:r>
      <w:r w:rsidRPr="0039012D">
        <w:rPr>
          <w:rStyle w:val="VerbatimChar"/>
          <w:sz w:val="18"/>
          <w:szCs w:val="20"/>
        </w:rPr>
        <w:t>&lt;input_definition&gt;     ::= "DEFINE" &lt;input_type&gt; &lt;identifier&gt; "AS" &lt;string&gt;</w:t>
      </w:r>
      <w:r w:rsidRPr="0039012D">
        <w:rPr>
          <w:sz w:val="20"/>
          <w:szCs w:val="20"/>
        </w:rPr>
        <w:br/>
      </w:r>
      <w:r w:rsidRPr="0039012D">
        <w:rPr>
          <w:rStyle w:val="VerbatimChar"/>
          <w:sz w:val="18"/>
          <w:szCs w:val="20"/>
        </w:rPr>
        <w:t xml:space="preserve">                           ["GROUP" &lt;identifier&gt;] &lt;type_specifics&gt;</w:t>
      </w:r>
      <w:r w:rsidRPr="0039012D">
        <w:rPr>
          <w:sz w:val="20"/>
          <w:szCs w:val="20"/>
        </w:rPr>
        <w:br/>
      </w:r>
      <w:r w:rsidRPr="0039012D">
        <w:rPr>
          <w:rStyle w:val="VerbatimChar"/>
          <w:sz w:val="18"/>
          <w:szCs w:val="20"/>
        </w:rPr>
        <w:t xml:space="preserve">                           ["DEFAULT" &lt;default_value&gt;] "ENDDEFINE"</w:t>
      </w:r>
      <w:r w:rsidRPr="0039012D">
        <w:rPr>
          <w:sz w:val="20"/>
          <w:szCs w:val="20"/>
        </w:rPr>
        <w:br/>
      </w:r>
      <w:r w:rsidRPr="0039012D">
        <w:rPr>
          <w:sz w:val="20"/>
          <w:szCs w:val="20"/>
        </w:rPr>
        <w:br/>
      </w:r>
      <w:r w:rsidRPr="0039012D">
        <w:rPr>
          <w:rStyle w:val="VerbatimChar"/>
          <w:sz w:val="18"/>
          <w:szCs w:val="20"/>
        </w:rPr>
        <w:t>&lt;input_type&gt;           ::= "LIST" | "MULTILIST" | "NUMBER" | "BOOLEAN" | "DATE" | "AMOUNT"</w:t>
      </w:r>
      <w:r w:rsidRPr="0039012D">
        <w:rPr>
          <w:sz w:val="20"/>
          <w:szCs w:val="20"/>
        </w:rPr>
        <w:br/>
      </w:r>
      <w:r w:rsidRPr="0039012D">
        <w:rPr>
          <w:sz w:val="20"/>
          <w:szCs w:val="20"/>
        </w:rPr>
        <w:br/>
      </w:r>
      <w:r w:rsidRPr="0039012D">
        <w:rPr>
          <w:rStyle w:val="VerbatimChar"/>
          <w:sz w:val="18"/>
          <w:szCs w:val="20"/>
        </w:rPr>
        <w:t>&lt;type_specifics&gt;       ::= &lt;choices&gt; | &lt;numeric_constraint&gt; | &lt;date_constraint&gt;</w:t>
      </w:r>
      <w:r w:rsidRPr="0039012D">
        <w:rPr>
          <w:sz w:val="20"/>
          <w:szCs w:val="20"/>
        </w:rPr>
        <w:br/>
      </w:r>
      <w:r w:rsidRPr="0039012D">
        <w:rPr>
          <w:rStyle w:val="VerbatimChar"/>
          <w:sz w:val="18"/>
          <w:szCs w:val="20"/>
        </w:rPr>
        <w:t xml:space="preserve">                         | &lt;currency_spec&gt; | ε</w:t>
      </w:r>
      <w:r w:rsidRPr="0039012D">
        <w:rPr>
          <w:sz w:val="20"/>
          <w:szCs w:val="20"/>
        </w:rPr>
        <w:br/>
      </w:r>
      <w:r w:rsidRPr="0039012D">
        <w:rPr>
          <w:sz w:val="20"/>
          <w:szCs w:val="20"/>
        </w:rPr>
        <w:br/>
      </w:r>
      <w:r w:rsidRPr="0039012D">
        <w:rPr>
          <w:rStyle w:val="VerbatimChar"/>
          <w:sz w:val="18"/>
          <w:szCs w:val="20"/>
        </w:rPr>
        <w:t>&lt;choices&gt;              ::= &lt;choice&gt;+</w:t>
      </w:r>
      <w:r w:rsidRPr="0039012D">
        <w:rPr>
          <w:sz w:val="20"/>
          <w:szCs w:val="20"/>
        </w:rPr>
        <w:br/>
      </w:r>
      <w:r w:rsidRPr="0039012D">
        <w:rPr>
          <w:rStyle w:val="VerbatimChar"/>
          <w:sz w:val="18"/>
          <w:szCs w:val="20"/>
        </w:rPr>
        <w:t>&lt;choice&gt;               ::= "CHOICE" &lt;identifier&gt; "AS" &lt;string&gt;</w:t>
      </w:r>
      <w:r w:rsidRPr="0039012D">
        <w:rPr>
          <w:sz w:val="20"/>
          <w:szCs w:val="20"/>
        </w:rPr>
        <w:br/>
      </w:r>
      <w:r w:rsidRPr="0039012D">
        <w:rPr>
          <w:sz w:val="20"/>
          <w:szCs w:val="20"/>
        </w:rPr>
        <w:br/>
      </w:r>
      <w:r w:rsidRPr="0039012D">
        <w:rPr>
          <w:rStyle w:val="VerbatimChar"/>
          <w:sz w:val="18"/>
          <w:szCs w:val="20"/>
        </w:rPr>
        <w:t>&lt;numeric_constraint&gt;   ::= "BETWEEN" &lt;number&gt; "AND" &lt;number&gt;</w:t>
      </w:r>
      <w:r w:rsidRPr="0039012D">
        <w:rPr>
          <w:sz w:val="20"/>
          <w:szCs w:val="20"/>
        </w:rPr>
        <w:br/>
      </w:r>
      <w:r w:rsidRPr="0039012D">
        <w:rPr>
          <w:rStyle w:val="VerbatimChar"/>
          <w:sz w:val="18"/>
          <w:szCs w:val="20"/>
        </w:rPr>
        <w:t>&lt;date_constraint&gt;      ::= "BETWEEN" &lt;date&gt; "AND" (&lt;date&gt; | "TODAY")</w:t>
      </w:r>
      <w:r w:rsidRPr="0039012D">
        <w:rPr>
          <w:sz w:val="20"/>
          <w:szCs w:val="20"/>
        </w:rPr>
        <w:br/>
      </w:r>
      <w:r w:rsidRPr="0039012D">
        <w:rPr>
          <w:rStyle w:val="VerbatimChar"/>
          <w:sz w:val="18"/>
          <w:szCs w:val="20"/>
        </w:rPr>
        <w:t>&lt;currency_spec&gt;        ::= "CURRENCY" &lt;currency_code&gt;</w:t>
      </w:r>
      <w:r w:rsidRPr="0039012D">
        <w:rPr>
          <w:sz w:val="20"/>
          <w:szCs w:val="20"/>
        </w:rPr>
        <w:br/>
      </w:r>
      <w:r w:rsidRPr="0039012D">
        <w:rPr>
          <w:sz w:val="20"/>
          <w:szCs w:val="20"/>
        </w:rPr>
        <w:br/>
      </w:r>
      <w:r w:rsidRPr="0039012D">
        <w:rPr>
          <w:rStyle w:val="VerbatimChar"/>
          <w:sz w:val="18"/>
          <w:szCs w:val="20"/>
        </w:rPr>
        <w:t>&lt;default_value&gt;        ::= &lt;number&gt; | &lt;identifier&gt; | &lt;boolean_literal&gt; | &lt;date&gt;</w:t>
      </w:r>
      <w:r w:rsidRPr="0039012D">
        <w:rPr>
          <w:sz w:val="20"/>
          <w:szCs w:val="20"/>
        </w:rPr>
        <w:br/>
      </w:r>
      <w:r w:rsidRPr="0039012D">
        <w:rPr>
          <w:rStyle w:val="VerbatimChar"/>
          <w:sz w:val="18"/>
          <w:szCs w:val="20"/>
        </w:rPr>
        <w:t xml:space="preserve">                         | &lt;currency_literal&gt; | &lt;identifier_list&gt;</w:t>
      </w:r>
      <w:r w:rsidRPr="0039012D">
        <w:rPr>
          <w:sz w:val="20"/>
          <w:szCs w:val="20"/>
        </w:rPr>
        <w:br/>
      </w:r>
      <w:r w:rsidRPr="0039012D">
        <w:rPr>
          <w:rStyle w:val="VerbatimChar"/>
          <w:sz w:val="18"/>
          <w:szCs w:val="20"/>
        </w:rPr>
        <w:t>&lt;identifier_list&gt;      ::= &lt;identifier&gt; ("," &lt;identifier&gt;)*</w:t>
      </w:r>
      <w:r w:rsidRPr="0039012D">
        <w:rPr>
          <w:sz w:val="20"/>
          <w:szCs w:val="20"/>
        </w:rPr>
        <w:br/>
      </w:r>
      <w:r w:rsidRPr="0039012D">
        <w:rPr>
          <w:rStyle w:val="VerbatimChar"/>
          <w:sz w:val="18"/>
          <w:szCs w:val="20"/>
        </w:rPr>
        <w:t>&lt;boolean_literal&gt;      ::= "TRUE" | "FALSE"</w:t>
      </w:r>
      <w:r w:rsidRPr="0039012D">
        <w:rPr>
          <w:sz w:val="20"/>
          <w:szCs w:val="20"/>
        </w:rPr>
        <w:br/>
      </w:r>
      <w:r w:rsidRPr="0039012D">
        <w:rPr>
          <w:sz w:val="20"/>
          <w:szCs w:val="20"/>
        </w:rPr>
        <w:br/>
      </w:r>
      <w:r w:rsidRPr="0039012D">
        <w:rPr>
          <w:rStyle w:val="VerbatimChar"/>
          <w:sz w:val="18"/>
          <w:szCs w:val="20"/>
        </w:rPr>
        <w:t>(* Fee Computation *)</w:t>
      </w:r>
      <w:r w:rsidRPr="0039012D">
        <w:rPr>
          <w:sz w:val="20"/>
          <w:szCs w:val="20"/>
        </w:rPr>
        <w:br/>
      </w:r>
      <w:r w:rsidRPr="0039012D">
        <w:rPr>
          <w:rStyle w:val="VerbatimChar"/>
          <w:sz w:val="18"/>
          <w:szCs w:val="20"/>
        </w:rPr>
        <w:t>&lt;fee_computation&gt;      ::= "COMPUTE" "FEE" &lt;identifier&gt; ["OPTIONAL"]</w:t>
      </w:r>
      <w:r w:rsidRPr="0039012D">
        <w:rPr>
          <w:sz w:val="20"/>
          <w:szCs w:val="20"/>
        </w:rPr>
        <w:br/>
      </w:r>
      <w:r w:rsidRPr="0039012D">
        <w:rPr>
          <w:rStyle w:val="VerbatimChar"/>
          <w:sz w:val="18"/>
          <w:szCs w:val="20"/>
        </w:rPr>
        <w:t xml:space="preserve">                           &lt;let_statement&gt;* &lt;case_or_yield&gt;*</w:t>
      </w:r>
      <w:r w:rsidRPr="0039012D">
        <w:rPr>
          <w:sz w:val="20"/>
          <w:szCs w:val="20"/>
        </w:rPr>
        <w:br/>
      </w:r>
      <w:r w:rsidRPr="0039012D">
        <w:rPr>
          <w:rStyle w:val="VerbatimChar"/>
          <w:sz w:val="18"/>
          <w:szCs w:val="20"/>
        </w:rPr>
        <w:t xml:space="preserve">                           "ENDCOMPUTE"</w:t>
      </w:r>
      <w:r w:rsidRPr="0039012D">
        <w:rPr>
          <w:sz w:val="20"/>
          <w:szCs w:val="20"/>
        </w:rPr>
        <w:br/>
      </w:r>
      <w:r w:rsidRPr="0039012D">
        <w:rPr>
          <w:sz w:val="20"/>
          <w:szCs w:val="20"/>
        </w:rPr>
        <w:br/>
      </w:r>
      <w:r w:rsidRPr="0039012D">
        <w:rPr>
          <w:rStyle w:val="VerbatimChar"/>
          <w:sz w:val="18"/>
          <w:szCs w:val="20"/>
        </w:rPr>
        <w:t>&lt;let_statement&gt;        ::= "LET" &lt;identifier&gt; "AS" &lt;expression&gt;</w:t>
      </w:r>
      <w:r w:rsidRPr="0039012D">
        <w:rPr>
          <w:sz w:val="20"/>
          <w:szCs w:val="20"/>
        </w:rPr>
        <w:br/>
      </w:r>
      <w:r w:rsidRPr="0039012D">
        <w:rPr>
          <w:sz w:val="20"/>
          <w:szCs w:val="20"/>
        </w:rPr>
        <w:br/>
      </w:r>
      <w:r w:rsidRPr="0039012D">
        <w:rPr>
          <w:rStyle w:val="VerbatimChar"/>
          <w:sz w:val="18"/>
          <w:szCs w:val="20"/>
        </w:rPr>
        <w:t>&lt;case_or_yield&gt;        ::= &lt;case_block&gt; | &lt;yield_statement&gt;</w:t>
      </w:r>
      <w:r w:rsidRPr="0039012D">
        <w:rPr>
          <w:sz w:val="20"/>
          <w:szCs w:val="20"/>
        </w:rPr>
        <w:br/>
      </w:r>
      <w:r w:rsidRPr="0039012D">
        <w:rPr>
          <w:rStyle w:val="VerbatimChar"/>
          <w:sz w:val="18"/>
          <w:szCs w:val="20"/>
        </w:rPr>
        <w:t>&lt;case_block&gt;           ::= "CASE" &lt;condition&gt; "AS" &lt;yield_statement&gt;+ "ENDCASE"</w:t>
      </w:r>
      <w:r w:rsidRPr="0039012D">
        <w:rPr>
          <w:sz w:val="20"/>
          <w:szCs w:val="20"/>
        </w:rPr>
        <w:br/>
      </w:r>
      <w:r w:rsidRPr="0039012D">
        <w:rPr>
          <w:rStyle w:val="VerbatimChar"/>
          <w:sz w:val="18"/>
          <w:szCs w:val="20"/>
        </w:rPr>
        <w:t>&lt;yield_statement&gt;      ::= "YIELD" &lt;expression&gt; ["IF" &lt;condition&gt;]</w:t>
      </w:r>
      <w:r w:rsidRPr="0039012D">
        <w:rPr>
          <w:sz w:val="20"/>
          <w:szCs w:val="20"/>
        </w:rPr>
        <w:br/>
      </w:r>
      <w:r w:rsidRPr="0039012D">
        <w:rPr>
          <w:sz w:val="20"/>
          <w:szCs w:val="20"/>
        </w:rPr>
        <w:br/>
      </w:r>
      <w:r w:rsidRPr="0039012D">
        <w:rPr>
          <w:rStyle w:val="VerbatimChar"/>
          <w:sz w:val="18"/>
          <w:szCs w:val="20"/>
        </w:rPr>
        <w:t>(* Verification Directives *)</w:t>
      </w:r>
      <w:r w:rsidRPr="0039012D">
        <w:rPr>
          <w:sz w:val="20"/>
          <w:szCs w:val="20"/>
        </w:rPr>
        <w:br/>
      </w:r>
      <w:r w:rsidRPr="0039012D">
        <w:rPr>
          <w:rStyle w:val="VerbatimChar"/>
          <w:sz w:val="18"/>
          <w:szCs w:val="20"/>
        </w:rPr>
        <w:t>&lt;verification&gt;         ::= &lt;verify_complete&gt; | &lt;verify_monotonic&gt;</w:t>
      </w:r>
      <w:r w:rsidRPr="0039012D">
        <w:rPr>
          <w:sz w:val="20"/>
          <w:szCs w:val="20"/>
        </w:rPr>
        <w:br/>
      </w:r>
      <w:r w:rsidRPr="0039012D">
        <w:rPr>
          <w:rStyle w:val="VerbatimChar"/>
          <w:sz w:val="18"/>
          <w:szCs w:val="20"/>
        </w:rPr>
        <w:t>&lt;verify_complete&gt;      ::= "VERIFY" "COMPLETE" "FEE" &lt;identifier&gt;</w:t>
      </w:r>
      <w:r w:rsidRPr="0039012D">
        <w:rPr>
          <w:sz w:val="20"/>
          <w:szCs w:val="20"/>
        </w:rPr>
        <w:br/>
      </w:r>
      <w:r w:rsidRPr="0039012D">
        <w:rPr>
          <w:rStyle w:val="VerbatimChar"/>
          <w:sz w:val="18"/>
          <w:szCs w:val="20"/>
        </w:rPr>
        <w:t>&lt;verify_monotonic&gt;     ::= "VERIFY" "MONOTONIC" "FEE" &lt;identifier&gt;</w:t>
      </w:r>
      <w:r w:rsidRPr="0039012D">
        <w:rPr>
          <w:sz w:val="20"/>
          <w:szCs w:val="20"/>
        </w:rPr>
        <w:br/>
      </w:r>
      <w:r w:rsidRPr="0039012D">
        <w:rPr>
          <w:rStyle w:val="VerbatimChar"/>
          <w:sz w:val="18"/>
          <w:szCs w:val="20"/>
        </w:rPr>
        <w:t xml:space="preserve">                           "WITH" "RESPECT" "TO" &lt;identifier&gt;</w:t>
      </w:r>
      <w:r w:rsidRPr="0039012D">
        <w:rPr>
          <w:sz w:val="20"/>
          <w:szCs w:val="20"/>
        </w:rPr>
        <w:br/>
      </w:r>
      <w:r w:rsidRPr="0039012D">
        <w:rPr>
          <w:rStyle w:val="VerbatimChar"/>
          <w:sz w:val="18"/>
          <w:szCs w:val="20"/>
        </w:rPr>
        <w:t xml:space="preserve">                           ["DIRECTION" &lt;direction&gt;]</w:t>
      </w:r>
      <w:r w:rsidRPr="0039012D">
        <w:rPr>
          <w:sz w:val="20"/>
          <w:szCs w:val="20"/>
        </w:rPr>
        <w:br/>
      </w:r>
      <w:r w:rsidRPr="0039012D">
        <w:rPr>
          <w:rStyle w:val="VerbatimChar"/>
          <w:sz w:val="18"/>
          <w:szCs w:val="20"/>
        </w:rPr>
        <w:t>&lt;direction&gt;            ::= "NonDecreasing" | "NonIncreasing"</w:t>
      </w:r>
      <w:r w:rsidRPr="0039012D">
        <w:rPr>
          <w:sz w:val="20"/>
          <w:szCs w:val="20"/>
        </w:rPr>
        <w:br/>
      </w:r>
      <w:r w:rsidRPr="0039012D">
        <w:rPr>
          <w:rStyle w:val="VerbatimChar"/>
          <w:sz w:val="18"/>
          <w:szCs w:val="20"/>
        </w:rPr>
        <w:t xml:space="preserve">                         | "StrictlyIncreasing" | "StrictlyDecreasing"</w:t>
      </w:r>
      <w:r w:rsidRPr="0039012D">
        <w:rPr>
          <w:sz w:val="20"/>
          <w:szCs w:val="20"/>
        </w:rPr>
        <w:br/>
      </w:r>
      <w:r w:rsidRPr="0039012D">
        <w:rPr>
          <w:sz w:val="20"/>
          <w:szCs w:val="20"/>
        </w:rPr>
        <w:br/>
      </w:r>
      <w:r w:rsidRPr="0039012D">
        <w:rPr>
          <w:rStyle w:val="VerbatimChar"/>
          <w:sz w:val="18"/>
          <w:szCs w:val="20"/>
        </w:rPr>
        <w:t>(* Return Statement *)</w:t>
      </w:r>
      <w:r w:rsidRPr="0039012D">
        <w:rPr>
          <w:sz w:val="20"/>
          <w:szCs w:val="20"/>
        </w:rPr>
        <w:br/>
      </w:r>
      <w:r w:rsidRPr="0039012D">
        <w:rPr>
          <w:rStyle w:val="VerbatimChar"/>
          <w:sz w:val="18"/>
          <w:szCs w:val="20"/>
        </w:rPr>
        <w:t>&lt;return&gt;               ::= "RETURN" &lt;identifier&gt; "AS" &lt;string&gt;</w:t>
      </w:r>
      <w:r w:rsidRPr="0039012D">
        <w:rPr>
          <w:sz w:val="20"/>
          <w:szCs w:val="20"/>
        </w:rPr>
        <w:br/>
      </w:r>
      <w:r w:rsidRPr="0039012D">
        <w:rPr>
          <w:sz w:val="20"/>
          <w:szCs w:val="20"/>
        </w:rPr>
        <w:lastRenderedPageBreak/>
        <w:br/>
      </w:r>
      <w:r w:rsidRPr="0039012D">
        <w:rPr>
          <w:rStyle w:val="VerbatimChar"/>
          <w:sz w:val="18"/>
          <w:szCs w:val="20"/>
        </w:rPr>
        <w:t>(* Expressions *)</w:t>
      </w:r>
      <w:r w:rsidRPr="0039012D">
        <w:rPr>
          <w:sz w:val="20"/>
          <w:szCs w:val="20"/>
        </w:rPr>
        <w:br/>
      </w:r>
      <w:r w:rsidRPr="0039012D">
        <w:rPr>
          <w:rStyle w:val="VerbatimChar"/>
          <w:sz w:val="18"/>
          <w:szCs w:val="20"/>
        </w:rPr>
        <w:t>&lt;expression&gt;           ::= &lt;term&gt; (("+" | "-") &lt;term&gt;)*</w:t>
      </w:r>
      <w:r w:rsidRPr="0039012D">
        <w:rPr>
          <w:sz w:val="20"/>
          <w:szCs w:val="20"/>
        </w:rPr>
        <w:br/>
      </w:r>
      <w:r w:rsidRPr="0039012D">
        <w:rPr>
          <w:rStyle w:val="VerbatimChar"/>
          <w:sz w:val="18"/>
          <w:szCs w:val="20"/>
        </w:rPr>
        <w:t>&lt;term&gt;                 ::= &lt;factor&gt; (("*" | "/") &lt;factor&gt;)*</w:t>
      </w:r>
      <w:r w:rsidRPr="0039012D">
        <w:rPr>
          <w:sz w:val="20"/>
          <w:szCs w:val="20"/>
        </w:rPr>
        <w:br/>
      </w:r>
      <w:r w:rsidRPr="0039012D">
        <w:rPr>
          <w:rStyle w:val="VerbatimChar"/>
          <w:sz w:val="18"/>
          <w:szCs w:val="20"/>
        </w:rPr>
        <w:t>&lt;factor&gt;               ::= &lt;number&gt; | &lt;currency_literal&gt; | &lt;identifier&gt;</w:t>
      </w:r>
      <w:r w:rsidRPr="0039012D">
        <w:rPr>
          <w:sz w:val="20"/>
          <w:szCs w:val="20"/>
        </w:rPr>
        <w:br/>
      </w:r>
      <w:r w:rsidRPr="0039012D">
        <w:rPr>
          <w:rStyle w:val="VerbatimChar"/>
          <w:sz w:val="18"/>
          <w:szCs w:val="20"/>
        </w:rPr>
        <w:t xml:space="preserve">                         | &lt;property_access&gt; | &lt;function_call&gt; | "(" &lt;expression&gt; ")"</w:t>
      </w:r>
      <w:r w:rsidRPr="0039012D">
        <w:rPr>
          <w:sz w:val="20"/>
          <w:szCs w:val="20"/>
        </w:rPr>
        <w:br/>
      </w:r>
      <w:r w:rsidRPr="0039012D">
        <w:rPr>
          <w:sz w:val="20"/>
          <w:szCs w:val="20"/>
        </w:rPr>
        <w:br/>
      </w:r>
      <w:r w:rsidRPr="0039012D">
        <w:rPr>
          <w:rStyle w:val="VerbatimChar"/>
          <w:sz w:val="18"/>
          <w:szCs w:val="20"/>
        </w:rPr>
        <w:t>&lt;currency_literal&gt;     ::= &lt;number&gt; "&lt;" &lt;currency_code&gt; "&gt;"</w:t>
      </w:r>
      <w:r w:rsidRPr="0039012D">
        <w:rPr>
          <w:sz w:val="20"/>
          <w:szCs w:val="20"/>
        </w:rPr>
        <w:br/>
      </w:r>
      <w:r w:rsidRPr="0039012D">
        <w:rPr>
          <w:rStyle w:val="VerbatimChar"/>
          <w:sz w:val="18"/>
          <w:szCs w:val="20"/>
        </w:rPr>
        <w:t>&lt;property_access&gt;      ::= &lt;identifier&gt; "!" &lt;property_name&gt;</w:t>
      </w:r>
      <w:r w:rsidRPr="0039012D">
        <w:rPr>
          <w:sz w:val="20"/>
          <w:szCs w:val="20"/>
        </w:rPr>
        <w:br/>
      </w:r>
      <w:r w:rsidRPr="0039012D">
        <w:rPr>
          <w:rStyle w:val="VerbatimChar"/>
          <w:sz w:val="18"/>
          <w:szCs w:val="20"/>
        </w:rPr>
        <w:t>&lt;property_name&gt;        ::= "COUNT" | "YEARSTONOW" | "MONTHSTONOW" | "DAYSTONOW"</w:t>
      </w:r>
      <w:r w:rsidRPr="0039012D">
        <w:rPr>
          <w:sz w:val="20"/>
          <w:szCs w:val="20"/>
        </w:rPr>
        <w:br/>
      </w:r>
      <w:r w:rsidRPr="0039012D">
        <w:rPr>
          <w:rStyle w:val="VerbatimChar"/>
          <w:sz w:val="18"/>
          <w:szCs w:val="20"/>
        </w:rPr>
        <w:t xml:space="preserve">                         | "MONTHSTONOW_FROMLASTDAY"</w:t>
      </w:r>
      <w:r w:rsidRPr="0039012D">
        <w:rPr>
          <w:sz w:val="20"/>
          <w:szCs w:val="20"/>
        </w:rPr>
        <w:br/>
      </w:r>
      <w:r w:rsidRPr="0039012D">
        <w:rPr>
          <w:sz w:val="20"/>
          <w:szCs w:val="20"/>
        </w:rPr>
        <w:br/>
      </w:r>
      <w:r w:rsidRPr="0039012D">
        <w:rPr>
          <w:rStyle w:val="VerbatimChar"/>
          <w:sz w:val="18"/>
          <w:szCs w:val="20"/>
        </w:rPr>
        <w:t>&lt;function_call&gt;        ::= ("ROUND" | "FLOOR" | "CEIL") "(" &lt;expression&gt; ")"</w:t>
      </w:r>
      <w:r w:rsidRPr="0039012D">
        <w:rPr>
          <w:sz w:val="20"/>
          <w:szCs w:val="20"/>
        </w:rPr>
        <w:br/>
      </w:r>
      <w:r w:rsidRPr="0039012D">
        <w:rPr>
          <w:rStyle w:val="VerbatimChar"/>
          <w:sz w:val="18"/>
          <w:szCs w:val="20"/>
        </w:rPr>
        <w:t xml:space="preserve">                         | "CONVERT" "(" &lt;expression&gt; "," &lt;currency_code&gt; "," &lt;currency_code&gt; ")"</w:t>
      </w:r>
      <w:r w:rsidRPr="0039012D">
        <w:rPr>
          <w:sz w:val="20"/>
          <w:szCs w:val="20"/>
        </w:rPr>
        <w:br/>
      </w:r>
      <w:r w:rsidRPr="0039012D">
        <w:rPr>
          <w:sz w:val="20"/>
          <w:szCs w:val="20"/>
        </w:rPr>
        <w:br/>
      </w:r>
      <w:r w:rsidRPr="0039012D">
        <w:rPr>
          <w:rStyle w:val="VerbatimChar"/>
          <w:sz w:val="18"/>
          <w:szCs w:val="20"/>
        </w:rPr>
        <w:t>(* Conditions *)</w:t>
      </w:r>
      <w:r w:rsidRPr="0039012D">
        <w:rPr>
          <w:sz w:val="20"/>
          <w:szCs w:val="20"/>
        </w:rPr>
        <w:br/>
      </w:r>
      <w:r w:rsidRPr="0039012D">
        <w:rPr>
          <w:rStyle w:val="VerbatimChar"/>
          <w:sz w:val="18"/>
          <w:szCs w:val="20"/>
        </w:rPr>
        <w:t>&lt;condition&gt;            ::= &lt;or_condition&gt;</w:t>
      </w:r>
      <w:r w:rsidRPr="0039012D">
        <w:rPr>
          <w:sz w:val="20"/>
          <w:szCs w:val="20"/>
        </w:rPr>
        <w:br/>
      </w:r>
      <w:r w:rsidRPr="0039012D">
        <w:rPr>
          <w:rStyle w:val="VerbatimChar"/>
          <w:sz w:val="18"/>
          <w:szCs w:val="20"/>
        </w:rPr>
        <w:t>&lt;or_condition&gt;         ::= &lt;and_condition&gt; ("OR" &lt;and_condition&gt;)*</w:t>
      </w:r>
      <w:r w:rsidRPr="0039012D">
        <w:rPr>
          <w:sz w:val="20"/>
          <w:szCs w:val="20"/>
        </w:rPr>
        <w:br/>
      </w:r>
      <w:r w:rsidRPr="0039012D">
        <w:rPr>
          <w:rStyle w:val="VerbatimChar"/>
          <w:sz w:val="18"/>
          <w:szCs w:val="20"/>
        </w:rPr>
        <w:t>&lt;and_condition&gt;        ::= &lt;primary_condition&gt; ("AND" &lt;primary_condition&gt;)*</w:t>
      </w:r>
      <w:r w:rsidRPr="0039012D">
        <w:rPr>
          <w:sz w:val="20"/>
          <w:szCs w:val="20"/>
        </w:rPr>
        <w:br/>
      </w:r>
      <w:r w:rsidRPr="0039012D">
        <w:rPr>
          <w:rStyle w:val="VerbatimChar"/>
          <w:sz w:val="18"/>
          <w:szCs w:val="20"/>
        </w:rPr>
        <w:t>&lt;primary_condition&gt;    ::= &lt;expression&gt; &lt;comparison_op&gt; &lt;expression&gt;</w:t>
      </w:r>
      <w:r w:rsidRPr="0039012D">
        <w:rPr>
          <w:sz w:val="20"/>
          <w:szCs w:val="20"/>
        </w:rPr>
        <w:br/>
      </w:r>
      <w:r w:rsidRPr="0039012D">
        <w:rPr>
          <w:rStyle w:val="VerbatimChar"/>
          <w:sz w:val="18"/>
          <w:szCs w:val="20"/>
        </w:rPr>
        <w:t xml:space="preserve">                         | &lt;identifier&gt; ("IN" | "NIN") &lt;identifier&gt;</w:t>
      </w:r>
      <w:r w:rsidRPr="0039012D">
        <w:rPr>
          <w:sz w:val="20"/>
          <w:szCs w:val="20"/>
        </w:rPr>
        <w:br/>
      </w:r>
      <w:r w:rsidRPr="0039012D">
        <w:rPr>
          <w:rStyle w:val="VerbatimChar"/>
          <w:sz w:val="18"/>
          <w:szCs w:val="20"/>
        </w:rPr>
        <w:t xml:space="preserve">                         | &lt;identifier&gt;   (* Boolean variable reference *)</w:t>
      </w:r>
      <w:r w:rsidRPr="0039012D">
        <w:rPr>
          <w:sz w:val="20"/>
          <w:szCs w:val="20"/>
        </w:rPr>
        <w:br/>
      </w:r>
      <w:r w:rsidRPr="0039012D">
        <w:rPr>
          <w:rStyle w:val="VerbatimChar"/>
          <w:sz w:val="18"/>
          <w:szCs w:val="20"/>
        </w:rPr>
        <w:t xml:space="preserve">                         | "(" &lt;condition&gt; ")"</w:t>
      </w:r>
      <w:r w:rsidRPr="0039012D">
        <w:rPr>
          <w:sz w:val="20"/>
          <w:szCs w:val="20"/>
        </w:rPr>
        <w:br/>
      </w:r>
      <w:r w:rsidRPr="0039012D">
        <w:rPr>
          <w:sz w:val="20"/>
          <w:szCs w:val="20"/>
        </w:rPr>
        <w:br/>
      </w:r>
      <w:r w:rsidRPr="0039012D">
        <w:rPr>
          <w:rStyle w:val="VerbatimChar"/>
          <w:sz w:val="18"/>
          <w:szCs w:val="20"/>
        </w:rPr>
        <w:t>&lt;comparison_op&gt;        ::= "EQ" | "NEQ" | "GT" | "LT" | "GTE" | "LTE"</w:t>
      </w:r>
      <w:r w:rsidRPr="0039012D">
        <w:rPr>
          <w:sz w:val="20"/>
          <w:szCs w:val="20"/>
        </w:rPr>
        <w:br/>
      </w:r>
      <w:r w:rsidRPr="0039012D">
        <w:rPr>
          <w:sz w:val="20"/>
          <w:szCs w:val="20"/>
        </w:rPr>
        <w:br/>
      </w:r>
      <w:r w:rsidRPr="0039012D">
        <w:rPr>
          <w:rStyle w:val="VerbatimChar"/>
          <w:sz w:val="18"/>
          <w:szCs w:val="20"/>
        </w:rPr>
        <w:t>(* Lexical Elements *)</w:t>
      </w:r>
      <w:r w:rsidRPr="0039012D">
        <w:rPr>
          <w:sz w:val="20"/>
          <w:szCs w:val="20"/>
        </w:rPr>
        <w:br/>
      </w:r>
      <w:r w:rsidRPr="0039012D">
        <w:rPr>
          <w:rStyle w:val="VerbatimChar"/>
          <w:sz w:val="18"/>
          <w:szCs w:val="20"/>
        </w:rPr>
        <w:t>&lt;identifier&gt;           ::= &lt;letter&gt; (&lt;letter&gt; | &lt;digit&gt; | "_")*</w:t>
      </w:r>
      <w:r w:rsidRPr="0039012D">
        <w:rPr>
          <w:sz w:val="20"/>
          <w:szCs w:val="20"/>
        </w:rPr>
        <w:br/>
      </w:r>
      <w:r w:rsidRPr="0039012D">
        <w:rPr>
          <w:rStyle w:val="VerbatimChar"/>
          <w:sz w:val="18"/>
          <w:szCs w:val="20"/>
        </w:rPr>
        <w:t>&lt;number&gt;               ::= &lt;digit&gt;+ ("." &lt;digit&gt;+)?</w:t>
      </w:r>
      <w:r w:rsidRPr="0039012D">
        <w:rPr>
          <w:sz w:val="20"/>
          <w:szCs w:val="20"/>
        </w:rPr>
        <w:br/>
      </w:r>
      <w:r w:rsidRPr="0039012D">
        <w:rPr>
          <w:rStyle w:val="VerbatimChar"/>
          <w:sz w:val="18"/>
          <w:szCs w:val="20"/>
        </w:rPr>
        <w:t>&lt;string&gt;               ::= "'" {&lt;any_char&gt; - "'"} "'"</w:t>
      </w:r>
      <w:r w:rsidRPr="0039012D">
        <w:rPr>
          <w:sz w:val="20"/>
          <w:szCs w:val="20"/>
        </w:rPr>
        <w:br/>
      </w:r>
      <w:r w:rsidRPr="0039012D">
        <w:rPr>
          <w:rStyle w:val="VerbatimChar"/>
          <w:sz w:val="18"/>
          <w:szCs w:val="20"/>
        </w:rPr>
        <w:t>&lt;currency_code&gt;        ::= &lt;upper_letter&gt; &lt;upper_letter&gt; &lt;upper_letter&gt;</w:t>
      </w:r>
      <w:r w:rsidRPr="0039012D">
        <w:rPr>
          <w:sz w:val="20"/>
          <w:szCs w:val="20"/>
        </w:rPr>
        <w:br/>
      </w:r>
      <w:r w:rsidRPr="0039012D">
        <w:rPr>
          <w:rStyle w:val="VerbatimChar"/>
          <w:sz w:val="18"/>
          <w:szCs w:val="20"/>
        </w:rPr>
        <w:t>&lt;date&gt;                 ::= &lt;day&gt; "." &lt;month&gt; "." &lt;year&gt; | "TODAY"</w:t>
      </w:r>
      <w:r w:rsidRPr="0039012D">
        <w:rPr>
          <w:sz w:val="20"/>
          <w:szCs w:val="20"/>
        </w:rPr>
        <w:br/>
      </w:r>
      <w:r w:rsidRPr="0039012D">
        <w:rPr>
          <w:rStyle w:val="VerbatimChar"/>
          <w:sz w:val="18"/>
          <w:szCs w:val="20"/>
        </w:rPr>
        <w:t>&lt;day&gt;                  ::= &lt;digit&gt; &lt;digit&gt;?</w:t>
      </w:r>
      <w:r w:rsidRPr="0039012D">
        <w:rPr>
          <w:sz w:val="20"/>
          <w:szCs w:val="20"/>
        </w:rPr>
        <w:br/>
      </w:r>
      <w:r w:rsidRPr="0039012D">
        <w:rPr>
          <w:rStyle w:val="VerbatimChar"/>
          <w:sz w:val="18"/>
          <w:szCs w:val="20"/>
        </w:rPr>
        <w:t>&lt;month&gt;                ::= &lt;digit&gt; &lt;digit&gt;?</w:t>
      </w:r>
      <w:r w:rsidRPr="0039012D">
        <w:rPr>
          <w:sz w:val="20"/>
          <w:szCs w:val="20"/>
        </w:rPr>
        <w:br/>
      </w:r>
      <w:r w:rsidRPr="0039012D">
        <w:rPr>
          <w:rStyle w:val="VerbatimChar"/>
          <w:sz w:val="18"/>
          <w:szCs w:val="20"/>
        </w:rPr>
        <w:t>&lt;year&gt;                 ::= &lt;digit&gt; &lt;digit&gt; &lt;digit&gt; &lt;digit&gt;</w:t>
      </w:r>
      <w:r w:rsidRPr="0039012D">
        <w:rPr>
          <w:sz w:val="20"/>
          <w:szCs w:val="20"/>
        </w:rPr>
        <w:br/>
      </w:r>
      <w:r w:rsidRPr="0039012D">
        <w:rPr>
          <w:rStyle w:val="VerbatimChar"/>
          <w:sz w:val="18"/>
          <w:szCs w:val="20"/>
        </w:rPr>
        <w:t>&lt;letter&gt;               ::= "A" | ... | "Z" | "a" | ... | "z"</w:t>
      </w:r>
      <w:r w:rsidRPr="0039012D">
        <w:rPr>
          <w:sz w:val="20"/>
          <w:szCs w:val="20"/>
        </w:rPr>
        <w:br/>
      </w:r>
      <w:r w:rsidRPr="0039012D">
        <w:rPr>
          <w:rStyle w:val="VerbatimChar"/>
          <w:sz w:val="18"/>
          <w:szCs w:val="20"/>
        </w:rPr>
        <w:t>&lt;upper_letter&gt;         ::= "A" | ... | "Z"</w:t>
      </w:r>
      <w:r w:rsidRPr="0039012D">
        <w:rPr>
          <w:sz w:val="20"/>
          <w:szCs w:val="20"/>
        </w:rPr>
        <w:br/>
      </w:r>
      <w:r w:rsidRPr="0039012D">
        <w:rPr>
          <w:rStyle w:val="VerbatimChar"/>
          <w:sz w:val="18"/>
          <w:szCs w:val="20"/>
        </w:rPr>
        <w:t>&lt;digit&gt;                ::= "0" | ... | "9"</w:t>
      </w:r>
    </w:p>
    <w:p w14:paraId="5A8042B0" w14:textId="77777777" w:rsidR="00AE42C0" w:rsidRDefault="00000000">
      <w:pPr>
        <w:pStyle w:val="FirstParagraph"/>
      </w:pPr>
      <w:r>
        <w:t xml:space="preserve">A bare </w:t>
      </w:r>
      <w:r>
        <w:rPr>
          <w:rStyle w:val="VerbatimChar"/>
        </w:rPr>
        <w:t>&lt;identifier&gt;</w:t>
      </w:r>
      <w:r>
        <w:t xml:space="preserve"> in a condition context must reference a BOOLEAN input variable; it evaluates to that variable’s Boolean value.</w:t>
      </w:r>
    </w:p>
    <w:p w14:paraId="47B5D1D2" w14:textId="77777777" w:rsidR="00AE42C0" w:rsidRDefault="00000000" w:rsidP="00C44736">
      <w:pPr>
        <w:pStyle w:val="Heading1"/>
      </w:pPr>
      <w:bookmarkStart w:id="29" w:name="type-system-and-static-verification"/>
      <w:bookmarkEnd w:id="12"/>
      <w:bookmarkEnd w:id="28"/>
      <w:r>
        <w:t>4. Type System and Static Verification</w:t>
      </w:r>
    </w:p>
    <w:p w14:paraId="253F32EB" w14:textId="77777777" w:rsidR="00AE42C0" w:rsidRDefault="00000000">
      <w:pPr>
        <w:pStyle w:val="Heading3"/>
      </w:pPr>
      <w:bookmarkStart w:id="30" w:name="currency-aware-type-system"/>
      <w:r>
        <w:t>4.1 Currency-Aware Type System</w:t>
      </w:r>
    </w:p>
    <w:p w14:paraId="4DE20E9B" w14:textId="345186B3" w:rsidR="00AE42C0" w:rsidRDefault="00000000" w:rsidP="00B66F12">
      <w:pPr>
        <w:pStyle w:val="FirstParagraph"/>
      </w:pPr>
      <w:r>
        <w:t>IPFLang employs a dimensional type system preventing cross-currency arithmetic errors at compile time, analogous to units-of-measure checking in scientific computing [11]. The system supports all 161 ISO 4217 currency codes. The approach to currency as a type parameter draws on similar patterns in language standards for monetary computation, such as JSR-354 (Java Money and Currency API) [24], which defines standard interfaces for representing and manipulating monetary amounts in type-safe ways.</w:t>
      </w:r>
    </w:p>
    <w:p w14:paraId="74572E31" w14:textId="77777777" w:rsidR="00AE42C0" w:rsidRDefault="00000000">
      <w:pPr>
        <w:pStyle w:val="Heading4"/>
      </w:pPr>
      <w:bookmarkStart w:id="31" w:name="type-language"/>
      <w:r>
        <w:lastRenderedPageBreak/>
        <w:t>4.1.1 Type Language</w:t>
      </w:r>
    </w:p>
    <w:p w14:paraId="34718C75" w14:textId="6B0200DB" w:rsidR="00A72313" w:rsidRDefault="00A72313" w:rsidP="007E0509">
      <w:pPr>
        <w:pStyle w:val="BodyText"/>
        <w:jc w:val="center"/>
      </w:pPr>
      <w:r>
        <w:rPr>
          <w:noProof/>
        </w:rPr>
        <w:drawing>
          <wp:inline distT="0" distB="0" distL="0" distR="0" wp14:anchorId="46E7CF4A" wp14:editId="5E3C2F21">
            <wp:extent cx="5486400" cy="1618129"/>
            <wp:effectExtent l="0" t="0" r="0" b="0"/>
            <wp:docPr id="1410901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5F8432F" w14:textId="436FD52A" w:rsidR="007E0509" w:rsidRDefault="007E0509" w:rsidP="007E0509">
      <w:pPr>
        <w:pStyle w:val="Caption"/>
      </w:pPr>
      <w:bookmarkStart w:id="32" w:name="_Ref217032738"/>
      <w:r>
        <w:t xml:space="preserve">Figure </w:t>
      </w:r>
      <w:fldSimple w:instr=" SEQ Figure \* ARABIC ">
        <w:r>
          <w:rPr>
            <w:noProof/>
          </w:rPr>
          <w:t>2</w:t>
        </w:r>
      </w:fldSimple>
      <w:bookmarkEnd w:id="32"/>
      <w:r>
        <w:t xml:space="preserve"> – </w:t>
      </w:r>
      <w:proofErr w:type="spellStart"/>
      <w:r>
        <w:t>IPFLang</w:t>
      </w:r>
      <w:proofErr w:type="spellEnd"/>
      <w:r>
        <w:t xml:space="preserve"> </w:t>
      </w:r>
      <w:r w:rsidR="00B66F12">
        <w:t>type hierarchy and currency typing rules</w:t>
      </w:r>
    </w:p>
    <w:p w14:paraId="4F93FE7E" w14:textId="57054ACA" w:rsidR="00AE42C0" w:rsidRDefault="007E0509">
      <w:pPr>
        <w:pStyle w:val="FirstParagraph"/>
      </w:pPr>
      <w:r>
        <w:fldChar w:fldCharType="begin"/>
      </w:r>
      <w:r>
        <w:instrText xml:space="preserve"> REF _Ref217032738 \h </w:instrText>
      </w:r>
      <w:r>
        <w:fldChar w:fldCharType="separate"/>
      </w:r>
      <w:r>
        <w:t xml:space="preserve">Figure </w:t>
      </w:r>
      <w:r>
        <w:rPr>
          <w:noProof/>
        </w:rPr>
        <w:t>2</w:t>
      </w:r>
      <w:r>
        <w:fldChar w:fldCharType="end"/>
      </w:r>
      <w:r>
        <w:t xml:space="preserve"> shows the type language which extends basic types with currency-parameterized amounts:</w:t>
      </w:r>
    </w:p>
    <w:p w14:paraId="7B9708CD" w14:textId="77777777" w:rsidR="00AE42C0" w:rsidRPr="007E0509" w:rsidRDefault="00000000">
      <w:pPr>
        <w:pStyle w:val="BodyText"/>
        <w:rPr>
          <w:rFonts w:ascii="Consolas" w:hAnsi="Consolas"/>
          <w:sz w:val="22"/>
          <w:szCs w:val="22"/>
        </w:rPr>
      </w:pPr>
      <w:r w:rsidRPr="007E0509">
        <w:rPr>
          <w:rFonts w:ascii="Consolas" w:hAnsi="Consolas"/>
          <w:sz w:val="22"/>
          <w:szCs w:val="22"/>
        </w:rPr>
        <w:t xml:space="preserve">  τ ::= Num | Bool | Sym | Date | SymList | Amt[c] | α  </w:t>
      </w:r>
    </w:p>
    <w:p w14:paraId="01C24DC1" w14:textId="77777777" w:rsidR="0039012D" w:rsidRDefault="00000000">
      <w:pPr>
        <w:pStyle w:val="BodyText"/>
      </w:pPr>
      <w:r>
        <w:t>where:</w:t>
      </w:r>
    </w:p>
    <w:p w14:paraId="13B83BBB" w14:textId="77777777" w:rsidR="0039012D" w:rsidRDefault="00000000" w:rsidP="0039012D">
      <w:pPr>
        <w:pStyle w:val="BodyText"/>
        <w:numPr>
          <w:ilvl w:val="0"/>
          <w:numId w:val="7"/>
        </w:numPr>
      </w:pPr>
      <w:r>
        <w:rPr>
          <w:rStyle w:val="VerbatimChar"/>
        </w:rPr>
        <w:t>Num</w:t>
      </w:r>
      <w:r>
        <w:t xml:space="preserve"> represents dimensionless numbers</w:t>
      </w:r>
    </w:p>
    <w:p w14:paraId="7C3DD0B6" w14:textId="77777777" w:rsidR="0039012D" w:rsidRDefault="00000000" w:rsidP="0039012D">
      <w:pPr>
        <w:pStyle w:val="BodyText"/>
        <w:numPr>
          <w:ilvl w:val="0"/>
          <w:numId w:val="7"/>
        </w:numPr>
      </w:pPr>
      <w:r>
        <w:rPr>
          <w:rStyle w:val="VerbatimChar"/>
        </w:rPr>
        <w:t>Bool</w:t>
      </w:r>
      <w:r>
        <w:t xml:space="preserve"> represents Boolean values</w:t>
      </w:r>
    </w:p>
    <w:p w14:paraId="3C70A64C" w14:textId="77777777" w:rsidR="0039012D" w:rsidRDefault="00000000" w:rsidP="0039012D">
      <w:pPr>
        <w:pStyle w:val="BodyText"/>
        <w:numPr>
          <w:ilvl w:val="0"/>
          <w:numId w:val="7"/>
        </w:numPr>
      </w:pPr>
      <w:r>
        <w:rPr>
          <w:rStyle w:val="VerbatimChar"/>
        </w:rPr>
        <w:t>Sym</w:t>
      </w:r>
      <w:r>
        <w:t xml:space="preserve"> represents symbolic identifiers (LIST input choices)</w:t>
      </w:r>
    </w:p>
    <w:p w14:paraId="0F28C58A" w14:textId="77777777" w:rsidR="0039012D" w:rsidRDefault="00000000" w:rsidP="0039012D">
      <w:pPr>
        <w:pStyle w:val="BodyText"/>
        <w:numPr>
          <w:ilvl w:val="0"/>
          <w:numId w:val="7"/>
        </w:numPr>
      </w:pPr>
      <w:r>
        <w:rPr>
          <w:rStyle w:val="VerbatimChar"/>
        </w:rPr>
        <w:t>Date</w:t>
      </w:r>
      <w:r>
        <w:t xml:space="preserve"> represents date values</w:t>
      </w:r>
    </w:p>
    <w:p w14:paraId="596A284B" w14:textId="77777777" w:rsidR="0039012D" w:rsidRDefault="00000000" w:rsidP="0039012D">
      <w:pPr>
        <w:pStyle w:val="BodyText"/>
        <w:numPr>
          <w:ilvl w:val="0"/>
          <w:numId w:val="7"/>
        </w:numPr>
      </w:pPr>
      <w:proofErr w:type="spellStart"/>
      <w:r>
        <w:rPr>
          <w:rStyle w:val="VerbatimChar"/>
        </w:rPr>
        <w:t>SymList</w:t>
      </w:r>
      <w:proofErr w:type="spellEnd"/>
      <w:r>
        <w:t xml:space="preserve"> represents symbol lists (MULTILIST input selections)</w:t>
      </w:r>
    </w:p>
    <w:p w14:paraId="6E928FD7" w14:textId="77777777" w:rsidR="0039012D" w:rsidRDefault="00000000" w:rsidP="0039012D">
      <w:pPr>
        <w:pStyle w:val="BodyText"/>
        <w:numPr>
          <w:ilvl w:val="0"/>
          <w:numId w:val="7"/>
        </w:numPr>
      </w:pPr>
      <w:r>
        <w:rPr>
          <w:rStyle w:val="VerbatimChar"/>
        </w:rPr>
        <w:t>Amt[c]</w:t>
      </w:r>
      <w:r>
        <w:t xml:space="preserve"> represents monetary amounts in currency c ∈ ISO-4217</w:t>
      </w:r>
    </w:p>
    <w:p w14:paraId="6C39A94A" w14:textId="7E7877A2" w:rsidR="00AE42C0" w:rsidRDefault="00000000" w:rsidP="0039012D">
      <w:pPr>
        <w:pStyle w:val="BodyText"/>
        <w:numPr>
          <w:ilvl w:val="0"/>
          <w:numId w:val="7"/>
        </w:numPr>
      </w:pPr>
      <w:r>
        <w:rPr>
          <w:rStyle w:val="VerbatimChar"/>
        </w:rPr>
        <w:t>α</w:t>
      </w:r>
      <w:r>
        <w:t xml:space="preserve"> represents type variables for polymorphic fee definitions</w:t>
      </w:r>
    </w:p>
    <w:p w14:paraId="7B206FCB" w14:textId="77777777" w:rsidR="00AE42C0" w:rsidRDefault="00000000">
      <w:pPr>
        <w:pStyle w:val="Heading4"/>
      </w:pPr>
      <w:bookmarkStart w:id="33" w:name="typing-rules"/>
      <w:bookmarkEnd w:id="31"/>
      <w:r>
        <w:t>4.1.2 Typing Rules</w:t>
      </w:r>
    </w:p>
    <w:p w14:paraId="266DBEF3" w14:textId="747BAFBB" w:rsidR="00AE42C0" w:rsidRDefault="00000000">
      <w:pPr>
        <w:pStyle w:val="FirstParagraph"/>
      </w:pPr>
      <w:r>
        <w:t xml:space="preserve">Let Γ denote a typing environment mapping identifiers to types, written Γ(x) = τ. We define the typing judgment Γ ⊢ e : τ, meaning </w:t>
      </w:r>
      <w:r w:rsidR="00CE294B">
        <w:t>“</w:t>
      </w:r>
      <w:r>
        <w:t>under environment Γ, expression e has type τ.</w:t>
      </w:r>
      <w:r w:rsidR="00CE294B">
        <w:t>”</w:t>
      </w:r>
    </w:p>
    <w:p w14:paraId="5B434206" w14:textId="77777777" w:rsidR="00AE42C0" w:rsidRDefault="00000000">
      <w:pPr>
        <w:pStyle w:val="BodyText"/>
      </w:pPr>
      <w:r>
        <w:rPr>
          <w:b/>
          <w:bCs/>
        </w:rPr>
        <w:t>Literals and Variables:</w:t>
      </w:r>
    </w:p>
    <w:p w14:paraId="3E48C08A" w14:textId="12056DB6" w:rsidR="00AE42C0" w:rsidRDefault="00367D71">
      <w:pPr>
        <w:pStyle w:val="BodyText"/>
        <w:rPr>
          <w:sz w:val="32"/>
          <w:szCs w:val="32"/>
        </w:rPr>
      </w:pPr>
      <w:r>
        <w:t xml:space="preserve">[T-NUM] </w:t>
      </w:r>
      <m:oMath>
        <m:f>
          <m:fPr>
            <m:ctrlPr>
              <w:rPr>
                <w:rFonts w:ascii="Cambria Math" w:hAnsi="Cambria Math"/>
                <w:i/>
                <w:sz w:val="32"/>
                <w:szCs w:val="32"/>
              </w:rPr>
            </m:ctrlPr>
          </m:fPr>
          <m:num/>
          <m:den>
            <m:r>
              <m:rPr>
                <m:sty m:val="p"/>
              </m:rPr>
              <w:rPr>
                <w:rFonts w:ascii="Cambria Math" w:hAnsi="Cambria Math"/>
                <w:sz w:val="32"/>
                <w:szCs w:val="32"/>
              </w:rPr>
              <m:t>Γ ⊢ n  : Num</m:t>
            </m:r>
          </m:den>
        </m:f>
      </m:oMath>
    </w:p>
    <w:p w14:paraId="08EC0CF9" w14:textId="59A08CCC" w:rsidR="00E50823" w:rsidRDefault="00E50823" w:rsidP="00E50823">
      <w:pPr>
        <w:pStyle w:val="BodyText"/>
      </w:pPr>
      <w:r>
        <w:t xml:space="preserve">[T-VAR] </w:t>
      </w:r>
      <m:oMath>
        <m:f>
          <m:fPr>
            <m:ctrlPr>
              <w:rPr>
                <w:rFonts w:ascii="Cambria Math" w:hAnsi="Cambria Math"/>
                <w:i/>
                <w:sz w:val="32"/>
                <w:szCs w:val="32"/>
              </w:rPr>
            </m:ctrlPr>
          </m:fPr>
          <m:num>
            <m:r>
              <m:rPr>
                <m:sty m:val="p"/>
              </m:rPr>
              <w:rPr>
                <w:rFonts w:ascii="Cambria Math" w:hAnsi="Cambria Math"/>
                <w:sz w:val="32"/>
                <w:szCs w:val="32"/>
              </w:rPr>
              <m:t>Γ(x)=τ</m:t>
            </m:r>
          </m:num>
          <m:den>
            <m:r>
              <m:rPr>
                <m:sty m:val="p"/>
              </m:rPr>
              <w:rPr>
                <w:rFonts w:ascii="Cambria Math" w:hAnsi="Cambria Math"/>
                <w:sz w:val="32"/>
                <w:szCs w:val="32"/>
              </w:rPr>
              <m:t>Γ ⊢ x  : τ</m:t>
            </m:r>
          </m:den>
        </m:f>
      </m:oMath>
    </w:p>
    <w:p w14:paraId="1FD20EB1" w14:textId="17811867" w:rsidR="00E50823" w:rsidRDefault="00E50823" w:rsidP="00E50823">
      <w:pPr>
        <w:pStyle w:val="BodyText"/>
      </w:pPr>
      <w:r>
        <w:t xml:space="preserve">[T-CURR] </w:t>
      </w:r>
      <m:oMath>
        <m:f>
          <m:fPr>
            <m:ctrlPr>
              <w:rPr>
                <w:rFonts w:ascii="Cambria Math" w:hAnsi="Cambria Math"/>
                <w:i/>
                <w:sz w:val="32"/>
                <w:szCs w:val="32"/>
              </w:rPr>
            </m:ctrlPr>
          </m:fPr>
          <m:num>
            <m:r>
              <m:rPr>
                <m:sty m:val="p"/>
              </m:rPr>
              <w:rPr>
                <w:rFonts w:ascii="Cambria Math" w:hAnsi="Cambria Math"/>
                <w:sz w:val="32"/>
                <w:szCs w:val="32"/>
              </w:rPr>
              <m:t xml:space="preserve">c∈ISO-4217 </m:t>
            </m:r>
          </m:num>
          <m:den>
            <m:r>
              <m:rPr>
                <m:sty m:val="p"/>
              </m:rPr>
              <w:rPr>
                <w:rFonts w:ascii="Cambria Math" w:hAnsi="Cambria Math"/>
                <w:sz w:val="32"/>
                <w:szCs w:val="32"/>
              </w:rPr>
              <m:t>Γ ⊢ n</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 Amt[c]</m:t>
            </m:r>
          </m:den>
        </m:f>
      </m:oMath>
    </w:p>
    <w:p w14:paraId="0BFB0758" w14:textId="77777777" w:rsidR="00AE42C0" w:rsidRDefault="00000000">
      <w:pPr>
        <w:pStyle w:val="BodyText"/>
        <w:rPr>
          <w:b/>
          <w:bCs/>
        </w:rPr>
      </w:pPr>
      <w:r>
        <w:rPr>
          <w:b/>
          <w:bCs/>
        </w:rPr>
        <w:t>Arithmetic Operations:</w:t>
      </w:r>
    </w:p>
    <w:p w14:paraId="5C6D9FE1" w14:textId="69BB210D" w:rsidR="00E13A48" w:rsidRDefault="00E13A48" w:rsidP="00E13A48">
      <w:pPr>
        <w:pStyle w:val="BodyText"/>
      </w:pPr>
      <w:r>
        <w:lastRenderedPageBreak/>
        <w:t xml:space="preserve">[T-ADD-NUM] </w:t>
      </w:r>
      <m:oMath>
        <m:f>
          <m:fPr>
            <m:ctrlPr>
              <w:rPr>
                <w:rFonts w:ascii="Cambria Math" w:hAnsi="Cambria Math"/>
                <w:i/>
                <w:sz w:val="32"/>
                <w:szCs w:val="32"/>
              </w:rPr>
            </m:ctrlPr>
          </m:fPr>
          <m:num>
            <m:r>
              <m:rPr>
                <m:sty m:val="p"/>
              </m:rPr>
              <w:rPr>
                <w:rFonts w:ascii="Cambria Math" w:hAnsi="Cambria Math"/>
                <w:sz w:val="32"/>
                <w:szCs w:val="32"/>
              </w:rPr>
              <m:t xml:space="preserve">Γ ⊢ e1  : Num      Γ ⊢ e2  : Num </m:t>
            </m:r>
          </m:num>
          <m:den>
            <m:r>
              <m:rPr>
                <m:sty m:val="p"/>
              </m:rPr>
              <w:rPr>
                <w:rFonts w:ascii="Cambria Math" w:hAnsi="Cambria Math"/>
                <w:sz w:val="32"/>
                <w:szCs w:val="32"/>
              </w:rPr>
              <m:t>Γ ⊢ e1+e2  : Num</m:t>
            </m:r>
          </m:den>
        </m:f>
      </m:oMath>
    </w:p>
    <w:p w14:paraId="12FE7AC2" w14:textId="6903FD59" w:rsidR="00E13A48" w:rsidRDefault="00E13A48" w:rsidP="00E13A48">
      <w:pPr>
        <w:pStyle w:val="BodyText"/>
      </w:pPr>
      <w:r>
        <w:t xml:space="preserve">[T-ADD-AMT] </w:t>
      </w:r>
      <m:oMath>
        <m:f>
          <m:fPr>
            <m:ctrlPr>
              <w:rPr>
                <w:rFonts w:ascii="Cambria Math" w:hAnsi="Cambria Math"/>
                <w:i/>
                <w:sz w:val="32"/>
                <w:szCs w:val="32"/>
              </w:rPr>
            </m:ctrlPr>
          </m:fPr>
          <m:num>
            <m:r>
              <m:rPr>
                <m:sty m:val="p"/>
              </m:rPr>
              <w:rPr>
                <w:rFonts w:ascii="Cambria Math" w:hAnsi="Cambria Math"/>
                <w:sz w:val="32"/>
                <w:szCs w:val="32"/>
              </w:rPr>
              <m:t>Γ ⊢ e1  :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Γ ⊢ e2  : Amt[c] </m:t>
            </m:r>
          </m:num>
          <m:den>
            <m:r>
              <m:rPr>
                <m:sty m:val="p"/>
              </m:rPr>
              <w:rPr>
                <w:rFonts w:ascii="Cambria Math" w:hAnsi="Cambria Math"/>
                <w:sz w:val="32"/>
                <w:szCs w:val="32"/>
              </w:rPr>
              <m:t>Γ ⊢ e1+e2  : Amt[c]</m:t>
            </m:r>
          </m:den>
        </m:f>
      </m:oMath>
    </w:p>
    <w:p w14:paraId="2FCB93D7" w14:textId="536E26DC" w:rsidR="00E13A48" w:rsidRDefault="00E13A48" w:rsidP="00E13A48">
      <w:pPr>
        <w:pStyle w:val="BodyText"/>
      </w:pPr>
      <w:r>
        <w:t xml:space="preserve">[T-MUL-SCALAR-R] </w:t>
      </w:r>
      <m:oMath>
        <m:f>
          <m:fPr>
            <m:ctrlPr>
              <w:rPr>
                <w:rFonts w:ascii="Cambria Math" w:hAnsi="Cambria Math"/>
                <w:i/>
                <w:sz w:val="32"/>
                <w:szCs w:val="32"/>
              </w:rPr>
            </m:ctrlPr>
          </m:fPr>
          <m:num>
            <m:r>
              <m:rPr>
                <m:sty m:val="p"/>
              </m:rPr>
              <w:rPr>
                <w:rFonts w:ascii="Cambria Math" w:hAnsi="Cambria Math"/>
                <w:sz w:val="32"/>
                <w:szCs w:val="32"/>
              </w:rPr>
              <m:t>Γ ⊢ e1  :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Γ ⊢ e2  : Num </m:t>
            </m:r>
          </m:num>
          <m:den>
            <m:r>
              <m:rPr>
                <m:sty m:val="p"/>
              </m:rPr>
              <w:rPr>
                <w:rFonts w:ascii="Cambria Math" w:hAnsi="Cambria Math"/>
                <w:sz w:val="32"/>
                <w:szCs w:val="32"/>
              </w:rPr>
              <m:t>Γ ⊢ e1</m:t>
            </m:r>
            <m:r>
              <m:rPr>
                <m:sty m:val="p"/>
              </m:rPr>
              <w:rPr>
                <w:rFonts w:ascii="Cambria Math" w:hAnsi="Cambria Math"/>
              </w:rPr>
              <m:t>×</m:t>
            </m:r>
            <m:r>
              <m:rPr>
                <m:sty m:val="p"/>
              </m:rPr>
              <w:rPr>
                <w:rFonts w:ascii="Cambria Math" w:hAnsi="Cambria Math"/>
                <w:sz w:val="32"/>
                <w:szCs w:val="32"/>
              </w:rPr>
              <m:t>e2  : Amt[c]</m:t>
            </m:r>
          </m:den>
        </m:f>
      </m:oMath>
    </w:p>
    <w:p w14:paraId="06D11BAC" w14:textId="3E315AD7" w:rsidR="00E13A48" w:rsidRDefault="00E13A48" w:rsidP="00E13A48">
      <w:pPr>
        <w:pStyle w:val="BodyText"/>
      </w:pPr>
      <w:r>
        <w:t xml:space="preserve">[T-MUL-SCALAR-L] </w:t>
      </w:r>
      <m:oMath>
        <m:f>
          <m:fPr>
            <m:ctrlPr>
              <w:rPr>
                <w:rFonts w:ascii="Cambria Math" w:hAnsi="Cambria Math"/>
                <w:i/>
                <w:sz w:val="32"/>
                <w:szCs w:val="32"/>
              </w:rPr>
            </m:ctrlPr>
          </m:fPr>
          <m:num>
            <m:r>
              <m:rPr>
                <m:sty m:val="p"/>
              </m:rPr>
              <w:rPr>
                <w:rFonts w:ascii="Cambria Math" w:hAnsi="Cambria Math"/>
                <w:sz w:val="32"/>
                <w:szCs w:val="32"/>
              </w:rPr>
              <m:t>Γ ⊢ e1  : Num     Γ ⊢ e2  :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m:t>
            </m:r>
          </m:num>
          <m:den>
            <m:r>
              <m:rPr>
                <m:sty m:val="p"/>
              </m:rPr>
              <w:rPr>
                <w:rFonts w:ascii="Cambria Math" w:hAnsi="Cambria Math"/>
                <w:sz w:val="32"/>
                <w:szCs w:val="32"/>
              </w:rPr>
              <m:t>Γ ⊢ e1</m:t>
            </m:r>
            <m:r>
              <m:rPr>
                <m:sty m:val="p"/>
              </m:rPr>
              <w:rPr>
                <w:rFonts w:ascii="Cambria Math" w:hAnsi="Cambria Math"/>
              </w:rPr>
              <m:t>×</m:t>
            </m:r>
            <m:r>
              <m:rPr>
                <m:sty m:val="p"/>
              </m:rPr>
              <w:rPr>
                <w:rFonts w:ascii="Cambria Math" w:hAnsi="Cambria Math"/>
                <w:sz w:val="32"/>
                <w:szCs w:val="32"/>
              </w:rPr>
              <m:t>e2  : Amt[c]</m:t>
            </m:r>
          </m:den>
        </m:f>
      </m:oMath>
    </w:p>
    <w:p w14:paraId="050B11FC" w14:textId="77777777" w:rsidR="00AE42C0" w:rsidRDefault="00000000">
      <w:pPr>
        <w:pStyle w:val="BodyText"/>
      </w:pPr>
      <w:r>
        <w:t xml:space="preserve">The rule T-ADD-AMT is critical: it requires both operands to have identical currency tags. No rule permits </w:t>
      </w:r>
      <w:r>
        <w:rPr>
          <w:rStyle w:val="VerbatimChar"/>
        </w:rPr>
        <w:t>Amt[c₁] + Amt[c₂]</w:t>
      </w:r>
      <w:r>
        <w:t xml:space="preserve"> when c₁ ≠ c₂. The rules T-MUL-SCALAR-R and T-MUL-SCALAR-L ensure scalar multiplication is commutative: both </w:t>
      </w:r>
      <w:r>
        <w:rPr>
          <w:rStyle w:val="VerbatimChar"/>
        </w:rPr>
        <w:t>amount * scalar</w:t>
      </w:r>
      <w:r>
        <w:t xml:space="preserve"> and </w:t>
      </w:r>
      <w:r>
        <w:rPr>
          <w:rStyle w:val="VerbatimChar"/>
        </w:rPr>
        <w:t>scalar * amount</w:t>
      </w:r>
      <w:r>
        <w:t xml:space="preserve"> are well-typed.</w:t>
      </w:r>
    </w:p>
    <w:p w14:paraId="14BD9E7B" w14:textId="77777777" w:rsidR="00AE42C0" w:rsidRDefault="00000000">
      <w:pPr>
        <w:pStyle w:val="BodyText"/>
      </w:pPr>
      <w:r>
        <w:rPr>
          <w:b/>
          <w:bCs/>
        </w:rPr>
        <w:t>Currency Conversion:</w:t>
      </w:r>
    </w:p>
    <w:p w14:paraId="7BA4AEB7" w14:textId="1D1D1A98" w:rsidR="00A858E8" w:rsidRDefault="00A858E8">
      <w:pPr>
        <w:pStyle w:val="BodyText"/>
      </w:pPr>
      <w:r>
        <w:t xml:space="preserve">[T-CONVERT] </w:t>
      </w:r>
      <m:oMath>
        <m:f>
          <m:fPr>
            <m:ctrlPr>
              <w:rPr>
                <w:rFonts w:ascii="Cambria Math" w:hAnsi="Cambria Math"/>
                <w:i/>
                <w:sz w:val="32"/>
                <w:szCs w:val="32"/>
              </w:rPr>
            </m:ctrlPr>
          </m:fPr>
          <m:num>
            <m:r>
              <m:rPr>
                <m:sty m:val="p"/>
              </m:rPr>
              <w:rPr>
                <w:rFonts w:ascii="Cambria Math" w:hAnsi="Cambria Math"/>
                <w:sz w:val="32"/>
                <w:szCs w:val="32"/>
              </w:rPr>
              <m:t>Γ ⊢ e  : Amt</m:t>
            </m:r>
            <m:d>
              <m:dPr>
                <m:begChr m:val="["/>
                <m:endChr m:val="]"/>
                <m:ctrlPr>
                  <w:rPr>
                    <w:rFonts w:ascii="Cambria Math" w:hAnsi="Cambria Math"/>
                    <w:sz w:val="32"/>
                    <w:szCs w:val="32"/>
                  </w:rPr>
                </m:ctrlPr>
              </m:dPr>
              <m:e>
                <m:r>
                  <m:rPr>
                    <m:sty m:val="p"/>
                  </m:rPr>
                  <w:rPr>
                    <w:rFonts w:ascii="Cambria Math" w:hAnsi="Cambria Math"/>
                    <w:sz w:val="32"/>
                    <w:szCs w:val="32"/>
                  </w:rPr>
                  <m:t>c1</m:t>
                </m:r>
              </m:e>
            </m:d>
            <m:r>
              <m:rPr>
                <m:sty m:val="p"/>
              </m:rPr>
              <w:rPr>
                <w:rFonts w:ascii="Cambria Math" w:hAnsi="Cambria Math"/>
                <w:sz w:val="32"/>
                <w:szCs w:val="32"/>
              </w:rPr>
              <m:t xml:space="preserve">    c2∈</m:t>
            </m:r>
            <m:r>
              <w:rPr>
                <w:rFonts w:ascii="Cambria Math" w:hAnsi="Cambria Math"/>
                <w:sz w:val="32"/>
                <w:szCs w:val="32"/>
              </w:rPr>
              <m:t>ISO-4217</m:t>
            </m:r>
          </m:num>
          <m:den>
            <m:r>
              <m:rPr>
                <m:sty m:val="p"/>
              </m:rPr>
              <w:rPr>
                <w:rFonts w:ascii="Cambria Math" w:hAnsi="Cambria Math"/>
                <w:sz w:val="32"/>
                <w:szCs w:val="32"/>
              </w:rPr>
              <m:t>Γ ⊢ CONVERT</m:t>
            </m:r>
            <m:d>
              <m:dPr>
                <m:ctrlPr>
                  <w:rPr>
                    <w:rFonts w:ascii="Cambria Math" w:hAnsi="Cambria Math"/>
                    <w:sz w:val="32"/>
                    <w:szCs w:val="32"/>
                  </w:rPr>
                </m:ctrlPr>
              </m:dPr>
              <m:e>
                <m:r>
                  <m:rPr>
                    <m:sty m:val="p"/>
                  </m:rPr>
                  <w:rPr>
                    <w:rFonts w:ascii="Cambria Math" w:hAnsi="Cambria Math"/>
                    <w:sz w:val="32"/>
                    <w:szCs w:val="32"/>
                  </w:rPr>
                  <m:t>e,   c1,   c2</m:t>
                </m:r>
              </m:e>
            </m:d>
            <m:r>
              <m:rPr>
                <m:sty m:val="p"/>
              </m:rPr>
              <w:rPr>
                <w:rFonts w:ascii="Cambria Math" w:hAnsi="Cambria Math"/>
                <w:sz w:val="32"/>
                <w:szCs w:val="32"/>
              </w:rPr>
              <m:t xml:space="preserve">  : Amt[c2]</m:t>
            </m:r>
          </m:den>
        </m:f>
      </m:oMath>
      <w:r>
        <w:t xml:space="preserve">  </w:t>
      </w:r>
    </w:p>
    <w:p w14:paraId="3EF227AD" w14:textId="77777777" w:rsidR="00AE42C0" w:rsidRDefault="00000000">
      <w:pPr>
        <w:pStyle w:val="BodyText"/>
        <w:rPr>
          <w:b/>
          <w:bCs/>
        </w:rPr>
      </w:pPr>
      <w:r w:rsidRPr="004B3063">
        <w:rPr>
          <w:b/>
          <w:bCs/>
        </w:rPr>
        <w:t>Comparisons and Conditions:</w:t>
      </w:r>
    </w:p>
    <w:p w14:paraId="6EA5C3B6" w14:textId="0F3E70C3" w:rsidR="004B3063" w:rsidRDefault="004B3063" w:rsidP="004B3063">
      <w:pPr>
        <w:pStyle w:val="BodyText"/>
      </w:pPr>
      <w:r>
        <w:t xml:space="preserve">[T-COMP] </w:t>
      </w:r>
      <m:oMath>
        <m:f>
          <m:fPr>
            <m:ctrlPr>
              <w:rPr>
                <w:rFonts w:ascii="Cambria Math" w:hAnsi="Cambria Math"/>
                <w:i/>
                <w:sz w:val="32"/>
                <w:szCs w:val="32"/>
              </w:rPr>
            </m:ctrlPr>
          </m:fPr>
          <m:num>
            <m:r>
              <m:rPr>
                <m:sty m:val="p"/>
              </m:rPr>
              <w:rPr>
                <w:rFonts w:ascii="Cambria Math" w:hAnsi="Cambria Math"/>
                <w:sz w:val="32"/>
                <w:szCs w:val="32"/>
              </w:rPr>
              <m:t>Γ ⊢ e1  : τ     Γ ⊢ e2  : τ⊕∈{EQ,NEQ,GT,LT,GTE,LTE}</m:t>
            </m:r>
          </m:num>
          <m:den>
            <m:r>
              <m:rPr>
                <m:sty m:val="p"/>
              </m:rPr>
              <w:rPr>
                <w:rFonts w:ascii="Cambria Math" w:hAnsi="Cambria Math"/>
                <w:sz w:val="32"/>
                <w:szCs w:val="32"/>
              </w:rPr>
              <m:t>Γ ⊢ e1⊕e2  : Bool</m:t>
            </m:r>
          </m:den>
        </m:f>
      </m:oMath>
      <w:r>
        <w:t xml:space="preserve">  </w:t>
      </w:r>
    </w:p>
    <w:p w14:paraId="6AB462A0" w14:textId="2ADC1CF3" w:rsidR="004B3063" w:rsidRDefault="004B3063" w:rsidP="004B3063">
      <w:pPr>
        <w:pStyle w:val="BodyText"/>
      </w:pPr>
      <w:r>
        <w:t xml:space="preserve">[T-AND] </w:t>
      </w:r>
      <m:oMath>
        <m:f>
          <m:fPr>
            <m:ctrlPr>
              <w:rPr>
                <w:rFonts w:ascii="Cambria Math" w:hAnsi="Cambria Math"/>
                <w:i/>
                <w:sz w:val="32"/>
                <w:szCs w:val="32"/>
              </w:rPr>
            </m:ctrlPr>
          </m:fPr>
          <m:num>
            <m:r>
              <m:rPr>
                <m:sty m:val="p"/>
              </m:rPr>
              <w:rPr>
                <w:rFonts w:ascii="Cambria Math" w:hAnsi="Cambria Math"/>
                <w:sz w:val="32"/>
                <w:szCs w:val="32"/>
              </w:rPr>
              <m:t>Γ ⊢ φ1  : Bool   Γ ⊢ φ2  : Bool</m:t>
            </m:r>
          </m:num>
          <m:den>
            <m:r>
              <m:rPr>
                <m:sty m:val="p"/>
              </m:rPr>
              <w:rPr>
                <w:rFonts w:ascii="Cambria Math" w:hAnsi="Cambria Math"/>
                <w:sz w:val="32"/>
                <w:szCs w:val="32"/>
              </w:rPr>
              <m:t>Γ ⊢ φ1 AND φ2  : Bool</m:t>
            </m:r>
          </m:den>
        </m:f>
      </m:oMath>
      <w:r>
        <w:t xml:space="preserve">  </w:t>
      </w:r>
    </w:p>
    <w:p w14:paraId="69E5DF8E" w14:textId="77777777" w:rsidR="00AE42C0" w:rsidRDefault="00000000">
      <w:pPr>
        <w:pStyle w:val="BodyText"/>
        <w:rPr>
          <w:b/>
          <w:bCs/>
        </w:rPr>
      </w:pPr>
      <w:r>
        <w:rPr>
          <w:b/>
          <w:bCs/>
        </w:rPr>
        <w:t>Let Bindings:</w:t>
      </w:r>
    </w:p>
    <w:p w14:paraId="1C693BDB" w14:textId="6B036BAB" w:rsidR="004B3063" w:rsidRDefault="004B3063" w:rsidP="004B3063">
      <w:pPr>
        <w:pStyle w:val="BodyText"/>
      </w:pPr>
      <w:r>
        <w:t xml:space="preserve">[T-LET] </w:t>
      </w:r>
      <m:oMath>
        <m:f>
          <m:fPr>
            <m:ctrlPr>
              <w:rPr>
                <w:rFonts w:ascii="Cambria Math" w:hAnsi="Cambria Math"/>
                <w:i/>
                <w:sz w:val="32"/>
                <w:szCs w:val="32"/>
              </w:rPr>
            </m:ctrlPr>
          </m:fPr>
          <m:num>
            <m:r>
              <m:rPr>
                <m:sty m:val="p"/>
              </m:rPr>
              <w:rPr>
                <w:rFonts w:ascii="Cambria Math" w:hAnsi="Cambria Math"/>
                <w:sz w:val="32"/>
                <w:szCs w:val="32"/>
              </w:rPr>
              <m:t>Γ ⊢ e1 : τ1    Γ</m:t>
            </m:r>
            <m:d>
              <m:dPr>
                <m:begChr m:val="["/>
                <m:endChr m:val="]"/>
                <m:ctrlPr>
                  <w:rPr>
                    <w:rFonts w:ascii="Cambria Math" w:hAnsi="Cambria Math"/>
                    <w:sz w:val="32"/>
                    <w:szCs w:val="32"/>
                  </w:rPr>
                </m:ctrlPr>
              </m:dPr>
              <m:e>
                <m:r>
                  <m:rPr>
                    <m:sty m:val="p"/>
                  </m:rPr>
                  <w:rPr>
                    <w:rFonts w:ascii="Cambria Math" w:hAnsi="Cambria Math"/>
                    <w:sz w:val="32"/>
                    <w:szCs w:val="32"/>
                  </w:rPr>
                  <m:t>x ↦ τ1</m:t>
                </m:r>
              </m:e>
            </m:d>
            <m:r>
              <m:rPr>
                <m:sty m:val="p"/>
              </m:rPr>
              <w:rPr>
                <w:rFonts w:ascii="Cambria Math" w:hAnsi="Cambria Math"/>
                <w:sz w:val="32"/>
                <w:szCs w:val="32"/>
              </w:rPr>
              <m:t xml:space="preserve"> ⊢ e2  : τ2 </m:t>
            </m:r>
          </m:num>
          <m:den>
            <m:r>
              <m:rPr>
                <m:sty m:val="p"/>
              </m:rPr>
              <w:rPr>
                <w:rFonts w:ascii="Cambria Math" w:hAnsi="Cambria Math"/>
                <w:sz w:val="32"/>
                <w:szCs w:val="32"/>
              </w:rPr>
              <m:t>Γ ⊢ LET x AS e1;e2  : τ2</m:t>
            </m:r>
          </m:den>
        </m:f>
      </m:oMath>
      <w:r>
        <w:t xml:space="preserve">  </w:t>
      </w:r>
    </w:p>
    <w:p w14:paraId="47DAE97B" w14:textId="77777777" w:rsidR="00AE42C0" w:rsidRDefault="00000000">
      <w:pPr>
        <w:pStyle w:val="BodyText"/>
        <w:rPr>
          <w:b/>
          <w:bCs/>
        </w:rPr>
      </w:pPr>
      <w:r>
        <w:rPr>
          <w:b/>
          <w:bCs/>
        </w:rPr>
        <w:t>Yield Statements:</w:t>
      </w:r>
    </w:p>
    <w:p w14:paraId="3A35B3D6" w14:textId="16DA679B" w:rsidR="00765FB5" w:rsidRDefault="00765FB5" w:rsidP="00765FB5">
      <w:pPr>
        <w:pStyle w:val="BodyText"/>
      </w:pPr>
      <w:r>
        <w:t xml:space="preserve">[T-YIELD] </w:t>
      </w:r>
      <m:oMath>
        <m:f>
          <m:fPr>
            <m:ctrlPr>
              <w:rPr>
                <w:rFonts w:ascii="Cambria Math" w:hAnsi="Cambria Math"/>
                <w:i/>
                <w:sz w:val="32"/>
                <w:szCs w:val="32"/>
              </w:rPr>
            </m:ctrlPr>
          </m:fPr>
          <m:num>
            <m:r>
              <m:rPr>
                <m:sty m:val="p"/>
              </m:rPr>
              <w:rPr>
                <w:rFonts w:ascii="Cambria Math" w:hAnsi="Cambria Math"/>
                <w:sz w:val="32"/>
                <w:szCs w:val="32"/>
              </w:rPr>
              <m:t>Γ ⊢ e  : τ    Γ ⊢ φ  : Bool</m:t>
            </m:r>
          </m:num>
          <m:den>
            <m:r>
              <m:rPr>
                <m:sty m:val="p"/>
              </m:rPr>
              <w:rPr>
                <w:rFonts w:ascii="Cambria Math" w:hAnsi="Cambria Math"/>
                <w:sz w:val="32"/>
                <w:szCs w:val="32"/>
              </w:rPr>
              <m:t>Γ ⊢ YIELD e IF φ  : τ</m:t>
            </m:r>
          </m:den>
        </m:f>
      </m:oMath>
      <w:r>
        <w:t xml:space="preserve">  </w:t>
      </w:r>
    </w:p>
    <w:p w14:paraId="77F4B7CB" w14:textId="77777777" w:rsidR="00AE42C0" w:rsidRDefault="00000000">
      <w:pPr>
        <w:pStyle w:val="BodyText"/>
        <w:rPr>
          <w:b/>
          <w:bCs/>
        </w:rPr>
      </w:pPr>
      <w:r>
        <w:rPr>
          <w:b/>
          <w:bCs/>
        </w:rPr>
        <w:t>Polymorphic Fees:</w:t>
      </w:r>
    </w:p>
    <w:p w14:paraId="04CC8867" w14:textId="465813E4" w:rsidR="00765FB5" w:rsidRDefault="00765FB5" w:rsidP="00765FB5">
      <w:pPr>
        <w:pStyle w:val="BodyText"/>
      </w:pPr>
      <w:r>
        <w:t xml:space="preserve">[T-POLY] </w:t>
      </w:r>
      <m:oMath>
        <m:f>
          <m:fPr>
            <m:ctrlPr>
              <w:rPr>
                <w:rFonts w:ascii="Cambria Math" w:hAnsi="Cambria Math"/>
                <w:i/>
                <w:sz w:val="32"/>
                <w:szCs w:val="32"/>
              </w:rPr>
            </m:ctrlPr>
          </m:fPr>
          <m:num>
            <m:r>
              <m:rPr>
                <m:sty m:val="p"/>
              </m:rPr>
              <w:rPr>
                <w:rFonts w:ascii="Cambria Math" w:hAnsi="Cambria Math"/>
                <w:sz w:val="32"/>
                <w:szCs w:val="32"/>
              </w:rPr>
              <m:t>Γ</m:t>
            </m:r>
            <m:d>
              <m:dPr>
                <m:begChr m:val="["/>
                <m:endChr m:val="]"/>
                <m:ctrlPr>
                  <w:rPr>
                    <w:rFonts w:ascii="Cambria Math" w:hAnsi="Cambria Math"/>
                    <w:sz w:val="32"/>
                    <w:szCs w:val="32"/>
                  </w:rPr>
                </m:ctrlPr>
              </m:dPr>
              <m:e>
                <m:r>
                  <m:rPr>
                    <m:sty m:val="p"/>
                  </m:rPr>
                  <w:rPr>
                    <w:rFonts w:ascii="Cambria Math" w:hAnsi="Cambria Math"/>
                    <w:sz w:val="32"/>
                    <w:szCs w:val="32"/>
                  </w:rPr>
                  <m:t>α ↦ ∀</m:t>
                </m:r>
              </m:e>
            </m:d>
            <m:r>
              <m:rPr>
                <m:sty m:val="p"/>
              </m:rPr>
              <w:rPr>
                <w:rFonts w:ascii="Cambria Math" w:hAnsi="Cambria Math"/>
                <w:sz w:val="32"/>
                <w:szCs w:val="32"/>
              </w:rPr>
              <m:t xml:space="preserve"> ⊢ body  : α </m:t>
            </m:r>
          </m:num>
          <m:den>
            <m:r>
              <m:rPr>
                <m:sty m:val="p"/>
              </m:rPr>
              <w:rPr>
                <w:rFonts w:ascii="Cambria Math" w:hAnsi="Cambria Math"/>
                <w:sz w:val="32"/>
                <w:szCs w:val="32"/>
              </w:rPr>
              <m:t>Γ ⊢ FEE</m:t>
            </m:r>
            <m:d>
              <m:dPr>
                <m:begChr m:val="⟨"/>
                <m:endChr m:val="⟩"/>
                <m:ctrlPr>
                  <w:rPr>
                    <w:rFonts w:ascii="Cambria Math" w:hAnsi="Cambria Math"/>
                    <w:sz w:val="32"/>
                    <w:szCs w:val="32"/>
                  </w:rPr>
                </m:ctrlPr>
              </m:dPr>
              <m:e>
                <m:r>
                  <m:rPr>
                    <m:sty m:val="p"/>
                  </m:rPr>
                  <w:rPr>
                    <w:rFonts w:ascii="Cambria Math" w:hAnsi="Cambria Math"/>
                    <w:sz w:val="32"/>
                    <w:szCs w:val="32"/>
                  </w:rPr>
                  <m:t>α</m:t>
                </m:r>
              </m:e>
            </m:d>
            <m:r>
              <m:rPr>
                <m:sty m:val="p"/>
              </m:rPr>
              <w:rPr>
                <w:rFonts w:ascii="Cambria Math" w:hAnsi="Cambria Math"/>
                <w:sz w:val="32"/>
                <w:szCs w:val="32"/>
              </w:rPr>
              <m:t xml:space="preserve"> body  : ∀ α.α</m:t>
            </m:r>
          </m:den>
        </m:f>
      </m:oMath>
      <w:r>
        <w:t xml:space="preserve">  </w:t>
      </w:r>
    </w:p>
    <w:p w14:paraId="4B0458E5" w14:textId="77777777" w:rsidR="00AE42C0" w:rsidRDefault="00000000">
      <w:pPr>
        <w:pStyle w:val="Heading4"/>
      </w:pPr>
      <w:bookmarkStart w:id="34" w:name="type-safety"/>
      <w:bookmarkEnd w:id="33"/>
      <w:r>
        <w:t>4.1.3 Type Safety</w:t>
      </w:r>
    </w:p>
    <w:p w14:paraId="00D3225D" w14:textId="77777777" w:rsidR="00AE42C0" w:rsidRDefault="00000000">
      <w:pPr>
        <w:pStyle w:val="FirstParagraph"/>
      </w:pPr>
      <w:r>
        <w:rPr>
          <w:b/>
          <w:bCs/>
        </w:rPr>
        <w:t>Theorem 1 (Type Safety).</w:t>
      </w:r>
      <w:r>
        <w:t xml:space="preserve"> If program P is well-typed (Γ ⊢ P : ok), then for all inputs σ satisfying Γ: 1. Every arithmetic expression evaluates without currency mismatch 2. Every fee f computes to a value v : Amt[c] where c is f’s declared currency (or Num if undeclared) 3. No implicit currency conversion occurs</w:t>
      </w:r>
    </w:p>
    <w:p w14:paraId="3ED9F3BF" w14:textId="77777777" w:rsidR="00AE42C0" w:rsidRDefault="00000000">
      <w:pPr>
        <w:pStyle w:val="BodyText"/>
      </w:pPr>
      <w:r>
        <w:rPr>
          <w:i/>
          <w:iCs/>
        </w:rPr>
        <w:t>Proof sketch.</w:t>
      </w:r>
      <w:r>
        <w:t xml:space="preserve"> By structural induction on typing derivations.</w:t>
      </w:r>
    </w:p>
    <w:p w14:paraId="4A68B570" w14:textId="77777777" w:rsidR="00AE42C0" w:rsidRDefault="00000000">
      <w:pPr>
        <w:pStyle w:val="BodyText"/>
      </w:pPr>
      <w:r>
        <w:rPr>
          <w:i/>
          <w:iCs/>
        </w:rPr>
        <w:lastRenderedPageBreak/>
        <w:t>Base cases:</w:t>
      </w:r>
      <w:r>
        <w:t xml:space="preserve"> Numeric literals have type Num by T-NUM. Currency literals n⟨c⟩ have type Amt[c] by T-CURR, where c is validated against the ISO-4217 database.</w:t>
      </w:r>
    </w:p>
    <w:p w14:paraId="2E0560D5" w14:textId="77777777" w:rsidR="00AE42C0" w:rsidRDefault="00000000">
      <w:pPr>
        <w:pStyle w:val="BodyText"/>
      </w:pPr>
      <w:r>
        <w:rPr>
          <w:i/>
          <w:iCs/>
        </w:rPr>
        <w:t>Inductive cases:</w:t>
      </w:r>
      <w:r>
        <w:t xml:space="preserve"> For T-ADD-AMT, both operands must have type Amt[c] for the same c; the result preserves this currency tag. For T-MUL-SCALAR-R and T-MUL-SCALAR-L, the currency of the Amt operand is preserved regardless of operand order. For T-CONVERT, the explicit conversion changes the currency tag from c₁ to c₂, requiring runtime exchange rate lookup.</w:t>
      </w:r>
    </w:p>
    <w:p w14:paraId="1F60885F" w14:textId="77777777" w:rsidR="00AE42C0" w:rsidRDefault="00000000">
      <w:pPr>
        <w:pStyle w:val="BodyText"/>
      </w:pPr>
      <w:r>
        <w:t>The type checker implementation (</w:t>
      </w:r>
      <w:r>
        <w:rPr>
          <w:rStyle w:val="VerbatimChar"/>
        </w:rPr>
        <w:t>CurrencyTypeChecker.cs</w:t>
      </w:r>
      <w:r>
        <w:t xml:space="preserve">) enforces these rules, rejecting programs that violate conditions (1)-(3) before evaluation. Specifically, </w:t>
      </w:r>
      <w:r>
        <w:rPr>
          <w:rStyle w:val="VerbatimChar"/>
        </w:rPr>
        <w:t>InferArithmeticType()</w:t>
      </w:r>
      <w:r>
        <w:t xml:space="preserve"> implements T-ADD-AMT, T-MUL-SCALAR-R, and T-MUL-SCALAR-L; </w:t>
      </w:r>
      <w:r>
        <w:rPr>
          <w:rStyle w:val="VerbatimChar"/>
        </w:rPr>
        <w:t>InferConvertType()</w:t>
      </w:r>
      <w:r>
        <w:t xml:space="preserve"> implements T-CONVERT; and </w:t>
      </w:r>
      <w:r>
        <w:rPr>
          <w:rStyle w:val="VerbatimChar"/>
        </w:rPr>
        <w:t>TypeError.MixedCurrencyArithmetic()</w:t>
      </w:r>
      <w:r>
        <w:t xml:space="preserve"> signals violations of condition (1).</w:t>
      </w:r>
    </w:p>
    <w:p w14:paraId="555C78CE" w14:textId="77777777" w:rsidR="00AE42C0" w:rsidRDefault="00000000">
      <w:pPr>
        <w:pStyle w:val="BodyText"/>
      </w:pPr>
      <w:r>
        <w:rPr>
          <w:b/>
          <w:bCs/>
        </w:rPr>
        <w:t>Example - Type Error Detection:</w:t>
      </w:r>
    </w:p>
    <w:p w14:paraId="57935DF0" w14:textId="77777777" w:rsidR="00AE42C0" w:rsidRDefault="00000000">
      <w:pPr>
        <w:pStyle w:val="SourceCode"/>
      </w:pPr>
      <w:r>
        <w:rPr>
          <w:rStyle w:val="VerbatimChar"/>
        </w:rPr>
        <w:t># Type error detected at compile time:</w:t>
      </w:r>
      <w:r>
        <w:br/>
      </w:r>
      <w:r>
        <w:rPr>
          <w:rStyle w:val="VerbatimChar"/>
        </w:rPr>
        <w:t>YIELD FilingFee + SearchFee   -- where FilingFee:Amt[EUR], SearchFee:Amt[USD]</w:t>
      </w:r>
      <w:r>
        <w:br/>
      </w:r>
      <w:r>
        <w:rPr>
          <w:rStyle w:val="VerbatimChar"/>
        </w:rPr>
        <w:t># Error: Cannot add EUR and USD without conversion</w:t>
      </w:r>
      <w:r>
        <w:br/>
      </w:r>
      <w:r>
        <w:br/>
      </w:r>
      <w:r>
        <w:rPr>
          <w:rStyle w:val="VerbatimChar"/>
        </w:rPr>
        <w:t># Correct version with explicit conversion:</w:t>
      </w:r>
      <w:r>
        <w:br/>
      </w:r>
      <w:r>
        <w:rPr>
          <w:rStyle w:val="VerbatimChar"/>
        </w:rPr>
        <w:t>YIELD FilingFee + CONVERT(SearchFee, USD, EUR)</w:t>
      </w:r>
    </w:p>
    <w:p w14:paraId="4B8797A1" w14:textId="77777777" w:rsidR="00AE42C0" w:rsidRDefault="00000000">
      <w:pPr>
        <w:pStyle w:val="Heading3"/>
      </w:pPr>
      <w:bookmarkStart w:id="35" w:name="completeness-analysis"/>
      <w:bookmarkEnd w:id="30"/>
      <w:bookmarkEnd w:id="34"/>
      <w:r>
        <w:t>4.2 Completeness Analysis</w:t>
      </w:r>
    </w:p>
    <w:p w14:paraId="2BD0D45B" w14:textId="77777777" w:rsidR="00AE42C0" w:rsidRDefault="00000000">
      <w:pPr>
        <w:pStyle w:val="FirstParagraph"/>
      </w:pPr>
      <w:r>
        <w:t xml:space="preserve">IPFLang supports static analysis to determine whether fee computations produce defined outputs for all valid input combinations. The analysis operates in two modes: </w:t>
      </w:r>
      <w:r>
        <w:rPr>
          <w:i/>
          <w:iCs/>
        </w:rPr>
        <w:t>exhaustive verification</w:t>
      </w:r>
      <w:r>
        <w:t xml:space="preserve"> for small domains providing formal guarantees, and </w:t>
      </w:r>
      <w:r>
        <w:rPr>
          <w:i/>
          <w:iCs/>
        </w:rPr>
        <w:t>boundary-based testing</w:t>
      </w:r>
      <w:r>
        <w:t xml:space="preserve"> for large domains providing high-confidence heuristic assurance.</w:t>
      </w:r>
    </w:p>
    <w:p w14:paraId="056F6ADF" w14:textId="77777777" w:rsidR="00AE42C0" w:rsidRDefault="00000000">
      <w:pPr>
        <w:pStyle w:val="Heading4"/>
      </w:pPr>
      <w:bookmarkStart w:id="36" w:name="formal-definitions"/>
      <w:r>
        <w:t>4.2.1 Formal Definitions</w:t>
      </w:r>
    </w:p>
    <w:p w14:paraId="1E63AF40" w14:textId="77777777" w:rsidR="00AE42C0" w:rsidRDefault="00000000">
      <w:pPr>
        <w:pStyle w:val="FirstParagraph"/>
      </w:pPr>
      <w:r>
        <w:rPr>
          <w:b/>
          <w:bCs/>
        </w:rPr>
        <w:t>Definition 1 (Input Domain).</w:t>
      </w:r>
      <w:r>
        <w:t xml:space="preserve"> Each input declaration defines a semantic domain: - NUMBER BETWEEN m AND M defines Dom = {n ∈ ℤ : m ≤ n ≤ M} - BOOLEAN defines Dom = {TRUE, FALSE} - LIST with choices {c₁, …, cₖ} defines Dom = {c₁, …, cₖ} - MULTILIST with choices {c₁, …, cₖ} defines Dom = P({c₁, …, cₖ})</w:t>
      </w:r>
    </w:p>
    <w:p w14:paraId="7146F39A" w14:textId="77777777" w:rsidR="00AE42C0" w:rsidRDefault="00000000">
      <w:pPr>
        <w:pStyle w:val="BodyText"/>
      </w:pPr>
      <w:r>
        <w:rPr>
          <w:b/>
          <w:bCs/>
        </w:rPr>
        <w:t>Definition 2 (Valuation Space).</w:t>
      </w:r>
      <w:r>
        <w:t xml:space="preserve"> The valuation space Σ is the Cartesian product of all input domains: Σ = Dom₁ × Dom₂ × … × Domₘ</w:t>
      </w:r>
    </w:p>
    <w:p w14:paraId="49FC547B" w14:textId="77777777" w:rsidR="00AE42C0" w:rsidRDefault="00000000">
      <w:pPr>
        <w:pStyle w:val="BodyText"/>
      </w:pPr>
      <w:r>
        <w:rPr>
          <w:b/>
          <w:bCs/>
        </w:rPr>
        <w:t>Definition 3 (Coverage).</w:t>
      </w:r>
      <w:r>
        <w:t xml:space="preserve"> For fee f with conditional yields guarded by conditions φ₁, …, φₙ, the coverage is:</w:t>
      </w:r>
    </w:p>
    <w:p w14:paraId="7041BE22" w14:textId="77777777" w:rsidR="00AE42C0" w:rsidRPr="00D91184" w:rsidRDefault="00000000">
      <w:pPr>
        <w:pStyle w:val="BodyText"/>
        <w:rPr>
          <w:rFonts w:ascii="Consolas" w:hAnsi="Consolas"/>
        </w:rPr>
      </w:pPr>
      <w:r w:rsidRPr="00D91184">
        <w:rPr>
          <w:rFonts w:ascii="Consolas" w:hAnsi="Consolas"/>
        </w:rPr>
        <w:t xml:space="preserve">  Cov(f) = {σ</w:t>
      </w:r>
      <w:r w:rsidRPr="00D91184">
        <w:rPr>
          <w:rFonts w:ascii="Cambria Math" w:hAnsi="Cambria Math" w:cs="Cambria Math"/>
        </w:rPr>
        <w:t>∈</w:t>
      </w:r>
      <w:r w:rsidRPr="00D91184">
        <w:rPr>
          <w:rFonts w:ascii="Consolas" w:hAnsi="Consolas" w:cs="Consolas"/>
        </w:rPr>
        <w:t>Σ</w:t>
      </w:r>
      <w:r w:rsidRPr="00D91184">
        <w:rPr>
          <w:rFonts w:ascii="Consolas" w:hAnsi="Consolas"/>
        </w:rPr>
        <w:t>:</w:t>
      </w:r>
      <w:r w:rsidRPr="00D91184">
        <w:rPr>
          <w:rFonts w:ascii="Cambria Math" w:hAnsi="Cambria Math" w:cs="Cambria Math"/>
        </w:rPr>
        <w:t>∃</w:t>
      </w:r>
      <w:r w:rsidRPr="00D91184">
        <w:rPr>
          <w:rFonts w:ascii="Consolas" w:hAnsi="Consolas"/>
        </w:rPr>
        <w:t>i.</w:t>
      </w:r>
      <w:r w:rsidRPr="00D91184">
        <w:rPr>
          <w:rFonts w:ascii="Consolas" w:hAnsi="Consolas" w:cs="Consolas"/>
        </w:rPr>
        <w:t>σ</w:t>
      </w:r>
      <w:r w:rsidRPr="00D91184">
        <w:rPr>
          <w:rFonts w:ascii="Cambria Math" w:hAnsi="Cambria Math" w:cs="Cambria Math"/>
        </w:rPr>
        <w:t>⊨</w:t>
      </w:r>
      <w:r w:rsidRPr="00D91184">
        <w:rPr>
          <w:rFonts w:ascii="Consolas" w:hAnsi="Consolas" w:cs="Consolas"/>
        </w:rPr>
        <w:t>φ</w:t>
      </w:r>
      <w:r w:rsidRPr="00D91184">
        <w:rPr>
          <w:rFonts w:ascii="Consolas" w:hAnsi="Consolas"/>
        </w:rPr>
        <w:t xml:space="preserve">i}  </w:t>
      </w:r>
    </w:p>
    <w:p w14:paraId="25281B2F" w14:textId="77777777" w:rsidR="00AE42C0" w:rsidRDefault="00000000">
      <w:pPr>
        <w:pStyle w:val="BodyText"/>
      </w:pPr>
      <w:r>
        <w:rPr>
          <w:b/>
          <w:bCs/>
        </w:rPr>
        <w:t>Definition 4 (Completeness).</w:t>
      </w:r>
      <w:r>
        <w:t xml:space="preserve"> Fee f is </w:t>
      </w:r>
      <w:r>
        <w:rPr>
          <w:i/>
          <w:iCs/>
        </w:rPr>
        <w:t>complete</w:t>
      </w:r>
      <w:r>
        <w:t xml:space="preserve"> if Cov(f) = Σ, equivalently if φ₁ ∨ … ∨ φₙ is valid over Σ.</w:t>
      </w:r>
    </w:p>
    <w:p w14:paraId="0EA7A53B" w14:textId="77777777" w:rsidR="00AE42C0" w:rsidRDefault="00000000">
      <w:pPr>
        <w:pStyle w:val="Heading4"/>
      </w:pPr>
      <w:bookmarkStart w:id="37" w:name="analysis-algorithm"/>
      <w:bookmarkEnd w:id="36"/>
      <w:r>
        <w:t>4.2.2 Analysis Algorithm</w:t>
      </w:r>
    </w:p>
    <w:p w14:paraId="507A8307" w14:textId="77777777" w:rsidR="00AE42C0" w:rsidRDefault="00000000">
      <w:pPr>
        <w:pStyle w:val="FirstParagraph"/>
      </w:pPr>
      <w:r>
        <w:t>The completeness analysis employs two strategies depending on domain size:</w:t>
      </w:r>
    </w:p>
    <w:p w14:paraId="5F73276D" w14:textId="77777777" w:rsidR="00AE42C0" w:rsidRPr="00D91184" w:rsidRDefault="00000000">
      <w:pPr>
        <w:pStyle w:val="SourceCode"/>
        <w:rPr>
          <w:sz w:val="22"/>
          <w:szCs w:val="22"/>
        </w:rPr>
      </w:pPr>
      <w:r w:rsidRPr="00D91184">
        <w:rPr>
          <w:rStyle w:val="VerbatimChar"/>
          <w:sz w:val="20"/>
          <w:szCs w:val="22"/>
        </w:rPr>
        <w:lastRenderedPageBreak/>
        <w:t>Algorithm 1: Completeness Analysis</w:t>
      </w:r>
      <w:r w:rsidRPr="00D91184">
        <w:rPr>
          <w:sz w:val="22"/>
          <w:szCs w:val="22"/>
        </w:rPr>
        <w:br/>
      </w:r>
      <w:r w:rsidRPr="00D91184">
        <w:rPr>
          <w:rStyle w:val="VerbatimChar"/>
          <w:sz w:val="20"/>
          <w:szCs w:val="22"/>
        </w:rPr>
        <w:t>─────────────────────────────────────────────────────────────────────</w:t>
      </w:r>
      <w:r w:rsidRPr="00D91184">
        <w:rPr>
          <w:sz w:val="22"/>
          <w:szCs w:val="22"/>
        </w:rPr>
        <w:br/>
      </w:r>
      <w:r w:rsidRPr="00D91184">
        <w:rPr>
          <w:rStyle w:val="VerbatimChar"/>
          <w:sz w:val="20"/>
          <w:szCs w:val="22"/>
        </w:rPr>
        <w:t>Input:  Fee f with conditions Φ = {φ₁, ..., φₙ}</w:t>
      </w:r>
      <w:r w:rsidRPr="00D91184">
        <w:rPr>
          <w:sz w:val="22"/>
          <w:szCs w:val="22"/>
        </w:rPr>
        <w:br/>
      </w:r>
      <w:r w:rsidRPr="00D91184">
        <w:rPr>
          <w:rStyle w:val="VerbatimChar"/>
          <w:sz w:val="20"/>
          <w:szCs w:val="22"/>
        </w:rPr>
        <w:t xml:space="preserve">        Input domains D = {D₁, ..., Dₘ}</w:t>
      </w:r>
      <w:r w:rsidRPr="00D91184">
        <w:rPr>
          <w:sz w:val="22"/>
          <w:szCs w:val="22"/>
        </w:rPr>
        <w:br/>
      </w:r>
      <w:r w:rsidRPr="00D91184">
        <w:rPr>
          <w:rStyle w:val="VerbatimChar"/>
          <w:sz w:val="20"/>
          <w:szCs w:val="22"/>
        </w:rPr>
        <w:t>Output: (complete: Bool, gaps: Set⟨InputCombination⟩)</w:t>
      </w:r>
      <w:r w:rsidRPr="00D91184">
        <w:rPr>
          <w:sz w:val="22"/>
          <w:szCs w:val="22"/>
        </w:rPr>
        <w:br/>
      </w:r>
      <w:r w:rsidRPr="00D91184">
        <w:rPr>
          <w:sz w:val="22"/>
          <w:szCs w:val="22"/>
        </w:rPr>
        <w:br/>
      </w:r>
      <w:r w:rsidRPr="00D91184">
        <w:rPr>
          <w:rStyle w:val="VerbatimChar"/>
          <w:sz w:val="20"/>
          <w:szCs w:val="22"/>
        </w:rPr>
        <w:t xml:space="preserve"> 1: Σ ← D₁ × D₂ × ... × Dₘ                    // Valuation space</w:t>
      </w:r>
      <w:r w:rsidRPr="00D91184">
        <w:rPr>
          <w:sz w:val="22"/>
          <w:szCs w:val="22"/>
        </w:rPr>
        <w:br/>
      </w:r>
      <w:r w:rsidRPr="00D91184">
        <w:rPr>
          <w:rStyle w:val="VerbatimChar"/>
          <w:sz w:val="20"/>
          <w:szCs w:val="22"/>
        </w:rPr>
        <w:t xml:space="preserve"> 2: |Σ| ← ∏ᵢ |Dᵢ|                             // Domain size</w:t>
      </w:r>
      <w:r w:rsidRPr="00D91184">
        <w:rPr>
          <w:sz w:val="22"/>
          <w:szCs w:val="22"/>
        </w:rPr>
        <w:br/>
      </w:r>
      <w:r w:rsidRPr="00D91184">
        <w:rPr>
          <w:rStyle w:val="VerbatimChar"/>
          <w:sz w:val="20"/>
          <w:szCs w:val="22"/>
        </w:rPr>
        <w:t xml:space="preserve"> 3: gaps ← ∅</w:t>
      </w:r>
      <w:r w:rsidRPr="00D91184">
        <w:rPr>
          <w:sz w:val="22"/>
          <w:szCs w:val="22"/>
        </w:rPr>
        <w:br/>
      </w:r>
      <w:r w:rsidRPr="00D91184">
        <w:rPr>
          <w:rStyle w:val="VerbatimChar"/>
          <w:sz w:val="20"/>
          <w:szCs w:val="22"/>
        </w:rPr>
        <w:t xml:space="preserve"> 4:</w:t>
      </w:r>
      <w:r w:rsidRPr="00D91184">
        <w:rPr>
          <w:sz w:val="22"/>
          <w:szCs w:val="22"/>
        </w:rPr>
        <w:br/>
      </w:r>
      <w:r w:rsidRPr="00D91184">
        <w:rPr>
          <w:rStyle w:val="VerbatimChar"/>
          <w:sz w:val="20"/>
          <w:szCs w:val="22"/>
        </w:rPr>
        <w:t xml:space="preserve"> 5: if |Σ| ≤ EXHAUSTIVE_THRESHOLD then        // Default: 10⁶</w:t>
      </w:r>
      <w:r w:rsidRPr="00D91184">
        <w:rPr>
          <w:sz w:val="22"/>
          <w:szCs w:val="22"/>
        </w:rPr>
        <w:br/>
      </w:r>
      <w:r w:rsidRPr="00D91184">
        <w:rPr>
          <w:rStyle w:val="VerbatimChar"/>
          <w:sz w:val="20"/>
          <w:szCs w:val="22"/>
        </w:rPr>
        <w:t xml:space="preserve"> 6:     // EXHAUSTIVE VERIFICATION (provides formal guarantee)</w:t>
      </w:r>
      <w:r w:rsidRPr="00D91184">
        <w:rPr>
          <w:sz w:val="22"/>
          <w:szCs w:val="22"/>
        </w:rPr>
        <w:br/>
      </w:r>
      <w:r w:rsidRPr="00D91184">
        <w:rPr>
          <w:rStyle w:val="VerbatimChar"/>
          <w:sz w:val="20"/>
          <w:szCs w:val="22"/>
        </w:rPr>
        <w:t xml:space="preserve"> 7:     for each σ ∈ Σ do</w:t>
      </w:r>
      <w:r w:rsidRPr="00D91184">
        <w:rPr>
          <w:sz w:val="22"/>
          <w:szCs w:val="22"/>
        </w:rPr>
        <w:br/>
      </w:r>
      <w:r w:rsidRPr="00D91184">
        <w:rPr>
          <w:rStyle w:val="VerbatimChar"/>
          <w:sz w:val="20"/>
          <w:szCs w:val="22"/>
        </w:rPr>
        <w:t xml:space="preserve"> 8:         if ¬∃φᵢ ∈ Φ : σ ⊨ φᵢ then</w:t>
      </w:r>
      <w:r w:rsidRPr="00D91184">
        <w:rPr>
          <w:sz w:val="22"/>
          <w:szCs w:val="22"/>
        </w:rPr>
        <w:br/>
      </w:r>
      <w:r w:rsidRPr="00D91184">
        <w:rPr>
          <w:rStyle w:val="VerbatimChar"/>
          <w:sz w:val="20"/>
          <w:szCs w:val="22"/>
        </w:rPr>
        <w:t xml:space="preserve"> 9:             gaps ← gaps ∪ {σ}</w:t>
      </w:r>
      <w:r w:rsidRPr="00D91184">
        <w:rPr>
          <w:sz w:val="22"/>
          <w:szCs w:val="22"/>
        </w:rPr>
        <w:br/>
      </w:r>
      <w:r w:rsidRPr="00D91184">
        <w:rPr>
          <w:rStyle w:val="VerbatimChar"/>
          <w:sz w:val="20"/>
          <w:szCs w:val="22"/>
        </w:rPr>
        <w:t>10:             if |gaps| ≥ MAX_GAPS then break</w:t>
      </w:r>
      <w:r w:rsidRPr="00D91184">
        <w:rPr>
          <w:sz w:val="22"/>
          <w:szCs w:val="22"/>
        </w:rPr>
        <w:br/>
      </w:r>
      <w:r w:rsidRPr="00D91184">
        <w:rPr>
          <w:rStyle w:val="VerbatimChar"/>
          <w:sz w:val="20"/>
          <w:szCs w:val="22"/>
        </w:rPr>
        <w:t>11: else</w:t>
      </w:r>
      <w:r w:rsidRPr="00D91184">
        <w:rPr>
          <w:sz w:val="22"/>
          <w:szCs w:val="22"/>
        </w:rPr>
        <w:br/>
      </w:r>
      <w:r w:rsidRPr="00D91184">
        <w:rPr>
          <w:rStyle w:val="VerbatimChar"/>
          <w:sz w:val="20"/>
          <w:szCs w:val="22"/>
        </w:rPr>
        <w:t>12:     // BOUNDARY-BASED TESTING (heuristic, no formal guarantee)</w:t>
      </w:r>
      <w:r w:rsidRPr="00D91184">
        <w:rPr>
          <w:sz w:val="22"/>
          <w:szCs w:val="22"/>
        </w:rPr>
        <w:br/>
      </w:r>
      <w:r w:rsidRPr="00D91184">
        <w:rPr>
          <w:rStyle w:val="VerbatimChar"/>
          <w:sz w:val="20"/>
          <w:szCs w:val="22"/>
        </w:rPr>
        <w:t>13:     S ← SampleRepresentative(D)           // Boundary sampling</w:t>
      </w:r>
      <w:r w:rsidRPr="00D91184">
        <w:rPr>
          <w:sz w:val="22"/>
          <w:szCs w:val="22"/>
        </w:rPr>
        <w:br/>
      </w:r>
      <w:r w:rsidRPr="00D91184">
        <w:rPr>
          <w:rStyle w:val="VerbatimChar"/>
          <w:sz w:val="20"/>
          <w:szCs w:val="22"/>
        </w:rPr>
        <w:t>14:     for each σ ∈ S do</w:t>
      </w:r>
      <w:r w:rsidRPr="00D91184">
        <w:rPr>
          <w:sz w:val="22"/>
          <w:szCs w:val="22"/>
        </w:rPr>
        <w:br/>
      </w:r>
      <w:r w:rsidRPr="00D91184">
        <w:rPr>
          <w:rStyle w:val="VerbatimChar"/>
          <w:sz w:val="20"/>
          <w:szCs w:val="22"/>
        </w:rPr>
        <w:t>15:         if ¬∃φᵢ ∈ Φ : σ ⊨ φᵢ then</w:t>
      </w:r>
      <w:r w:rsidRPr="00D91184">
        <w:rPr>
          <w:sz w:val="22"/>
          <w:szCs w:val="22"/>
        </w:rPr>
        <w:br/>
      </w:r>
      <w:r w:rsidRPr="00D91184">
        <w:rPr>
          <w:rStyle w:val="VerbatimChar"/>
          <w:sz w:val="20"/>
          <w:szCs w:val="22"/>
        </w:rPr>
        <w:t>16:             gaps ← gaps ∪ {σ}</w:t>
      </w:r>
      <w:r w:rsidRPr="00D91184">
        <w:rPr>
          <w:sz w:val="22"/>
          <w:szCs w:val="22"/>
        </w:rPr>
        <w:br/>
      </w:r>
      <w:r w:rsidRPr="00D91184">
        <w:rPr>
          <w:rStyle w:val="VerbatimChar"/>
          <w:sz w:val="20"/>
          <w:szCs w:val="22"/>
        </w:rPr>
        <w:t>17:</w:t>
      </w:r>
      <w:r w:rsidRPr="00D91184">
        <w:rPr>
          <w:sz w:val="22"/>
          <w:szCs w:val="22"/>
        </w:rPr>
        <w:br/>
      </w:r>
      <w:r w:rsidRPr="00D91184">
        <w:rPr>
          <w:rStyle w:val="VerbatimChar"/>
          <w:sz w:val="20"/>
          <w:szCs w:val="22"/>
        </w:rPr>
        <w:t>18: return (gaps = ∅, gaps)</w:t>
      </w:r>
    </w:p>
    <w:p w14:paraId="5FBC726A" w14:textId="77777777" w:rsidR="00AE42C0" w:rsidRDefault="00000000">
      <w:pPr>
        <w:pStyle w:val="Heading4"/>
      </w:pPr>
      <w:bookmarkStart w:id="38" w:name="complexity-analysis"/>
      <w:bookmarkEnd w:id="37"/>
      <w:r>
        <w:t>4.2.3 Complexity Analysis</w:t>
      </w:r>
    </w:p>
    <w:p w14:paraId="5B7E22F9" w14:textId="77777777" w:rsidR="00AE42C0" w:rsidRDefault="00000000">
      <w:pPr>
        <w:pStyle w:val="FirstParagraph"/>
      </w:pPr>
      <w:r>
        <w:rPr>
          <w:b/>
          <w:bCs/>
        </w:rPr>
        <w:t>Theorem 2 (Verification Complexity).</w:t>
      </w:r>
      <w:r>
        <w:t xml:space="preserve"> Let n = |Φ| (number of yield conditions), m = |D| (number of inputs), k = average condition evaluation cost (typically O(m) for conjunctive conditions), and N = |Σ| (domain size).</w:t>
      </w:r>
    </w:p>
    <w:p w14:paraId="11109BD4" w14:textId="77777777" w:rsidR="00AE42C0" w:rsidRDefault="00000000">
      <w:pPr>
        <w:pStyle w:val="Compact"/>
        <w:numPr>
          <w:ilvl w:val="0"/>
          <w:numId w:val="5"/>
        </w:numPr>
      </w:pPr>
      <w:r>
        <w:rPr>
          <w:b/>
          <w:bCs/>
        </w:rPr>
        <w:t>Exhaustive verification</w:t>
      </w:r>
      <w:r>
        <w:t xml:space="preserve"> (N ≤ 10⁶): O(N · n · k) time, O(|gaps|) space. Provides formal guarantee.</w:t>
      </w:r>
    </w:p>
    <w:p w14:paraId="4536C0AC" w14:textId="77777777" w:rsidR="00AE42C0" w:rsidRDefault="00000000">
      <w:pPr>
        <w:pStyle w:val="Compact"/>
        <w:numPr>
          <w:ilvl w:val="0"/>
          <w:numId w:val="5"/>
        </w:numPr>
      </w:pPr>
      <w:r>
        <w:rPr>
          <w:b/>
          <w:bCs/>
        </w:rPr>
        <w:t>Boundary-based testing</w:t>
      </w:r>
      <w:r>
        <w:t xml:space="preserve"> (N &gt; 10⁶): O(S · n · k) time where S = O(5ᵐ) for boundary sampling with 5 representatives per domain. Provides heuristic assurance only.</w:t>
      </w:r>
    </w:p>
    <w:p w14:paraId="608A6A36" w14:textId="77777777" w:rsidR="00AE42C0" w:rsidRDefault="00000000">
      <w:pPr>
        <w:pStyle w:val="Heading4"/>
      </w:pPr>
      <w:bookmarkStart w:id="39" w:name="sampling-strategy"/>
      <w:bookmarkEnd w:id="38"/>
      <w:r>
        <w:t>4.2.4 Sampling Strategy</w:t>
      </w:r>
    </w:p>
    <w:p w14:paraId="391990C1" w14:textId="77777777" w:rsidR="00AE42C0" w:rsidRDefault="00000000">
      <w:pPr>
        <w:pStyle w:val="FirstParagraph"/>
      </w:pPr>
      <w:r>
        <w:t xml:space="preserve">For numeric domains [min, max], the representative sampling selects boundary values (min and max), threshold values consisting of integers appearing in conditions (such as 15 and 50 from </w:t>
      </w:r>
      <w:r>
        <w:rPr>
          <w:rStyle w:val="VerbatimChar"/>
        </w:rPr>
        <w:t>ClaimCount GT 15</w:t>
      </w:r>
      <w:r>
        <w:t>), the midpoint (min + max) / 2, and near-boundary values (min + 1 and max - 1).</w:t>
      </w:r>
    </w:p>
    <w:p w14:paraId="24D30E9C" w14:textId="77777777" w:rsidR="00AE42C0" w:rsidRDefault="00000000">
      <w:pPr>
        <w:pStyle w:val="BodyText"/>
      </w:pPr>
      <w:r>
        <w:t>For Boolean domains, sampling includes both TRUE and FALSE exhaustively. For LIST domains, sampling covers all choices exhaustively up to the cardinality limit. For MULTILIST domains, sampling includes the empty set, all singleton sets, and the full set.</w:t>
      </w:r>
    </w:p>
    <w:p w14:paraId="4FE44FFC" w14:textId="77777777" w:rsidR="00AE42C0" w:rsidRDefault="00000000">
      <w:pPr>
        <w:pStyle w:val="Heading4"/>
      </w:pPr>
      <w:bookmarkStart w:id="40" w:name="soundness-and-guarantees"/>
      <w:bookmarkEnd w:id="39"/>
      <w:r>
        <w:t>4.2.5 Soundness and Guarantees</w:t>
      </w:r>
    </w:p>
    <w:p w14:paraId="04DD642C" w14:textId="77777777" w:rsidR="00AE42C0" w:rsidRDefault="00000000">
      <w:pPr>
        <w:pStyle w:val="FirstParagraph"/>
      </w:pPr>
      <w:r>
        <w:rPr>
          <w:b/>
          <w:bCs/>
        </w:rPr>
        <w:t>Proposition 1 (Soundness of Exhaustive Mode).</w:t>
      </w:r>
      <w:r>
        <w:t xml:space="preserve"> If the exhaustive algorithm reports complete, the fee is genuinely complete.</w:t>
      </w:r>
    </w:p>
    <w:p w14:paraId="3C58957F" w14:textId="77777777" w:rsidR="00AE42C0" w:rsidRDefault="00000000">
      <w:pPr>
        <w:pStyle w:val="BodyText"/>
      </w:pPr>
      <w:r>
        <w:rPr>
          <w:i/>
          <w:iCs/>
        </w:rPr>
        <w:t>Proof.</w:t>
      </w:r>
      <w:r>
        <w:t xml:space="preserve"> The algorithm checks all σ ∈ Σ. If no gap is found, then ∀σ ∈ Σ. ∃φᵢ. σ ⊨ φᵢ, which is the definition of completeness.</w:t>
      </w:r>
    </w:p>
    <w:p w14:paraId="2D6BF4BE" w14:textId="77777777" w:rsidR="00AE42C0" w:rsidRDefault="00000000">
      <w:pPr>
        <w:pStyle w:val="BodyText"/>
      </w:pPr>
      <w:r>
        <w:rPr>
          <w:b/>
          <w:bCs/>
        </w:rPr>
        <w:lastRenderedPageBreak/>
        <w:t>Proposition 2 (Completeness of Exhaustive Mode).</w:t>
      </w:r>
      <w:r>
        <w:t xml:space="preserve"> If a gap exists, the exhaustive algorithm will find it (up to MAX_GAPS reporting limit).</w:t>
      </w:r>
    </w:p>
    <w:p w14:paraId="2198DB11" w14:textId="77777777" w:rsidR="00AE42C0" w:rsidRDefault="00000000">
      <w:pPr>
        <w:pStyle w:val="BodyText"/>
      </w:pPr>
      <w:r>
        <w:rPr>
          <w:b/>
          <w:bCs/>
        </w:rPr>
        <w:t>Remark (Boundary-Based Testing Limitations).</w:t>
      </w:r>
      <w:r>
        <w:t xml:space="preserve"> The boundary-based testing mode may produce false negatives (miss gaps that fall between sampled points). It is designed to maximize gap detection for common fee patterns by prioritizing boundary values, threshold values extracted from conditions, and representative samples. </w:t>
      </w:r>
      <w:r>
        <w:rPr>
          <w:b/>
          <w:bCs/>
        </w:rPr>
        <w:t>This mode does not provide formal guarantees</w:t>
      </w:r>
      <w:r>
        <w:t>; users requiring provable completeness should ensure domain sizes permit exhaustive verification or employ manual analysis. The distinction between exhaustive verification with formal guarantees and heuristic sampling reflects fundamental tradeoffs in static analysis between precision and scalability [25].</w:t>
      </w:r>
    </w:p>
    <w:p w14:paraId="0018DDF1" w14:textId="77777777" w:rsidR="00AE42C0" w:rsidRDefault="00000000">
      <w:pPr>
        <w:pStyle w:val="BodyText"/>
      </w:pPr>
      <w:r>
        <w:rPr>
          <w:b/>
          <w:bCs/>
        </w:rPr>
        <w:t>Example - Gap Detection:</w:t>
      </w:r>
    </w:p>
    <w:p w14:paraId="550713F5" w14:textId="77777777" w:rsidR="00AE42C0" w:rsidRDefault="00000000">
      <w:pPr>
        <w:pStyle w:val="SourceCode"/>
      </w:pPr>
      <w:r>
        <w:rPr>
          <w:rStyle w:val="VerbatimChar"/>
        </w:rPr>
        <w:t>COMPUTE FEE ClaimFee</w:t>
      </w:r>
      <w:r>
        <w:br/>
      </w:r>
      <w:r>
        <w:rPr>
          <w:rStyle w:val="VerbatimChar"/>
        </w:rPr>
        <w:t xml:space="preserve">  YIELD 100&lt;EUR&gt; * (ClaimCount - 20) IF EntityType EQ Large AND ClaimCount GT 20</w:t>
      </w:r>
      <w:r>
        <w:br/>
      </w:r>
      <w:r>
        <w:rPr>
          <w:rStyle w:val="VerbatimChar"/>
        </w:rPr>
        <w:t xml:space="preserve">  YIELD 50&lt;EUR&gt; * (ClaimCount - 20) IF EntityType EQ Small AND ClaimCount GT 20</w:t>
      </w:r>
      <w:r>
        <w:br/>
      </w:r>
      <w:r>
        <w:rPr>
          <w:rStyle w:val="VerbatimChar"/>
        </w:rPr>
        <w:t>ENDCOMPUTE</w:t>
      </w:r>
      <w:r>
        <w:br/>
      </w:r>
      <w:r>
        <w:br/>
      </w:r>
      <w:r>
        <w:rPr>
          <w:rStyle w:val="VerbatimChar"/>
        </w:rPr>
        <w:t>VERIFY COMPLETE FEE ClaimFee</w:t>
      </w:r>
    </w:p>
    <w:p w14:paraId="0B957AB2" w14:textId="77777777" w:rsidR="00AE42C0" w:rsidRDefault="00000000">
      <w:pPr>
        <w:pStyle w:val="FirstParagraph"/>
      </w:pPr>
      <w:r>
        <w:t>Output: “Gap: {EntityType=Micro}” and “Gap: {ClaimCount ≤ 20}”</w:t>
      </w:r>
    </w:p>
    <w:p w14:paraId="0090B3DE" w14:textId="77777777" w:rsidR="00AE42C0" w:rsidRDefault="00000000">
      <w:pPr>
        <w:pStyle w:val="Heading3"/>
      </w:pPr>
      <w:bookmarkStart w:id="41" w:name="monotonicity-verification"/>
      <w:bookmarkEnd w:id="35"/>
      <w:bookmarkEnd w:id="40"/>
      <w:r>
        <w:t>4.3 Monotonicity Verification</w:t>
      </w:r>
    </w:p>
    <w:p w14:paraId="4A50FDC6" w14:textId="77777777" w:rsidR="00AE42C0" w:rsidRDefault="00000000">
      <w:pPr>
        <w:pStyle w:val="FirstParagraph"/>
      </w:pPr>
      <w:r>
        <w:t>Fee schedules should exhibit predictable behavior: increasing claim count should never decrease the fee.</w:t>
      </w:r>
    </w:p>
    <w:p w14:paraId="33B4166F" w14:textId="77777777" w:rsidR="00AE42C0" w:rsidRDefault="00000000">
      <w:pPr>
        <w:pStyle w:val="Heading4"/>
      </w:pPr>
      <w:bookmarkStart w:id="42" w:name="formal-definition"/>
      <w:r>
        <w:t>4.3.1 Formal Definition</w:t>
      </w:r>
    </w:p>
    <w:p w14:paraId="1ECD5FCA" w14:textId="77777777" w:rsidR="00AE42C0" w:rsidRDefault="00000000">
      <w:pPr>
        <w:pStyle w:val="FirstParagraph"/>
      </w:pPr>
      <w:r>
        <w:rPr>
          <w:b/>
          <w:bCs/>
        </w:rPr>
        <w:t>Definition 5 (Monotonicity).</w:t>
      </w:r>
      <w:r>
        <w:t xml:space="preserve"> Let f: Σ → ℝ be a fee function, x ∈ Vars a numeric input, and σ₋ₓ a partial valuation excluding x. Fee f is </w:t>
      </w:r>
      <w:r>
        <w:rPr>
          <w:i/>
          <w:iCs/>
        </w:rPr>
        <w:t>non-decreasing</w:t>
      </w:r>
      <w:r>
        <w:t xml:space="preserve"> with respect to x if:</w:t>
      </w:r>
    </w:p>
    <w:p w14:paraId="47E09C74" w14:textId="77777777" w:rsidR="00AE42C0" w:rsidRPr="00D91184" w:rsidRDefault="00000000">
      <w:pPr>
        <w:pStyle w:val="BodyText"/>
        <w:rPr>
          <w:rFonts w:ascii="Consolas" w:hAnsi="Consolas"/>
        </w:rPr>
      </w:pPr>
      <w:r w:rsidRPr="00D91184">
        <w:rPr>
          <w:rFonts w:ascii="Consolas" w:hAnsi="Consolas"/>
        </w:rPr>
        <w:t xml:space="preserve">  </w:t>
      </w:r>
      <w:r w:rsidRPr="00D91184">
        <w:rPr>
          <w:rFonts w:ascii="Cambria Math" w:hAnsi="Cambria Math" w:cs="Cambria Math"/>
        </w:rPr>
        <w:t>∀</w:t>
      </w:r>
      <w:r w:rsidRPr="00D91184">
        <w:rPr>
          <w:rFonts w:ascii="Consolas" w:hAnsi="Consolas" w:cs="Consolas"/>
        </w:rPr>
        <w:t>σ−</w:t>
      </w:r>
      <w:r w:rsidRPr="00D91184">
        <w:rPr>
          <w:rFonts w:ascii="Consolas" w:hAnsi="Consolas"/>
        </w:rPr>
        <w:t xml:space="preserve">x.  </w:t>
      </w:r>
      <w:r w:rsidRPr="00D91184">
        <w:rPr>
          <w:rFonts w:ascii="Cambria Math" w:hAnsi="Cambria Math" w:cs="Cambria Math"/>
        </w:rPr>
        <w:t>∀</w:t>
      </w:r>
      <w:r w:rsidRPr="00D91184">
        <w:rPr>
          <w:rFonts w:ascii="Consolas" w:hAnsi="Consolas"/>
        </w:rPr>
        <w:t>v1,v2</w:t>
      </w:r>
      <w:r w:rsidRPr="00D91184">
        <w:rPr>
          <w:rFonts w:ascii="Cambria Math" w:hAnsi="Cambria Math" w:cs="Cambria Math"/>
        </w:rPr>
        <w:t>∈</w:t>
      </w:r>
      <w:r w:rsidRPr="00D91184">
        <w:rPr>
          <w:rFonts w:ascii="Consolas" w:hAnsi="Consolas"/>
        </w:rPr>
        <w:t xml:space="preserve">Dom(x).  v1&lt;v2 </w:t>
      </w:r>
      <w:r w:rsidRPr="00D91184">
        <w:rPr>
          <w:rFonts w:ascii="Cambria Math" w:hAnsi="Cambria Math" w:cs="Cambria Math"/>
        </w:rPr>
        <w:t>⟹</w:t>
      </w:r>
      <w:r w:rsidRPr="00D91184">
        <w:rPr>
          <w:rFonts w:ascii="Consolas" w:hAnsi="Consolas"/>
        </w:rPr>
        <w:t xml:space="preserve"> f(σ−x[x</w:t>
      </w:r>
      <w:r w:rsidRPr="00D91184">
        <w:rPr>
          <w:rFonts w:ascii="Cambria Math" w:hAnsi="Cambria Math" w:cs="Cambria Math"/>
        </w:rPr>
        <w:t>↦</w:t>
      </w:r>
      <w:r w:rsidRPr="00D91184">
        <w:rPr>
          <w:rFonts w:ascii="Consolas" w:hAnsi="Consolas"/>
        </w:rPr>
        <w:t xml:space="preserve">v1]) </w:t>
      </w:r>
      <w:r w:rsidRPr="00D91184">
        <w:rPr>
          <w:rFonts w:ascii="Consolas" w:hAnsi="Consolas" w:cs="Consolas"/>
        </w:rPr>
        <w:t>≤</w:t>
      </w:r>
      <w:r w:rsidRPr="00D91184">
        <w:rPr>
          <w:rFonts w:ascii="Consolas" w:hAnsi="Consolas"/>
        </w:rPr>
        <w:t xml:space="preserve"> f(</w:t>
      </w:r>
      <w:r w:rsidRPr="00D91184">
        <w:rPr>
          <w:rFonts w:ascii="Consolas" w:hAnsi="Consolas" w:cs="Consolas"/>
        </w:rPr>
        <w:t>σ−</w:t>
      </w:r>
      <w:r w:rsidRPr="00D91184">
        <w:rPr>
          <w:rFonts w:ascii="Consolas" w:hAnsi="Consolas"/>
        </w:rPr>
        <w:t>x[x</w:t>
      </w:r>
      <w:r w:rsidRPr="00D91184">
        <w:rPr>
          <w:rFonts w:ascii="Cambria Math" w:hAnsi="Cambria Math" w:cs="Cambria Math"/>
        </w:rPr>
        <w:t>↦</w:t>
      </w:r>
      <w:r w:rsidRPr="00D91184">
        <w:rPr>
          <w:rFonts w:ascii="Consolas" w:hAnsi="Consolas"/>
        </w:rPr>
        <w:t xml:space="preserve">v2])  </w:t>
      </w:r>
    </w:p>
    <w:p w14:paraId="0EDEE057" w14:textId="77777777" w:rsidR="00AE42C0" w:rsidRDefault="00000000">
      <w:pPr>
        <w:pStyle w:val="BodyText"/>
      </w:pPr>
      <w:r>
        <w:t xml:space="preserve">Analogously: </w:t>
      </w:r>
      <w:r>
        <w:rPr>
          <w:i/>
          <w:iCs/>
        </w:rPr>
        <w:t>non-increasing</w:t>
      </w:r>
      <w:r>
        <w:t xml:space="preserve"> (≥), </w:t>
      </w:r>
      <w:r>
        <w:rPr>
          <w:i/>
          <w:iCs/>
        </w:rPr>
        <w:t>strictly increasing</w:t>
      </w:r>
      <w:r>
        <w:t xml:space="preserve"> (&gt;), </w:t>
      </w:r>
      <w:r>
        <w:rPr>
          <w:i/>
          <w:iCs/>
        </w:rPr>
        <w:t>strictly decreasing</w:t>
      </w:r>
      <w:r>
        <w:t xml:space="preserve"> (&lt;).</w:t>
      </w:r>
    </w:p>
    <w:p w14:paraId="1751270D" w14:textId="77777777" w:rsidR="00AE42C0" w:rsidRDefault="00000000">
      <w:pPr>
        <w:pStyle w:val="Heading4"/>
      </w:pPr>
      <w:bookmarkStart w:id="43" w:name="verification-algorithm"/>
      <w:bookmarkEnd w:id="42"/>
      <w:r>
        <w:t>4.3.2 Verification Algorithm</w:t>
      </w:r>
    </w:p>
    <w:p w14:paraId="1F53CF1A" w14:textId="77777777" w:rsidR="00AE42C0" w:rsidRPr="00D91184" w:rsidRDefault="00000000">
      <w:pPr>
        <w:pStyle w:val="SourceCode"/>
        <w:rPr>
          <w:sz w:val="22"/>
          <w:szCs w:val="22"/>
        </w:rPr>
      </w:pPr>
      <w:r w:rsidRPr="00D91184">
        <w:rPr>
          <w:rStyle w:val="VerbatimChar"/>
          <w:sz w:val="20"/>
          <w:szCs w:val="22"/>
        </w:rPr>
        <w:t>Algorithm 2: Monotonicity Verification</w:t>
      </w:r>
      <w:r w:rsidRPr="00D91184">
        <w:rPr>
          <w:sz w:val="22"/>
          <w:szCs w:val="22"/>
        </w:rPr>
        <w:br/>
      </w:r>
      <w:r w:rsidRPr="00D91184">
        <w:rPr>
          <w:rStyle w:val="VerbatimChar"/>
          <w:sz w:val="20"/>
          <w:szCs w:val="22"/>
        </w:rPr>
        <w:t>─────────────────────────────────────────────────────────────────────</w:t>
      </w:r>
      <w:r w:rsidRPr="00D91184">
        <w:rPr>
          <w:sz w:val="22"/>
          <w:szCs w:val="22"/>
        </w:rPr>
        <w:br/>
      </w:r>
      <w:r w:rsidRPr="00D91184">
        <w:rPr>
          <w:rStyle w:val="VerbatimChar"/>
          <w:sz w:val="20"/>
          <w:szCs w:val="22"/>
        </w:rPr>
        <w:t>Input:  Fee f, numeric input x with domain Dₓ = [min, max]</w:t>
      </w:r>
      <w:r w:rsidRPr="00D91184">
        <w:rPr>
          <w:sz w:val="22"/>
          <w:szCs w:val="22"/>
        </w:rPr>
        <w:br/>
      </w:r>
      <w:r w:rsidRPr="00D91184">
        <w:rPr>
          <w:rStyle w:val="VerbatimChar"/>
          <w:sz w:val="20"/>
          <w:szCs w:val="22"/>
        </w:rPr>
        <w:t xml:space="preserve">        Other domains D₋ₓ, expected direction d</w:t>
      </w:r>
      <w:r w:rsidRPr="00D91184">
        <w:rPr>
          <w:sz w:val="22"/>
          <w:szCs w:val="22"/>
        </w:rPr>
        <w:br/>
      </w:r>
      <w:r w:rsidRPr="00D91184">
        <w:rPr>
          <w:rStyle w:val="VerbatimChar"/>
          <w:sz w:val="20"/>
          <w:szCs w:val="22"/>
        </w:rPr>
        <w:t>Output: (monotonic: Bool, violations: List⟨Violation⟩)</w:t>
      </w:r>
      <w:r w:rsidRPr="00D91184">
        <w:rPr>
          <w:sz w:val="22"/>
          <w:szCs w:val="22"/>
        </w:rPr>
        <w:br/>
      </w:r>
      <w:r w:rsidRPr="00D91184">
        <w:rPr>
          <w:sz w:val="22"/>
          <w:szCs w:val="22"/>
        </w:rPr>
        <w:br/>
      </w:r>
      <w:r w:rsidRPr="00D91184">
        <w:rPr>
          <w:rStyle w:val="VerbatimChar"/>
          <w:sz w:val="20"/>
          <w:szCs w:val="22"/>
        </w:rPr>
        <w:t xml:space="preserve"> 1: violations ← []</w:t>
      </w:r>
      <w:r w:rsidRPr="00D91184">
        <w:rPr>
          <w:sz w:val="22"/>
          <w:szCs w:val="22"/>
        </w:rPr>
        <w:br/>
      </w:r>
      <w:r w:rsidRPr="00D91184">
        <w:rPr>
          <w:rStyle w:val="VerbatimChar"/>
          <w:sz w:val="20"/>
          <w:szCs w:val="22"/>
        </w:rPr>
        <w:t xml:space="preserve"> 2: for each σ₋ₓ ∈ SampleRepresentative(D₋ₓ) do   // Context sampling</w:t>
      </w:r>
      <w:r w:rsidRPr="00D91184">
        <w:rPr>
          <w:sz w:val="22"/>
          <w:szCs w:val="22"/>
        </w:rPr>
        <w:br/>
      </w:r>
      <w:r w:rsidRPr="00D91184">
        <w:rPr>
          <w:rStyle w:val="VerbatimChar"/>
          <w:sz w:val="20"/>
          <w:szCs w:val="22"/>
        </w:rPr>
        <w:t xml:space="preserve"> 3:     V ← SampleMonotonic(Dₓ, 20)               // 20 ordered values</w:t>
      </w:r>
      <w:r w:rsidRPr="00D91184">
        <w:rPr>
          <w:sz w:val="22"/>
          <w:szCs w:val="22"/>
        </w:rPr>
        <w:br/>
      </w:r>
      <w:r w:rsidRPr="00D91184">
        <w:rPr>
          <w:rStyle w:val="VerbatimChar"/>
          <w:sz w:val="20"/>
          <w:szCs w:val="22"/>
        </w:rPr>
        <w:t xml:space="preserve"> 4:     prev_fee ← ⊥</w:t>
      </w:r>
      <w:r w:rsidRPr="00D91184">
        <w:rPr>
          <w:sz w:val="22"/>
          <w:szCs w:val="22"/>
        </w:rPr>
        <w:br/>
      </w:r>
      <w:r w:rsidRPr="00D91184">
        <w:rPr>
          <w:rStyle w:val="VerbatimChar"/>
          <w:sz w:val="20"/>
          <w:szCs w:val="22"/>
        </w:rPr>
        <w:t xml:space="preserve"> 5:     for each v ∈ sort(V) do</w:t>
      </w:r>
      <w:r w:rsidRPr="00D91184">
        <w:rPr>
          <w:sz w:val="22"/>
          <w:szCs w:val="22"/>
        </w:rPr>
        <w:br/>
      </w:r>
      <w:r w:rsidRPr="00D91184">
        <w:rPr>
          <w:rStyle w:val="VerbatimChar"/>
          <w:sz w:val="20"/>
          <w:szCs w:val="22"/>
        </w:rPr>
        <w:t xml:space="preserve"> 6:         curr_fee ← Evaluate(f, σ₋ₓ[x ↦ v])</w:t>
      </w:r>
      <w:r w:rsidRPr="00D91184">
        <w:rPr>
          <w:sz w:val="22"/>
          <w:szCs w:val="22"/>
        </w:rPr>
        <w:br/>
      </w:r>
      <w:r w:rsidRPr="00D91184">
        <w:rPr>
          <w:rStyle w:val="VerbatimChar"/>
          <w:sz w:val="20"/>
          <w:szCs w:val="22"/>
        </w:rPr>
        <w:t xml:space="preserve"> 7:         if prev_fee ≠ ⊥ then</w:t>
      </w:r>
      <w:r w:rsidRPr="00D91184">
        <w:rPr>
          <w:sz w:val="22"/>
          <w:szCs w:val="22"/>
        </w:rPr>
        <w:br/>
      </w:r>
      <w:r w:rsidRPr="00D91184">
        <w:rPr>
          <w:rStyle w:val="VerbatimChar"/>
          <w:sz w:val="20"/>
          <w:szCs w:val="22"/>
        </w:rPr>
        <w:lastRenderedPageBreak/>
        <w:t xml:space="preserve"> 8:             if Violates(prev_fee, curr_fee, d) then</w:t>
      </w:r>
      <w:r w:rsidRPr="00D91184">
        <w:rPr>
          <w:sz w:val="22"/>
          <w:szCs w:val="22"/>
        </w:rPr>
        <w:br/>
      </w:r>
      <w:r w:rsidRPr="00D91184">
        <w:rPr>
          <w:rStyle w:val="VerbatimChar"/>
          <w:sz w:val="20"/>
          <w:szCs w:val="22"/>
        </w:rPr>
        <w:t xml:space="preserve"> 9:                 violations.append((σ₋ₓ, prev_v, prev_fee, v, curr_fee))</w:t>
      </w:r>
      <w:r w:rsidRPr="00D91184">
        <w:rPr>
          <w:sz w:val="22"/>
          <w:szCs w:val="22"/>
        </w:rPr>
        <w:br/>
      </w:r>
      <w:r w:rsidRPr="00D91184">
        <w:rPr>
          <w:rStyle w:val="VerbatimChar"/>
          <w:sz w:val="20"/>
          <w:szCs w:val="22"/>
        </w:rPr>
        <w:t>10:         prev_fee ← curr_fee; prev_v ← v</w:t>
      </w:r>
      <w:r w:rsidRPr="00D91184">
        <w:rPr>
          <w:sz w:val="22"/>
          <w:szCs w:val="22"/>
        </w:rPr>
        <w:br/>
      </w:r>
      <w:r w:rsidRPr="00D91184">
        <w:rPr>
          <w:rStyle w:val="VerbatimChar"/>
          <w:sz w:val="20"/>
          <w:szCs w:val="22"/>
        </w:rPr>
        <w:t>11: return (violations = [], violations)</w:t>
      </w:r>
    </w:p>
    <w:p w14:paraId="6D3CE6D1" w14:textId="77777777" w:rsidR="00AE42C0" w:rsidRDefault="00000000">
      <w:pPr>
        <w:pStyle w:val="FirstParagraph"/>
      </w:pPr>
      <w:r>
        <w:t>where Violates(p, c, d) returns true if and only if: d = NonDecreasing and c &lt; p; d = NonIncreasing and c &gt; p; d = StrictlyIncreasing and c ≤ p; or d = StrictlyDecreasing and c ≥ p.</w:t>
      </w:r>
    </w:p>
    <w:p w14:paraId="546FDFFA" w14:textId="77777777" w:rsidR="00AE42C0" w:rsidRDefault="00000000">
      <w:pPr>
        <w:pStyle w:val="BodyText"/>
      </w:pPr>
      <w:r>
        <w:rPr>
          <w:b/>
          <w:bCs/>
        </w:rPr>
        <w:t>Remark (Currency Comparison).</w:t>
      </w:r>
      <w:r>
        <w:t xml:space="preserve"> Monotonicity verification compares fee values numerically. When f returns Amt[c], comparison uses the underlying numeric value; currency tags must match (guaranteed by type safety). Recent work on verification-preserving program transformations [26] demonstrates techniques for ensuring that program properties are maintained across transformations, providing theoretical foundations relevant to IPFLang’s verification approach.</w:t>
      </w:r>
    </w:p>
    <w:p w14:paraId="62F063FE" w14:textId="77777777" w:rsidR="00AE42C0" w:rsidRDefault="00000000">
      <w:pPr>
        <w:pStyle w:val="BodyText"/>
      </w:pPr>
      <w:r>
        <w:rPr>
          <w:b/>
          <w:bCs/>
        </w:rPr>
        <w:t>Example:</w:t>
      </w:r>
    </w:p>
    <w:p w14:paraId="3B38EFE0" w14:textId="77777777" w:rsidR="00AE42C0" w:rsidRDefault="00000000">
      <w:pPr>
        <w:pStyle w:val="SourceCode"/>
      </w:pPr>
      <w:r>
        <w:rPr>
          <w:rStyle w:val="VerbatimChar"/>
        </w:rPr>
        <w:t>VERIFY MONOTONIC FEE ExcessClaimsFee WITH RESPECT TO ClaimCount</w:t>
      </w:r>
      <w:r>
        <w:br/>
      </w:r>
      <w:r>
        <w:rPr>
          <w:rStyle w:val="VerbatimChar"/>
        </w:rPr>
        <w:t>VERIFY MONOTONIC FEE DiscountFee WITH RESPECT TO YearsInProgram DIRECTION NonIncreasing</w:t>
      </w:r>
    </w:p>
    <w:p w14:paraId="3582321B" w14:textId="77777777" w:rsidR="00AE42C0" w:rsidRDefault="00000000" w:rsidP="00C44736">
      <w:pPr>
        <w:pStyle w:val="Heading1"/>
      </w:pPr>
      <w:bookmarkStart w:id="44" w:name="provenance-and-auditability"/>
      <w:bookmarkEnd w:id="29"/>
      <w:bookmarkEnd w:id="41"/>
      <w:bookmarkEnd w:id="43"/>
      <w:r>
        <w:t>5. Provenance and Auditability</w:t>
      </w:r>
    </w:p>
    <w:p w14:paraId="5EC9011C" w14:textId="77777777" w:rsidR="00AE42C0" w:rsidRDefault="00000000">
      <w:pPr>
        <w:pStyle w:val="Heading3"/>
      </w:pPr>
      <w:bookmarkStart w:id="45" w:name="execution-tracing"/>
      <w:r>
        <w:t>5.1 Execution Tracing</w:t>
      </w:r>
    </w:p>
    <w:p w14:paraId="603C7E10" w14:textId="77777777" w:rsidR="00AE42C0" w:rsidRDefault="00000000">
      <w:pPr>
        <w:pStyle w:val="FirstParagraph"/>
      </w:pPr>
      <w:r>
        <w:t>Each fee evaluation generates provenance records that comprehensively document the calculation process. These records capture the input parameter values used, all LET variable bindings computed during evaluation, and each CASE and YIELD condition evaluated along with its true/false result. The trace also records the selected YIELD expression with its computed value and the final fee amount including currency designation.</w:t>
      </w:r>
    </w:p>
    <w:p w14:paraId="0BBD256D" w14:textId="77777777" w:rsidR="00AE42C0" w:rsidRDefault="00000000">
      <w:pPr>
        <w:pStyle w:val="BodyText"/>
      </w:pPr>
      <w:r>
        <w:t>This trace enables practitioners to verify calculations against official schedules and assists in dispute resolution.</w:t>
      </w:r>
    </w:p>
    <w:p w14:paraId="39A2A9A3" w14:textId="77777777" w:rsidR="00AE42C0" w:rsidRDefault="00000000">
      <w:pPr>
        <w:pStyle w:val="Heading3"/>
      </w:pPr>
      <w:bookmarkStart w:id="46" w:name="counterfactual-analysis"/>
      <w:bookmarkEnd w:id="45"/>
      <w:r>
        <w:t>5.2 Counterfactual Analysis</w:t>
      </w:r>
    </w:p>
    <w:p w14:paraId="3052A5E9" w14:textId="4B1A85F3" w:rsidR="00AE42C0" w:rsidRDefault="00000000">
      <w:pPr>
        <w:pStyle w:val="FirstParagraph"/>
      </w:pPr>
      <w:r>
        <w:t xml:space="preserve">The counterfactual engine answers </w:t>
      </w:r>
      <w:r w:rsidRPr="00B44D06">
        <w:rPr>
          <w:i/>
          <w:iCs/>
        </w:rPr>
        <w:t>what-if</w:t>
      </w:r>
      <w:r>
        <w:t xml:space="preserve"> questions: how would the total fee change if a specific input were different? For each input, the system computes alternative scenarios:</w:t>
      </w:r>
    </w:p>
    <w:p w14:paraId="6DB3B15C" w14:textId="77777777" w:rsidR="00AE42C0" w:rsidRDefault="00000000">
      <w:pPr>
        <w:pStyle w:val="SourceCode"/>
      </w:pPr>
      <w:r>
        <w:rPr>
          <w:rStyle w:val="VerbatimChar"/>
        </w:rPr>
        <w:t>$ ipflang run filing.ipf --inputs params.json --counterfactuals</w:t>
      </w:r>
      <w:r>
        <w:br/>
      </w:r>
      <w:r>
        <w:br/>
      </w:r>
      <w:r>
        <w:rPr>
          <w:rStyle w:val="VerbatimChar"/>
        </w:rPr>
        <w:t>Counterfactual Analysis:</w:t>
      </w:r>
      <w:r>
        <w:br/>
      </w:r>
      <w:r>
        <w:rPr>
          <w:rStyle w:val="VerbatimChar"/>
        </w:rPr>
        <w:t xml:space="preserve">  If EntityType were SmallEntity instead of LargeEntity:</w:t>
      </w:r>
      <w:r>
        <w:br/>
      </w:r>
      <w:r>
        <w:rPr>
          <w:rStyle w:val="VerbatimChar"/>
        </w:rPr>
        <w:t xml:space="preserve">    FilingFee: 1820 -&gt; 910 (difference: -910)</w:t>
      </w:r>
      <w:r>
        <w:br/>
      </w:r>
      <w:r>
        <w:rPr>
          <w:rStyle w:val="VerbatimChar"/>
        </w:rPr>
        <w:t xml:space="preserve">    Total: 2540 -&gt; 1630 (difference: -910)</w:t>
      </w:r>
    </w:p>
    <w:p w14:paraId="21A80ED5" w14:textId="77777777" w:rsidR="00AE42C0" w:rsidRDefault="00000000">
      <w:pPr>
        <w:pStyle w:val="FirstParagraph"/>
      </w:pPr>
      <w:r>
        <w:t>This capability supports budget planning, client advisory, and regulatory impact assessment.</w:t>
      </w:r>
    </w:p>
    <w:p w14:paraId="6E6BD6F7" w14:textId="000C3748" w:rsidR="00B44D06" w:rsidRDefault="00B44D06" w:rsidP="00B44D06">
      <w:pPr>
        <w:pStyle w:val="BodyText"/>
        <w:jc w:val="center"/>
      </w:pPr>
      <w:r>
        <w:rPr>
          <w:noProof/>
        </w:rPr>
        <w:lastRenderedPageBreak/>
        <w:drawing>
          <wp:inline distT="0" distB="0" distL="0" distR="0" wp14:anchorId="3E09140C" wp14:editId="53919F75">
            <wp:extent cx="2958353" cy="4366967"/>
            <wp:effectExtent l="0" t="0" r="0" b="0"/>
            <wp:docPr id="233176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3822" cy="4389801"/>
                    </a:xfrm>
                    <a:prstGeom prst="rect">
                      <a:avLst/>
                    </a:prstGeom>
                    <a:noFill/>
                    <a:ln>
                      <a:noFill/>
                    </a:ln>
                  </pic:spPr>
                </pic:pic>
              </a:graphicData>
            </a:graphic>
          </wp:inline>
        </w:drawing>
      </w:r>
    </w:p>
    <w:p w14:paraId="02F6F943" w14:textId="522B98D8" w:rsidR="00B44D06" w:rsidRDefault="00B44D06" w:rsidP="00B44D06">
      <w:pPr>
        <w:pStyle w:val="Caption"/>
      </w:pPr>
      <w:r>
        <w:t xml:space="preserve">Figure </w:t>
      </w:r>
      <w:fldSimple w:instr=" SEQ Figure \* ARABIC ">
        <w:r>
          <w:rPr>
            <w:noProof/>
          </w:rPr>
          <w:t>3</w:t>
        </w:r>
      </w:fldSimple>
      <w:r>
        <w:t xml:space="preserve"> – Provenance and counterfactual analysis structure</w:t>
      </w:r>
    </w:p>
    <w:p w14:paraId="104A4BBE" w14:textId="77777777" w:rsidR="00AE42C0" w:rsidRDefault="00000000" w:rsidP="00C44736">
      <w:pPr>
        <w:pStyle w:val="Heading1"/>
      </w:pPr>
      <w:bookmarkStart w:id="47" w:name="reference-implementation"/>
      <w:bookmarkEnd w:id="44"/>
      <w:bookmarkEnd w:id="46"/>
      <w:r>
        <w:t>6. Reference Implementation</w:t>
      </w:r>
    </w:p>
    <w:p w14:paraId="0D488188" w14:textId="77777777" w:rsidR="00AE42C0" w:rsidRDefault="00000000">
      <w:pPr>
        <w:pStyle w:val="Heading3"/>
      </w:pPr>
      <w:bookmarkStart w:id="48" w:name="architecture-overview"/>
      <w:r>
        <w:t>6.1 Architecture Overview</w:t>
      </w:r>
    </w:p>
    <w:p w14:paraId="146C103B" w14:textId="77777777" w:rsidR="00AE42C0" w:rsidRDefault="00000000">
      <w:pPr>
        <w:pStyle w:val="BodyText"/>
      </w:pPr>
      <w:r>
        <w:t xml:space="preserve">The </w:t>
      </w:r>
      <w:proofErr w:type="spellStart"/>
      <w:r>
        <w:t>IPFLang</w:t>
      </w:r>
      <w:proofErr w:type="spellEnd"/>
      <w:r>
        <w:t xml:space="preserve"> reference implementation comprises approximately 15,000 lines of C# targeting .NET 10.0, organized into modular subsystems:</w:t>
      </w:r>
    </w:p>
    <w:p w14:paraId="10B770B7" w14:textId="77777777" w:rsidR="00AE42C0" w:rsidRDefault="00000000">
      <w:pPr>
        <w:pStyle w:val="BodyText"/>
      </w:pPr>
      <w:r>
        <w:rPr>
          <w:b/>
          <w:bCs/>
        </w:rPr>
        <w:t>Parser Module:</w:t>
      </w:r>
      <w:r>
        <w:t xml:space="preserve"> Lexical analysis, recursive descent parsing [17], and AST construction with comprehensive error reporting including line numbers and expected tokens.</w:t>
      </w:r>
    </w:p>
    <w:p w14:paraId="686BE8AE" w14:textId="77777777" w:rsidR="00AE42C0" w:rsidRDefault="00000000">
      <w:pPr>
        <w:pStyle w:val="BodyText"/>
      </w:pPr>
      <w:r>
        <w:rPr>
          <w:b/>
          <w:bCs/>
        </w:rPr>
        <w:t>Semantic Checker:</w:t>
      </w:r>
      <w:r>
        <w:t xml:space="preserve"> Type validation ensuring identifier resolution, type compatibility, constraint validation, and circular dependency detection in LET statements.</w:t>
      </w:r>
    </w:p>
    <w:p w14:paraId="0ECA5100" w14:textId="77777777" w:rsidR="00AE42C0" w:rsidRDefault="00000000">
      <w:pPr>
        <w:pStyle w:val="BodyText"/>
      </w:pPr>
      <w:r>
        <w:rPr>
          <w:b/>
          <w:bCs/>
        </w:rPr>
        <w:t>Type System:</w:t>
      </w:r>
      <w:r>
        <w:t xml:space="preserve"> Currency-aware type checking with 161 ISO 4217 currencies, polymorphic type support, and detailed type error reporting.</w:t>
      </w:r>
    </w:p>
    <w:p w14:paraId="02923529" w14:textId="77777777" w:rsidR="00AE42C0" w:rsidRDefault="00000000">
      <w:pPr>
        <w:pStyle w:val="BodyText"/>
      </w:pPr>
      <w:r>
        <w:rPr>
          <w:b/>
          <w:bCs/>
        </w:rPr>
        <w:t>Evaluator:</w:t>
      </w:r>
      <w:r>
        <w:t xml:space="preserve"> Depth-first AST traversal with environment binding for expression evaluation.</w:t>
      </w:r>
    </w:p>
    <w:p w14:paraId="3E0E164C" w14:textId="77777777" w:rsidR="00AE42C0" w:rsidRDefault="00000000">
      <w:pPr>
        <w:pStyle w:val="BodyText"/>
      </w:pPr>
      <w:r>
        <w:rPr>
          <w:b/>
          <w:bCs/>
        </w:rPr>
        <w:t>Analysis Module:</w:t>
      </w:r>
      <w:r>
        <w:t xml:space="preserve"> Completeness checker with exhaustive and sampling modes, monotonicity checker with four direction types, domain analyzer, and condition extractor.</w:t>
      </w:r>
    </w:p>
    <w:p w14:paraId="3D7A487D" w14:textId="77777777" w:rsidR="00AE42C0" w:rsidRDefault="00000000">
      <w:pPr>
        <w:pStyle w:val="BodyText"/>
      </w:pPr>
      <w:r>
        <w:rPr>
          <w:b/>
          <w:bCs/>
        </w:rPr>
        <w:lastRenderedPageBreak/>
        <w:t>Provenance Module:</w:t>
      </w:r>
      <w:r>
        <w:t xml:space="preserve"> Audit trail recording, counterfactual engine for what-if analysis, and provenance export formatting.</w:t>
      </w:r>
    </w:p>
    <w:p w14:paraId="173BBCF4" w14:textId="77777777" w:rsidR="00AE42C0" w:rsidRDefault="00000000">
      <w:pPr>
        <w:pStyle w:val="BodyText"/>
      </w:pPr>
      <w:r>
        <w:rPr>
          <w:b/>
          <w:bCs/>
        </w:rPr>
        <w:t>Versioning Module:</w:t>
      </w:r>
      <w:r>
        <w:t xml:space="preserve"> Version metadata management, diff engine for version comparison, impact analyzer, and temporal query support.</w:t>
      </w:r>
    </w:p>
    <w:p w14:paraId="69CC9270" w14:textId="77777777" w:rsidR="00AE42C0" w:rsidRDefault="00000000">
      <w:pPr>
        <w:pStyle w:val="BodyText"/>
      </w:pPr>
      <w:r>
        <w:rPr>
          <w:b/>
          <w:bCs/>
        </w:rPr>
        <w:t>Composition Module:</w:t>
      </w:r>
      <w:r>
        <w:t xml:space="preserve"> Jurisdiction inheritance with input/fee merging, override detection, and inheritance analysis reporting.</w:t>
      </w:r>
    </w:p>
    <w:p w14:paraId="2B34E546" w14:textId="0EB7DC0C" w:rsidR="000B3E3A" w:rsidRDefault="000B3E3A" w:rsidP="00D91184">
      <w:pPr>
        <w:pStyle w:val="BodyText"/>
        <w:jc w:val="center"/>
      </w:pPr>
      <w:r>
        <w:rPr>
          <w:noProof/>
        </w:rPr>
        <w:drawing>
          <wp:inline distT="0" distB="0" distL="0" distR="0" wp14:anchorId="2C67523B" wp14:editId="2311DD68">
            <wp:extent cx="4930588" cy="4347948"/>
            <wp:effectExtent l="0" t="0" r="0" b="0"/>
            <wp:docPr id="150258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44051" cy="4359820"/>
                    </a:xfrm>
                    <a:prstGeom prst="rect">
                      <a:avLst/>
                    </a:prstGeom>
                    <a:noFill/>
                    <a:ln>
                      <a:noFill/>
                    </a:ln>
                  </pic:spPr>
                </pic:pic>
              </a:graphicData>
            </a:graphic>
          </wp:inline>
        </w:drawing>
      </w:r>
    </w:p>
    <w:p w14:paraId="1CE77C77" w14:textId="18377861" w:rsidR="000B3E3A" w:rsidRDefault="000B3E3A" w:rsidP="000B3E3A">
      <w:pPr>
        <w:pStyle w:val="Caption"/>
      </w:pPr>
      <w:r>
        <w:t xml:space="preserve">Figure </w:t>
      </w:r>
      <w:fldSimple w:instr=" SEQ Figure \* ARABIC ">
        <w:r>
          <w:rPr>
            <w:noProof/>
          </w:rPr>
          <w:t>4</w:t>
        </w:r>
      </w:fldSimple>
      <w:r>
        <w:t xml:space="preserve"> – </w:t>
      </w:r>
      <w:proofErr w:type="spellStart"/>
      <w:r>
        <w:t>IPFLang</w:t>
      </w:r>
      <w:proofErr w:type="spellEnd"/>
      <w:r>
        <w:t xml:space="preserve"> engine architecture</w:t>
      </w:r>
    </w:p>
    <w:p w14:paraId="681ABC8F" w14:textId="77777777" w:rsidR="00AE42C0" w:rsidRDefault="00000000">
      <w:pPr>
        <w:pStyle w:val="Heading3"/>
      </w:pPr>
      <w:bookmarkStart w:id="49" w:name="command-line-interface"/>
      <w:bookmarkEnd w:id="48"/>
      <w:r>
        <w:t>6.2 Command-Line Interface</w:t>
      </w:r>
    </w:p>
    <w:p w14:paraId="64C0AD0A" w14:textId="77777777" w:rsidR="00AE42C0" w:rsidRDefault="00000000">
      <w:pPr>
        <w:pStyle w:val="FirstParagraph"/>
      </w:pPr>
      <w:r>
        <w:t>The CLI provides five commands:</w:t>
      </w:r>
    </w:p>
    <w:p w14:paraId="4EBB3279" w14:textId="77777777" w:rsidR="00AE42C0" w:rsidRDefault="00000000">
      <w:pPr>
        <w:pStyle w:val="BodyText"/>
      </w:pPr>
      <w:r>
        <w:rPr>
          <w:b/>
          <w:bCs/>
        </w:rPr>
        <w:t>parse</w:t>
      </w:r>
      <w:r>
        <w:t xml:space="preserve"> - Validate syntax and types:</w:t>
      </w:r>
    </w:p>
    <w:p w14:paraId="7E8C1DA0" w14:textId="77777777" w:rsidR="00AE42C0" w:rsidRDefault="00000000">
      <w:pPr>
        <w:pStyle w:val="SourceCode"/>
      </w:pPr>
      <w:r>
        <w:rPr>
          <w:rStyle w:val="ExtensionTok"/>
        </w:rPr>
        <w:t>ipflang</w:t>
      </w:r>
      <w:r>
        <w:rPr>
          <w:rStyle w:val="NormalTok"/>
        </w:rPr>
        <w:t xml:space="preserve"> parse filing.ipf</w:t>
      </w:r>
    </w:p>
    <w:p w14:paraId="605982E0" w14:textId="77777777" w:rsidR="00AE42C0" w:rsidRDefault="00000000">
      <w:pPr>
        <w:pStyle w:val="FirstParagraph"/>
      </w:pPr>
      <w:r>
        <w:rPr>
          <w:b/>
          <w:bCs/>
        </w:rPr>
        <w:t>run</w:t>
      </w:r>
      <w:r>
        <w:t xml:space="preserve"> - Execute fee calculation:</w:t>
      </w:r>
    </w:p>
    <w:p w14:paraId="64FEC009" w14:textId="77777777" w:rsidR="00AE42C0" w:rsidRDefault="00000000">
      <w:pPr>
        <w:pStyle w:val="SourceCode"/>
      </w:pPr>
      <w:r>
        <w:rPr>
          <w:rStyle w:val="ExtensionTok"/>
        </w:rPr>
        <w:t>ipflang</w:t>
      </w:r>
      <w:r>
        <w:rPr>
          <w:rStyle w:val="NormalTok"/>
        </w:rPr>
        <w:t xml:space="preserve"> run filing.ipf </w:t>
      </w:r>
      <w:r>
        <w:rPr>
          <w:rStyle w:val="AttributeTok"/>
        </w:rPr>
        <w:t>--inputs</w:t>
      </w:r>
      <w:r>
        <w:rPr>
          <w:rStyle w:val="NormalTok"/>
        </w:rPr>
        <w:t xml:space="preserve"> params.json </w:t>
      </w:r>
      <w:r>
        <w:rPr>
          <w:rStyle w:val="PreprocessorTok"/>
        </w:rPr>
        <w:t>[--</w:t>
      </w:r>
      <w:r>
        <w:rPr>
          <w:rStyle w:val="SpecialStringTok"/>
        </w:rPr>
        <w:t>provenance</w:t>
      </w:r>
      <w:r>
        <w:rPr>
          <w:rStyle w:val="PreprocessorTok"/>
        </w:rPr>
        <w:t>]</w:t>
      </w:r>
      <w:r>
        <w:rPr>
          <w:rStyle w:val="NormalTok"/>
        </w:rPr>
        <w:t xml:space="preserve"> </w:t>
      </w:r>
      <w:r>
        <w:rPr>
          <w:rStyle w:val="PreprocessorTok"/>
        </w:rPr>
        <w:t>[--</w:t>
      </w:r>
      <w:r>
        <w:rPr>
          <w:rStyle w:val="SpecialStringTok"/>
        </w:rPr>
        <w:t>counterfactuals</w:t>
      </w:r>
      <w:r>
        <w:rPr>
          <w:rStyle w:val="PreprocessorTok"/>
        </w:rPr>
        <w:t>]</w:t>
      </w:r>
    </w:p>
    <w:p w14:paraId="1C1A125B" w14:textId="77777777" w:rsidR="00AE42C0" w:rsidRDefault="00000000">
      <w:pPr>
        <w:pStyle w:val="FirstParagraph"/>
      </w:pPr>
      <w:r>
        <w:rPr>
          <w:b/>
          <w:bCs/>
        </w:rPr>
        <w:t>verify</w:t>
      </w:r>
      <w:r>
        <w:t xml:space="preserve"> - Run verification directives:</w:t>
      </w:r>
    </w:p>
    <w:p w14:paraId="2F3EF4EB" w14:textId="77777777" w:rsidR="00AE42C0" w:rsidRDefault="00000000">
      <w:pPr>
        <w:pStyle w:val="SourceCode"/>
      </w:pPr>
      <w:r>
        <w:rPr>
          <w:rStyle w:val="ExtensionTok"/>
        </w:rPr>
        <w:t>ipflang</w:t>
      </w:r>
      <w:r>
        <w:rPr>
          <w:rStyle w:val="NormalTok"/>
        </w:rPr>
        <w:t xml:space="preserve"> verify filing.ipf</w:t>
      </w:r>
    </w:p>
    <w:p w14:paraId="1D469644" w14:textId="77777777" w:rsidR="00AE42C0" w:rsidRDefault="00000000">
      <w:pPr>
        <w:pStyle w:val="FirstParagraph"/>
      </w:pPr>
      <w:r>
        <w:rPr>
          <w:b/>
          <w:bCs/>
        </w:rPr>
        <w:lastRenderedPageBreak/>
        <w:t>info</w:t>
      </w:r>
      <w:r>
        <w:t xml:space="preserve"> - Display script metadata:</w:t>
      </w:r>
    </w:p>
    <w:p w14:paraId="37FF7FB4" w14:textId="77777777" w:rsidR="00AE42C0" w:rsidRDefault="00000000">
      <w:pPr>
        <w:pStyle w:val="SourceCode"/>
      </w:pPr>
      <w:r>
        <w:rPr>
          <w:rStyle w:val="ExtensionTok"/>
        </w:rPr>
        <w:t>ipflang</w:t>
      </w:r>
      <w:r>
        <w:rPr>
          <w:rStyle w:val="NormalTok"/>
        </w:rPr>
        <w:t xml:space="preserve"> info filing.ipf</w:t>
      </w:r>
    </w:p>
    <w:p w14:paraId="5FD2DD6D" w14:textId="77777777" w:rsidR="00AE42C0" w:rsidRDefault="00000000">
      <w:pPr>
        <w:pStyle w:val="FirstParagraph"/>
      </w:pPr>
      <w:r>
        <w:rPr>
          <w:b/>
          <w:bCs/>
        </w:rPr>
        <w:t>compose</w:t>
      </w:r>
      <w:r>
        <w:t xml:space="preserve"> - Combine jurisdictions:</w:t>
      </w:r>
    </w:p>
    <w:p w14:paraId="378591EA" w14:textId="77777777" w:rsidR="00AE42C0" w:rsidRDefault="00000000">
      <w:pPr>
        <w:pStyle w:val="SourceCode"/>
      </w:pPr>
      <w:r>
        <w:rPr>
          <w:rStyle w:val="ExtensionTok"/>
        </w:rPr>
        <w:t>ipflang</w:t>
      </w:r>
      <w:r>
        <w:rPr>
          <w:rStyle w:val="NormalTok"/>
        </w:rPr>
        <w:t xml:space="preserve"> compose base.ipf national.ipf </w:t>
      </w:r>
      <w:r>
        <w:rPr>
          <w:rStyle w:val="PreprocessorTok"/>
        </w:rPr>
        <w:t>[--</w:t>
      </w:r>
      <w:r>
        <w:rPr>
          <w:rStyle w:val="SpecialStringTok"/>
        </w:rPr>
        <w:t>analysis</w:t>
      </w:r>
      <w:r>
        <w:rPr>
          <w:rStyle w:val="PreprocessorTok"/>
        </w:rPr>
        <w:t>]</w:t>
      </w:r>
    </w:p>
    <w:p w14:paraId="1A3B8664" w14:textId="77777777" w:rsidR="00AE42C0" w:rsidRDefault="00000000">
      <w:pPr>
        <w:pStyle w:val="Heading3"/>
      </w:pPr>
      <w:bookmarkStart w:id="50" w:name="inputoutput-formats"/>
      <w:bookmarkEnd w:id="49"/>
      <w:r>
        <w:t>6.3 Input/Output Formats</w:t>
      </w:r>
    </w:p>
    <w:p w14:paraId="789F6FA2" w14:textId="77777777" w:rsidR="00AE42C0" w:rsidRDefault="00000000">
      <w:pPr>
        <w:pStyle w:val="FirstParagraph"/>
      </w:pPr>
      <w:r>
        <w:rPr>
          <w:b/>
          <w:bCs/>
        </w:rPr>
        <w:t>Input (JSON):</w:t>
      </w:r>
    </w:p>
    <w:p w14:paraId="178A9ABB" w14:textId="77777777" w:rsidR="00AE42C0" w:rsidRDefault="00000000">
      <w:pPr>
        <w:pStyle w:val="SourceCode"/>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"SmallEntity"</w:t>
      </w:r>
      <w:r>
        <w:rPr>
          <w:rStyle w:val="FunctionTok"/>
        </w:rPr>
        <w:t>,</w:t>
      </w:r>
      <w:r>
        <w:br/>
      </w:r>
      <w:r>
        <w:rPr>
          <w:rStyle w:val="NormalTok"/>
        </w:rPr>
        <w:t xml:space="preserve">  </w:t>
      </w:r>
      <w:r>
        <w:rPr>
          <w:rStyle w:val="DataTypeTok"/>
        </w:rPr>
        <w:t>"ClaimCount"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"RequestsExamination"</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"FilingDate"</w:t>
      </w:r>
      <w:r>
        <w:rPr>
          <w:rStyle w:val="FunctionTok"/>
        </w:rPr>
        <w:t>:</w:t>
      </w:r>
      <w:r>
        <w:rPr>
          <w:rStyle w:val="NormalTok"/>
        </w:rPr>
        <w:t xml:space="preserve"> </w:t>
      </w:r>
      <w:r>
        <w:rPr>
          <w:rStyle w:val="StringTok"/>
        </w:rPr>
        <w:t>"2024-01-15"</w:t>
      </w:r>
      <w:r>
        <w:br/>
      </w:r>
      <w:r>
        <w:rPr>
          <w:rStyle w:val="FunctionTok"/>
        </w:rPr>
        <w:t>}</w:t>
      </w:r>
    </w:p>
    <w:p w14:paraId="3B5EBB98" w14:textId="77777777" w:rsidR="00AE42C0" w:rsidRDefault="00000000">
      <w:pPr>
        <w:pStyle w:val="FirstParagraph"/>
      </w:pPr>
      <w:r>
        <w:rPr>
          <w:b/>
          <w:bCs/>
        </w:rPr>
        <w:t>Output:</w:t>
      </w:r>
    </w:p>
    <w:p w14:paraId="3C4F90E2" w14:textId="77777777" w:rsidR="00AE42C0" w:rsidRDefault="00000000">
      <w:pPr>
        <w:pStyle w:val="SourceCode"/>
      </w:pPr>
      <w:r>
        <w:rPr>
          <w:rStyle w:val="VerbatimChar"/>
        </w:rPr>
        <w:t>Fee Calculation Results</w:t>
      </w:r>
      <w:r>
        <w:br/>
      </w:r>
      <w:r>
        <w:rPr>
          <w:rStyle w:val="VerbatimChar"/>
        </w:rPr>
        <w:t>=======================</w:t>
      </w:r>
      <w:r>
        <w:br/>
      </w:r>
      <w:r>
        <w:rPr>
          <w:rStyle w:val="VerbatimChar"/>
        </w:rPr>
        <w:t>Filing Fee:        EUR 135.00</w:t>
      </w:r>
      <w:r>
        <w:br/>
      </w:r>
      <w:r>
        <w:rPr>
          <w:rStyle w:val="VerbatimChar"/>
        </w:rPr>
        <w:t>Designation Fee:   EUR 660.00</w:t>
      </w:r>
      <w:r>
        <w:br/>
      </w:r>
      <w:r>
        <w:rPr>
          <w:rStyle w:val="VerbatimChar"/>
        </w:rPr>
        <w:t>Excess Claims Fee: EUR 2,650.00</w:t>
      </w:r>
      <w:r>
        <w:br/>
      </w:r>
      <w:r>
        <w:rPr>
          <w:rStyle w:val="VerbatimChar"/>
        </w:rPr>
        <w:t>Search Fee:        EUR 1,460.00</w:t>
      </w:r>
      <w:r>
        <w:br/>
      </w:r>
      <w:r>
        <w:rPr>
          <w:rStyle w:val="VerbatimChar"/>
        </w:rPr>
        <w:t>----------------------------</w:t>
      </w:r>
      <w:r>
        <w:br/>
      </w:r>
      <w:r>
        <w:rPr>
          <w:rStyle w:val="VerbatimChar"/>
        </w:rPr>
        <w:t>Total:             EUR 4,905.00</w:t>
      </w:r>
    </w:p>
    <w:p w14:paraId="5375FFB3" w14:textId="77777777" w:rsidR="00AE42C0" w:rsidRDefault="00000000">
      <w:pPr>
        <w:pStyle w:val="Heading3"/>
      </w:pPr>
      <w:bookmarkStart w:id="51" w:name="source-code-availability"/>
      <w:bookmarkEnd w:id="50"/>
      <w:r>
        <w:t>6.4 Source Code Availability</w:t>
      </w:r>
    </w:p>
    <w:p w14:paraId="70DF4872" w14:textId="77777777" w:rsidR="00AE42C0" w:rsidRDefault="00000000">
      <w:pPr>
        <w:pStyle w:val="FirstParagraph"/>
      </w:pPr>
      <w:r>
        <w:t xml:space="preserve">The complete source code is available at https://github.com/vbocan/IPFLang under the GNU General Public License v3.0 (GPLv3). The repository includes the complete DSL engine source (approximately 10,000 lines of C#), a comprehensive test suite (approximately 5,500 lines comprising 260 test methods across 18 test categories), 20 IPFLang example files in the </w:t>
      </w:r>
      <w:r>
        <w:rPr>
          <w:rStyle w:val="VerbatimChar"/>
        </w:rPr>
        <w:t>examples/</w:t>
      </w:r>
      <w:r>
        <w:t xml:space="preserve"> directory (approximately 1,700 lines of DSL code) demonstrating language features, 118 production jurisdiction files plus 4 regional base files in the </w:t>
      </w:r>
      <w:r>
        <w:rPr>
          <w:rStyle w:val="VerbatimChar"/>
        </w:rPr>
        <w:t>jurisdictions/</w:t>
      </w:r>
      <w:r>
        <w:t xml:space="preserve"> directory covering PCT national/regional phase entry fees (approximately 21,800 lines of DSL code), and documentation with syntax reference.</w:t>
      </w:r>
    </w:p>
    <w:p w14:paraId="1A883515" w14:textId="77777777" w:rsidR="00AE42C0" w:rsidRDefault="00000000" w:rsidP="00C44736">
      <w:pPr>
        <w:pStyle w:val="Heading1"/>
      </w:pPr>
      <w:bookmarkStart w:id="52" w:name="evaluation"/>
      <w:bookmarkEnd w:id="47"/>
      <w:bookmarkEnd w:id="51"/>
      <w:r>
        <w:lastRenderedPageBreak/>
        <w:t>7. Evaluation</w:t>
      </w:r>
    </w:p>
    <w:p w14:paraId="766916BB" w14:textId="77777777" w:rsidR="00AE42C0" w:rsidRDefault="00000000">
      <w:pPr>
        <w:pStyle w:val="Heading3"/>
      </w:pPr>
      <w:bookmarkStart w:id="53" w:name="representative-examples"/>
      <w:r>
        <w:t>7.1 Representative Examples</w:t>
      </w:r>
    </w:p>
    <w:p w14:paraId="0E9DC36C" w14:textId="2383A4BF" w:rsidR="005901F0" w:rsidRDefault="005901F0" w:rsidP="005901F0">
      <w:pPr>
        <w:pStyle w:val="Caption"/>
        <w:rPr>
          <w:i w:val="0"/>
          <w:iCs/>
        </w:rPr>
      </w:pPr>
      <w:r>
        <w:rPr>
          <w:noProof/>
        </w:rPr>
        <w:drawing>
          <wp:inline distT="0" distB="0" distL="0" distR="0" wp14:anchorId="0C54097C" wp14:editId="4BB75184">
            <wp:extent cx="5486400" cy="1618129"/>
            <wp:effectExtent l="0" t="0" r="0" b="1270"/>
            <wp:docPr id="210666353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D8576AB" w14:textId="44265483" w:rsidR="005901F0" w:rsidRPr="005901F0" w:rsidRDefault="005901F0" w:rsidP="005901F0">
      <w:pPr>
        <w:pStyle w:val="Caption"/>
        <w:rPr>
          <w:i w:val="0"/>
          <w:iCs/>
        </w:rPr>
      </w:pPr>
      <w:r>
        <w:rPr>
          <w:noProof/>
        </w:rPr>
        <w:drawing>
          <wp:inline distT="0" distB="0" distL="0" distR="0" wp14:anchorId="0D850FFE" wp14:editId="11B05F4A">
            <wp:extent cx="5486400" cy="990600"/>
            <wp:effectExtent l="0" t="0" r="0" b="0"/>
            <wp:docPr id="8695229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350F9DC" w14:textId="44871E2F" w:rsidR="005901F0" w:rsidRDefault="005901F0" w:rsidP="005901F0">
      <w:pPr>
        <w:pStyle w:val="Caption"/>
      </w:pPr>
      <w:r>
        <w:t xml:space="preserve">Figure </w:t>
      </w:r>
      <w:fldSimple w:instr=" SEQ Figure \* ARABIC ">
        <w:r>
          <w:rPr>
            <w:noProof/>
          </w:rPr>
          <w:t>5</w:t>
        </w:r>
      </w:fldSimple>
      <w:r>
        <w:t xml:space="preserve"> – PCT National/Regional Phase Jurisdiction Coverage</w:t>
      </w:r>
    </w:p>
    <w:p w14:paraId="05645E12" w14:textId="77777777" w:rsidR="00AE42C0" w:rsidRDefault="00000000">
      <w:pPr>
        <w:pStyle w:val="BodyText"/>
      </w:pPr>
      <w:r>
        <w:t xml:space="preserve">The implementation includes 20 IPFLang example files in the </w:t>
      </w:r>
      <w:r>
        <w:rPr>
          <w:rStyle w:val="VerbatimChar"/>
        </w:rPr>
        <w:t>examples/</w:t>
      </w:r>
      <w:r>
        <w:t xml:space="preserve"> directory demonstrating language expressiveness across diverse fee structure patterns, plus </w:t>
      </w:r>
      <w:r w:rsidRPr="005901F0">
        <w:t>118 production-ready jurisdiction files</w:t>
      </w:r>
      <w:r>
        <w:t xml:space="preserve"> in the </w:t>
      </w:r>
      <w:r>
        <w:rPr>
          <w:rStyle w:val="VerbatimChar"/>
        </w:rPr>
        <w:t>jurisdictions/</w:t>
      </w:r>
      <w:r>
        <w:t xml:space="preserve"> directory covering PCT national/regional phase entry fees for all major patent offices worldwide.</w:t>
      </w:r>
    </w:p>
    <w:p w14:paraId="76799CDF" w14:textId="77777777" w:rsidR="00AE42C0" w:rsidRDefault="00000000">
      <w:pPr>
        <w:pStyle w:val="BodyText"/>
      </w:pPr>
      <w:r>
        <w:t>Real-world fee schedules are represented by EPO filing fees with multi-tiered claim pricing and ISA-dependent search fees, as well as a USPTO complete fee calculator with entity-based discounts and excess claim calculations.</w:t>
      </w:r>
    </w:p>
    <w:p w14:paraId="32840A07" w14:textId="77777777" w:rsidR="00AE42C0" w:rsidRDefault="00000000">
      <w:pPr>
        <w:pStyle w:val="BodyText"/>
      </w:pPr>
      <w:r>
        <w:t>Feature demonstrations include currency type safety with mixed-currency error detection, entity-based discount patterns (50% and 75% reductions), temporal operations for date-dependent fees, nested CASE blocks for complex conditional logic, MULTILIST with !COUNT for designation fees, optional fees and versioning, and jurisdiction composition (EPO base combined with DE/FR/RO national phases).</w:t>
      </w:r>
    </w:p>
    <w:p w14:paraId="0E81817E" w14:textId="77777777" w:rsidR="00AE42C0" w:rsidRDefault="00000000">
      <w:pPr>
        <w:pStyle w:val="BodyText"/>
      </w:pPr>
      <w:r>
        <w:t>Error detection examples cover mixed currency arithmetic (EUR + USD), incomplete fee coverage, non-monotonic fee behavior, invalid currency codes, and undefined variable references.</w:t>
      </w:r>
    </w:p>
    <w:p w14:paraId="1951752D" w14:textId="7B5BE228" w:rsidR="00AE42C0" w:rsidRDefault="005901F0">
      <w:pPr>
        <w:pStyle w:val="BodyText"/>
      </w:pPr>
      <w:r>
        <w:t>Production jurisdictions (validated by a domain expert against official PCT fee schedules) are organized hierarchically: 4 regional base files (EP, EA, AP, OA) defining common fee structures for European Patent, Eurasian Patent, ARIPO, and OAPI member states, and 118 jurisdiction-specific files that either stand alone or inherit from and extend their regional base. For example, Romania composes with the EP base to inherit EPO validation requirements while adding OSIM-specific national phase fees. This hierarchical organization eliminates duplication across jurisdictions sharing common regional structures while allowing country-specific customizations.</w:t>
      </w:r>
    </w:p>
    <w:p w14:paraId="6508EDE0" w14:textId="77777777" w:rsidR="00AE42C0" w:rsidRDefault="00000000">
      <w:pPr>
        <w:pStyle w:val="Heading3"/>
      </w:pPr>
      <w:bookmarkStart w:id="54" w:name="jurisdiction-file-validation"/>
      <w:bookmarkEnd w:id="53"/>
      <w:r>
        <w:lastRenderedPageBreak/>
        <w:t>7.2 Jurisdiction File Validation</w:t>
      </w:r>
    </w:p>
    <w:p w14:paraId="229AA2DD" w14:textId="77777777" w:rsidR="00AE42C0" w:rsidRDefault="00000000">
      <w:pPr>
        <w:pStyle w:val="FirstParagraph"/>
      </w:pPr>
      <w:r>
        <w:t>The 118 production jurisdiction files were validated by a domain expert against official PCT national/regional phase entry fee schedules from patent offices worldwide. The validation process verified dollar-accurate calculations across all supported jurisdictions covering the period 2023-2024.</w:t>
      </w:r>
    </w:p>
    <w:p w14:paraId="2166AEC3" w14:textId="77777777" w:rsidR="00AE42C0" w:rsidRDefault="00000000">
      <w:pPr>
        <w:pStyle w:val="BodyText"/>
      </w:pPr>
      <w:r>
        <w:t xml:space="preserve">The jurisdiction files are organized hierarchically with 4 regional base files defining common fee structures: - </w:t>
      </w:r>
      <w:r>
        <w:rPr>
          <w:b/>
          <w:bCs/>
        </w:rPr>
        <w:t>base_ep.ipf</w:t>
      </w:r>
      <w:r>
        <w:t xml:space="preserve">: European Patent Convention member states (38 countries) - </w:t>
      </w:r>
      <w:r>
        <w:rPr>
          <w:b/>
          <w:bCs/>
        </w:rPr>
        <w:t>base_ea.ipf</w:t>
      </w:r>
      <w:r>
        <w:t>: Eurasian Patent Organization member states (9 countries)</w:t>
      </w:r>
      <w:r>
        <w:br/>
        <w:t xml:space="preserve">- </w:t>
      </w:r>
      <w:r>
        <w:rPr>
          <w:b/>
          <w:bCs/>
        </w:rPr>
        <w:t>base_ap.ipf</w:t>
      </w:r>
      <w:r>
        <w:t xml:space="preserve">: African Regional Intellectual Property Organization (ARIPO) member states (19 countries) - </w:t>
      </w:r>
      <w:r>
        <w:rPr>
          <w:b/>
          <w:bCs/>
        </w:rPr>
        <w:t>base_oa.ipf</w:t>
      </w:r>
      <w:r>
        <w:t>: African Intellectual Property Organization (OAPI) member states (17 countries)</w:t>
      </w:r>
    </w:p>
    <w:p w14:paraId="7B4B2456" w14:textId="77777777" w:rsidR="00AE42C0" w:rsidRDefault="00000000">
      <w:pPr>
        <w:pStyle w:val="BodyText"/>
      </w:pPr>
      <w:r>
        <w:t>Individual jurisdiction files either stand alone or inherit from and extend their regional base using the COMPOSE directive.</w:t>
      </w:r>
    </w:p>
    <w:p w14:paraId="0CBDEB9C" w14:textId="77777777" w:rsidR="00AE42C0" w:rsidRDefault="00000000">
      <w:pPr>
        <w:pStyle w:val="BodyText"/>
      </w:pPr>
      <w:r>
        <w:t>The test suite includes synthetic USPTO and EPO fee schedule models demonstrating the language’s capability to represent complex, multi-tiered fee structures with entity-based discounts, excess claim calculations, and temporal versioning. These tests validate the DSL engine’s computational correctness but use representative fee values rather than exact current schedules, as official fee schedules are updated annually and vary by jurisdiction.</w:t>
      </w:r>
    </w:p>
    <w:p w14:paraId="6D047698" w14:textId="77777777" w:rsidR="00AE42C0" w:rsidRDefault="00000000">
      <w:pPr>
        <w:pStyle w:val="Heading3"/>
      </w:pPr>
      <w:bookmarkStart w:id="55" w:name="test-suite"/>
      <w:bookmarkEnd w:id="54"/>
      <w:r>
        <w:t>7.3 Test Suite</w:t>
      </w:r>
    </w:p>
    <w:p w14:paraId="5F468487" w14:textId="77777777" w:rsidR="00AE42C0" w:rsidRDefault="00000000">
      <w:pPr>
        <w:pStyle w:val="FirstParagraph"/>
      </w:pPr>
      <w:r>
        <w:t>The test suite comprises 260 test methods across 18 test categories covering:</w:t>
      </w:r>
    </w:p>
    <w:tbl>
      <w:tblPr>
        <w:tblStyle w:val="Table"/>
        <w:tblW w:w="0" w:type="auto"/>
        <w:jc w:val="center"/>
        <w:tblLook w:val="0020" w:firstRow="1" w:lastRow="0" w:firstColumn="0" w:lastColumn="0" w:noHBand="0" w:noVBand="0"/>
      </w:tblPr>
      <w:tblGrid>
        <w:gridCol w:w="2943"/>
        <w:gridCol w:w="769"/>
        <w:gridCol w:w="3339"/>
      </w:tblGrid>
      <w:tr w:rsidR="00AE42C0" w14:paraId="7B3E7CE1" w14:textId="77777777" w:rsidTr="005901F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F570AAE" w14:textId="77777777" w:rsidR="00AE42C0" w:rsidRDefault="00000000">
            <w:pPr>
              <w:pStyle w:val="Compact"/>
            </w:pPr>
            <w:r>
              <w:t>Category</w:t>
            </w:r>
          </w:p>
        </w:tc>
        <w:tc>
          <w:tcPr>
            <w:tcW w:w="0" w:type="auto"/>
          </w:tcPr>
          <w:p w14:paraId="394194AC" w14:textId="77777777" w:rsidR="00AE42C0" w:rsidRDefault="00000000">
            <w:pPr>
              <w:pStyle w:val="Compact"/>
            </w:pPr>
            <w:r>
              <w:t>Tests</w:t>
            </w:r>
          </w:p>
        </w:tc>
        <w:tc>
          <w:tcPr>
            <w:tcW w:w="0" w:type="auto"/>
          </w:tcPr>
          <w:p w14:paraId="23F14DB2" w14:textId="77777777" w:rsidR="00AE42C0" w:rsidRDefault="00000000">
            <w:pPr>
              <w:pStyle w:val="Compact"/>
            </w:pPr>
            <w:r>
              <w:t>Coverage</w:t>
            </w:r>
          </w:p>
        </w:tc>
      </w:tr>
      <w:tr w:rsidR="00AE42C0" w14:paraId="329045FE" w14:textId="77777777" w:rsidTr="005901F0">
        <w:trPr>
          <w:jc w:val="center"/>
        </w:trPr>
        <w:tc>
          <w:tcPr>
            <w:tcW w:w="0" w:type="auto"/>
          </w:tcPr>
          <w:p w14:paraId="2749AE10" w14:textId="77777777" w:rsidR="00AE42C0" w:rsidRDefault="00000000">
            <w:pPr>
              <w:pStyle w:val="Compact"/>
            </w:pPr>
            <w:r>
              <w:t>Calculator operations</w:t>
            </w:r>
          </w:p>
        </w:tc>
        <w:tc>
          <w:tcPr>
            <w:tcW w:w="0" w:type="auto"/>
          </w:tcPr>
          <w:p w14:paraId="50A76C0F" w14:textId="77777777" w:rsidR="00AE42C0" w:rsidRDefault="00000000">
            <w:pPr>
              <w:pStyle w:val="Compact"/>
            </w:pPr>
            <w:r>
              <w:t>15</w:t>
            </w:r>
          </w:p>
        </w:tc>
        <w:tc>
          <w:tcPr>
            <w:tcW w:w="0" w:type="auto"/>
          </w:tcPr>
          <w:p w14:paraId="41E969E5" w14:textId="77777777" w:rsidR="00AE42C0" w:rsidRDefault="00000000">
            <w:pPr>
              <w:pStyle w:val="Compact"/>
            </w:pPr>
            <w:r>
              <w:t>Basic fee computation</w:t>
            </w:r>
          </w:p>
        </w:tc>
      </w:tr>
      <w:tr w:rsidR="00AE42C0" w14:paraId="452821C9" w14:textId="77777777" w:rsidTr="005901F0">
        <w:trPr>
          <w:jc w:val="center"/>
        </w:trPr>
        <w:tc>
          <w:tcPr>
            <w:tcW w:w="0" w:type="auto"/>
          </w:tcPr>
          <w:p w14:paraId="63D9E5E8" w14:textId="77777777" w:rsidR="00AE42C0" w:rsidRDefault="00000000">
            <w:pPr>
              <w:pStyle w:val="Compact"/>
            </w:pPr>
            <w:r>
              <w:t>Currency type safety</w:t>
            </w:r>
          </w:p>
        </w:tc>
        <w:tc>
          <w:tcPr>
            <w:tcW w:w="0" w:type="auto"/>
          </w:tcPr>
          <w:p w14:paraId="3955DDCF" w14:textId="77777777" w:rsidR="00AE42C0" w:rsidRDefault="00000000">
            <w:pPr>
              <w:pStyle w:val="Compact"/>
            </w:pPr>
            <w:r>
              <w:t>31</w:t>
            </w:r>
          </w:p>
        </w:tc>
        <w:tc>
          <w:tcPr>
            <w:tcW w:w="0" w:type="auto"/>
          </w:tcPr>
          <w:p w14:paraId="2E2B1096" w14:textId="77777777" w:rsidR="00AE42C0" w:rsidRDefault="00000000">
            <w:pPr>
              <w:pStyle w:val="Compact"/>
            </w:pPr>
            <w:r>
              <w:t>Type checking, 161 currencies</w:t>
            </w:r>
          </w:p>
        </w:tc>
      </w:tr>
      <w:tr w:rsidR="00AE42C0" w14:paraId="087B908D" w14:textId="77777777" w:rsidTr="005901F0">
        <w:trPr>
          <w:jc w:val="center"/>
        </w:trPr>
        <w:tc>
          <w:tcPr>
            <w:tcW w:w="0" w:type="auto"/>
          </w:tcPr>
          <w:p w14:paraId="2FA4E6F3" w14:textId="77777777" w:rsidR="00AE42C0" w:rsidRDefault="00000000">
            <w:pPr>
              <w:pStyle w:val="Compact"/>
            </w:pPr>
            <w:r>
              <w:t>Completeness verification</w:t>
            </w:r>
          </w:p>
        </w:tc>
        <w:tc>
          <w:tcPr>
            <w:tcW w:w="0" w:type="auto"/>
          </w:tcPr>
          <w:p w14:paraId="643CC454" w14:textId="77777777" w:rsidR="00AE42C0" w:rsidRDefault="00000000">
            <w:pPr>
              <w:pStyle w:val="Compact"/>
            </w:pPr>
            <w:r>
              <w:t>25</w:t>
            </w:r>
          </w:p>
        </w:tc>
        <w:tc>
          <w:tcPr>
            <w:tcW w:w="0" w:type="auto"/>
          </w:tcPr>
          <w:p w14:paraId="0A44B25F" w14:textId="77777777" w:rsidR="00AE42C0" w:rsidRDefault="00000000">
            <w:pPr>
              <w:pStyle w:val="Compact"/>
            </w:pPr>
            <w:r>
              <w:t>Gap detection, sampling</w:t>
            </w:r>
          </w:p>
        </w:tc>
      </w:tr>
      <w:tr w:rsidR="00AE42C0" w14:paraId="7B27D0C0" w14:textId="77777777" w:rsidTr="005901F0">
        <w:trPr>
          <w:jc w:val="center"/>
        </w:trPr>
        <w:tc>
          <w:tcPr>
            <w:tcW w:w="0" w:type="auto"/>
          </w:tcPr>
          <w:p w14:paraId="076520E1" w14:textId="77777777" w:rsidR="00AE42C0" w:rsidRDefault="00000000">
            <w:pPr>
              <w:pStyle w:val="Compact"/>
            </w:pPr>
            <w:r>
              <w:t>Monotonicity verification</w:t>
            </w:r>
          </w:p>
        </w:tc>
        <w:tc>
          <w:tcPr>
            <w:tcW w:w="0" w:type="auto"/>
          </w:tcPr>
          <w:p w14:paraId="4DAB1F4B" w14:textId="77777777" w:rsidR="00AE42C0" w:rsidRDefault="00000000">
            <w:pPr>
              <w:pStyle w:val="Compact"/>
            </w:pPr>
            <w:r>
              <w:t>4</w:t>
            </w:r>
          </w:p>
        </w:tc>
        <w:tc>
          <w:tcPr>
            <w:tcW w:w="0" w:type="auto"/>
          </w:tcPr>
          <w:p w14:paraId="38DC6BFE" w14:textId="77777777" w:rsidR="00AE42C0" w:rsidRDefault="00000000">
            <w:pPr>
              <w:pStyle w:val="Compact"/>
            </w:pPr>
            <w:r>
              <w:t>Direction enforcement</w:t>
            </w:r>
          </w:p>
        </w:tc>
      </w:tr>
      <w:tr w:rsidR="00AE42C0" w14:paraId="3BEFFA29" w14:textId="77777777" w:rsidTr="005901F0">
        <w:trPr>
          <w:jc w:val="center"/>
        </w:trPr>
        <w:tc>
          <w:tcPr>
            <w:tcW w:w="0" w:type="auto"/>
          </w:tcPr>
          <w:p w14:paraId="41806204" w14:textId="77777777" w:rsidR="00AE42C0" w:rsidRDefault="00000000">
            <w:pPr>
              <w:pStyle w:val="Compact"/>
            </w:pPr>
            <w:r>
              <w:t>Temporal operations</w:t>
            </w:r>
          </w:p>
        </w:tc>
        <w:tc>
          <w:tcPr>
            <w:tcW w:w="0" w:type="auto"/>
          </w:tcPr>
          <w:p w14:paraId="753D0E7D" w14:textId="77777777" w:rsidR="00AE42C0" w:rsidRDefault="00000000">
            <w:pPr>
              <w:pStyle w:val="Compact"/>
            </w:pPr>
            <w:r>
              <w:t>54</w:t>
            </w:r>
          </w:p>
        </w:tc>
        <w:tc>
          <w:tcPr>
            <w:tcW w:w="0" w:type="auto"/>
          </w:tcPr>
          <w:p w14:paraId="4261C5D9" w14:textId="77777777" w:rsidR="00AE42C0" w:rsidRDefault="00000000">
            <w:pPr>
              <w:pStyle w:val="Compact"/>
            </w:pPr>
            <w:r>
              <w:t>Date calculations</w:t>
            </w:r>
          </w:p>
        </w:tc>
      </w:tr>
      <w:tr w:rsidR="00AE42C0" w14:paraId="241B0427" w14:textId="77777777" w:rsidTr="005901F0">
        <w:trPr>
          <w:jc w:val="center"/>
        </w:trPr>
        <w:tc>
          <w:tcPr>
            <w:tcW w:w="0" w:type="auto"/>
          </w:tcPr>
          <w:p w14:paraId="005CD90E" w14:textId="77777777" w:rsidR="00AE42C0" w:rsidRDefault="00000000">
            <w:pPr>
              <w:pStyle w:val="Compact"/>
            </w:pPr>
            <w:r>
              <w:t>Provenance tracking</w:t>
            </w:r>
          </w:p>
        </w:tc>
        <w:tc>
          <w:tcPr>
            <w:tcW w:w="0" w:type="auto"/>
          </w:tcPr>
          <w:p w14:paraId="04FF9F9E" w14:textId="77777777" w:rsidR="00AE42C0" w:rsidRDefault="00000000">
            <w:pPr>
              <w:pStyle w:val="Compact"/>
            </w:pPr>
            <w:r>
              <w:t>20</w:t>
            </w:r>
          </w:p>
        </w:tc>
        <w:tc>
          <w:tcPr>
            <w:tcW w:w="0" w:type="auto"/>
          </w:tcPr>
          <w:p w14:paraId="5D9B2659" w14:textId="77777777" w:rsidR="00AE42C0" w:rsidRDefault="00000000">
            <w:pPr>
              <w:pStyle w:val="Compact"/>
            </w:pPr>
            <w:r>
              <w:t>Audit trails</w:t>
            </w:r>
          </w:p>
        </w:tc>
      </w:tr>
      <w:tr w:rsidR="00AE42C0" w14:paraId="4C980CEC" w14:textId="77777777" w:rsidTr="005901F0">
        <w:trPr>
          <w:jc w:val="center"/>
        </w:trPr>
        <w:tc>
          <w:tcPr>
            <w:tcW w:w="0" w:type="auto"/>
          </w:tcPr>
          <w:p w14:paraId="3B7B1B5E" w14:textId="77777777" w:rsidR="00AE42C0" w:rsidRDefault="00000000">
            <w:pPr>
              <w:pStyle w:val="Compact"/>
            </w:pPr>
            <w:r>
              <w:t>Jurisdiction composition</w:t>
            </w:r>
          </w:p>
        </w:tc>
        <w:tc>
          <w:tcPr>
            <w:tcW w:w="0" w:type="auto"/>
          </w:tcPr>
          <w:p w14:paraId="7CD5BEC2" w14:textId="77777777" w:rsidR="00AE42C0" w:rsidRDefault="00000000">
            <w:pPr>
              <w:pStyle w:val="Compact"/>
            </w:pPr>
            <w:r>
              <w:t>19</w:t>
            </w:r>
          </w:p>
        </w:tc>
        <w:tc>
          <w:tcPr>
            <w:tcW w:w="0" w:type="auto"/>
          </w:tcPr>
          <w:p w14:paraId="2F0421F9" w14:textId="77777777" w:rsidR="00AE42C0" w:rsidRDefault="00000000">
            <w:pPr>
              <w:pStyle w:val="Compact"/>
            </w:pPr>
            <w:r>
              <w:t>Inheritance, overrides</w:t>
            </w:r>
          </w:p>
        </w:tc>
      </w:tr>
      <w:tr w:rsidR="00AE42C0" w14:paraId="72B3E43E" w14:textId="77777777" w:rsidTr="005901F0">
        <w:trPr>
          <w:jc w:val="center"/>
        </w:trPr>
        <w:tc>
          <w:tcPr>
            <w:tcW w:w="0" w:type="auto"/>
          </w:tcPr>
          <w:p w14:paraId="00348DCF" w14:textId="77777777" w:rsidR="00AE42C0" w:rsidRDefault="00000000">
            <w:pPr>
              <w:pStyle w:val="Compact"/>
            </w:pPr>
            <w:r>
              <w:t>Versioning</w:t>
            </w:r>
          </w:p>
        </w:tc>
        <w:tc>
          <w:tcPr>
            <w:tcW w:w="0" w:type="auto"/>
          </w:tcPr>
          <w:p w14:paraId="7B30EA07" w14:textId="77777777" w:rsidR="00AE42C0" w:rsidRDefault="00000000">
            <w:pPr>
              <w:pStyle w:val="Compact"/>
            </w:pPr>
            <w:r>
              <w:t>21</w:t>
            </w:r>
          </w:p>
        </w:tc>
        <w:tc>
          <w:tcPr>
            <w:tcW w:w="0" w:type="auto"/>
          </w:tcPr>
          <w:p w14:paraId="1E8F18B7" w14:textId="77777777" w:rsidR="00AE42C0" w:rsidRDefault="00000000">
            <w:pPr>
              <w:pStyle w:val="Compact"/>
            </w:pPr>
            <w:r>
              <w:t>Diff, impact analysis</w:t>
            </w:r>
          </w:p>
        </w:tc>
      </w:tr>
      <w:tr w:rsidR="00AE42C0" w14:paraId="2DC4DCE3" w14:textId="77777777" w:rsidTr="005901F0">
        <w:trPr>
          <w:jc w:val="center"/>
        </w:trPr>
        <w:tc>
          <w:tcPr>
            <w:tcW w:w="0" w:type="auto"/>
          </w:tcPr>
          <w:p w14:paraId="7A480E77" w14:textId="77777777" w:rsidR="00AE42C0" w:rsidRDefault="00000000">
            <w:pPr>
              <w:pStyle w:val="Compact"/>
            </w:pPr>
            <w:r>
              <w:t>Other</w:t>
            </w:r>
          </w:p>
        </w:tc>
        <w:tc>
          <w:tcPr>
            <w:tcW w:w="0" w:type="auto"/>
          </w:tcPr>
          <w:p w14:paraId="395FD375" w14:textId="77777777" w:rsidR="00AE42C0" w:rsidRDefault="00000000">
            <w:pPr>
              <w:pStyle w:val="Compact"/>
            </w:pPr>
            <w:r>
              <w:t>77</w:t>
            </w:r>
          </w:p>
        </w:tc>
        <w:tc>
          <w:tcPr>
            <w:tcW w:w="0" w:type="auto"/>
          </w:tcPr>
          <w:p w14:paraId="2C3FFC75" w14:textId="77777777" w:rsidR="00AE42C0" w:rsidRDefault="00000000">
            <w:pPr>
              <w:pStyle w:val="Compact"/>
            </w:pPr>
            <w:r>
              <w:t>Semantics, parsing, logic</w:t>
            </w:r>
          </w:p>
        </w:tc>
      </w:tr>
    </w:tbl>
    <w:p w14:paraId="745AB5C5" w14:textId="77777777" w:rsidR="00AE42C0" w:rsidRDefault="00000000">
      <w:pPr>
        <w:pStyle w:val="BodyText"/>
      </w:pPr>
      <w:r>
        <w:t>All 260 tests pass with 100% success rate. Test execution completes in sub-millisecond time per test, confirming that DSL interpretation imposes negligible overhead.</w:t>
      </w:r>
    </w:p>
    <w:p w14:paraId="56FC4771" w14:textId="77777777" w:rsidR="00AE42C0" w:rsidRDefault="00000000">
      <w:pPr>
        <w:pStyle w:val="Heading3"/>
      </w:pPr>
      <w:bookmarkStart w:id="56" w:name="threats-to-validity"/>
      <w:bookmarkEnd w:id="55"/>
      <w:r>
        <w:t>7.4 Threats to Validity</w:t>
      </w:r>
    </w:p>
    <w:p w14:paraId="274DA413" w14:textId="77777777" w:rsidR="00AE42C0" w:rsidRDefault="00000000">
      <w:pPr>
        <w:pStyle w:val="FirstParagraph"/>
      </w:pPr>
      <w:r>
        <w:rPr>
          <w:b/>
          <w:bCs/>
        </w:rPr>
        <w:t>Internal Validity.</w:t>
      </w:r>
      <w:r>
        <w:t xml:space="preserve"> The test suite validates correctness of the implementation but may not cover all edge cases. The 260 tests focus on feature coverage rather than </w:t>
      </w:r>
      <w:r>
        <w:lastRenderedPageBreak/>
        <w:t>exhaustive input space exploration. The validation against official fee schedules covers representative scenarios but not all possible input combinations.</w:t>
      </w:r>
    </w:p>
    <w:p w14:paraId="689C4790" w14:textId="77777777" w:rsidR="00AE42C0" w:rsidRDefault="00000000">
      <w:pPr>
        <w:pStyle w:val="BodyText"/>
      </w:pPr>
      <w:r>
        <w:rPr>
          <w:b/>
          <w:bCs/>
        </w:rPr>
        <w:t>External Validity.</w:t>
      </w:r>
      <w:r>
        <w:t xml:space="preserve"> The 118 production jurisdiction files covering PCT national/regional phase entry for major patent offices were validated by a domain expert against official PCT fee schedules. The validation confirmed dollar-accurate calculations across all supported jurisdictions. The test suite includes synthetic fee schedule models for USPTO and EPO that demonstrate the language’s expressiveness for complex fee structures, though these use representative values rather than tracking current official schedules which are updated annually.</w:t>
      </w:r>
    </w:p>
    <w:p w14:paraId="4E725746" w14:textId="77777777" w:rsidR="00AE42C0" w:rsidRDefault="00000000">
      <w:pPr>
        <w:pStyle w:val="BodyText"/>
      </w:pPr>
      <w:r>
        <w:rPr>
          <w:b/>
          <w:bCs/>
        </w:rPr>
        <w:t>Construct Validity.</w:t>
      </w:r>
      <w:r>
        <w:t xml:space="preserve"> Performance measurements reflect test execution time, not isolated component performance. Claims about syntax readability for domain experts are based on established DSL design principles [16, 23] rather than empirical user studies. The keyword-based syntax (EQ, GT, AND) was designed to improve readability compared to symbolic operators, and the explicit block delimiters (ENDCOMPUTE, ENDDEFINE) were chosen to reduce syntax errors, but </w:t>
      </w:r>
      <w:r w:rsidRPr="00B66F12">
        <w:t>these design hypotheses have not been validated through controlled experiments with practitioners</w:t>
      </w:r>
      <w:r>
        <w:t>. This limitation should be considered when evaluating claims about the language’s accessibility.</w:t>
      </w:r>
    </w:p>
    <w:p w14:paraId="138AEADB" w14:textId="77777777" w:rsidR="00AE42C0" w:rsidRDefault="00000000">
      <w:pPr>
        <w:pStyle w:val="BodyText"/>
      </w:pPr>
      <w:r>
        <w:rPr>
          <w:b/>
          <w:bCs/>
        </w:rPr>
        <w:t>Reliability.</w:t>
      </w:r>
      <w:r>
        <w:t xml:space="preserve"> Results are reproducible via the open-source implementation. The validation test cases can be independently verified against official fee schedule documents. Exchange rate-dependent calculations (not present in the current examples) would introduce temporal variation.</w:t>
      </w:r>
    </w:p>
    <w:p w14:paraId="3809C2E0" w14:textId="77777777" w:rsidR="00AE42C0" w:rsidRDefault="00000000" w:rsidP="002E7D11">
      <w:pPr>
        <w:pStyle w:val="Heading1"/>
      </w:pPr>
      <w:bookmarkStart w:id="57" w:name="discussion"/>
      <w:bookmarkEnd w:id="52"/>
      <w:bookmarkEnd w:id="56"/>
      <w:r>
        <w:t>8. Discussion</w:t>
      </w:r>
    </w:p>
    <w:p w14:paraId="6985DADF" w14:textId="77777777" w:rsidR="00AE42C0" w:rsidRDefault="00000000">
      <w:pPr>
        <w:pStyle w:val="Heading3"/>
      </w:pPr>
      <w:bookmarkStart w:id="58" w:name="advantages-of-dsl-based-standardization"/>
      <w:r>
        <w:t>8.1 Advantages of DSL-Based Standardization</w:t>
      </w:r>
    </w:p>
    <w:p w14:paraId="4F2A9280" w14:textId="77777777" w:rsidR="00AE42C0" w:rsidRDefault="00000000">
      <w:pPr>
        <w:pStyle w:val="FirstParagraph"/>
      </w:pPr>
      <w:r>
        <w:rPr>
          <w:b/>
          <w:bCs/>
        </w:rPr>
        <w:t>Transparency and auditability.</w:t>
      </w:r>
      <w:r>
        <w:t xml:space="preserve"> Unlike black-box proprietary calculators, IPFLang scripts are human-readable specifications that can be audited directly. When fee schedules change, updates are visible diffs that can be reviewed without requiring deep programming expertise, though familiarity with the DSL syntax is necessary.</w:t>
      </w:r>
    </w:p>
    <w:p w14:paraId="2F430B26" w14:textId="77777777" w:rsidR="00AE42C0" w:rsidRDefault="00000000">
      <w:pPr>
        <w:pStyle w:val="BodyText"/>
      </w:pPr>
      <w:r>
        <w:rPr>
          <w:b/>
          <w:bCs/>
        </w:rPr>
        <w:t>Formal verification.</w:t>
      </w:r>
      <w:r>
        <w:t xml:space="preserve"> Static completeness checking (exhaustive mode) and monotonicity checking provide formal guarantees impossible with imperative implementations. For domains within the exhaustive threshold, practitioners can be confident that fee definitions cover all cases and behave predictably.</w:t>
      </w:r>
    </w:p>
    <w:p w14:paraId="3A0F71B1" w14:textId="77777777" w:rsidR="00AE42C0" w:rsidRDefault="00000000">
      <w:pPr>
        <w:pStyle w:val="BodyText"/>
      </w:pPr>
      <w:r>
        <w:rPr>
          <w:b/>
          <w:bCs/>
        </w:rPr>
        <w:t>Vendor independence.</w:t>
      </w:r>
      <w:r>
        <w:t xml:space="preserve"> IPFLang-based calculations are vendor-neutral: any conforming interpreter can execute scripts. Multiple tools can compete on user experience while using a shared, open calculation engine.</w:t>
      </w:r>
    </w:p>
    <w:p w14:paraId="7D8978AD" w14:textId="77777777" w:rsidR="00AE42C0" w:rsidRDefault="00000000">
      <w:pPr>
        <w:pStyle w:val="BodyText"/>
      </w:pPr>
      <w:r>
        <w:rPr>
          <w:b/>
          <w:bCs/>
        </w:rPr>
        <w:t>Rapid adaptation.</w:t>
      </w:r>
      <w:r>
        <w:t xml:space="preserve"> Government fee schedules change frequently. IPFLang enables updates through script editing and verification, compared to longer cycles for traditional software development.</w:t>
      </w:r>
    </w:p>
    <w:p w14:paraId="1DE77BD6" w14:textId="77777777" w:rsidR="00AE42C0" w:rsidRDefault="00000000">
      <w:pPr>
        <w:pStyle w:val="BodyText"/>
      </w:pPr>
      <w:r>
        <w:rPr>
          <w:b/>
          <w:bCs/>
        </w:rPr>
        <w:t>Predictability over AI alternatives.</w:t>
      </w:r>
      <w:r>
        <w:t xml:space="preserve"> While general-purpose AI systems can perform fee calculations through natural language processing, DSL code authored by domain experts offers superior predictability and reliability. An IPFLang script encodes explicit, </w:t>
      </w:r>
      <w:r>
        <w:lastRenderedPageBreak/>
        <w:t>deterministic rules that produce identical outputs for identical inputs across all executions. In contrast, AI-based approaches may exhibit variability in interpretation, sensitivity to prompt phrasing, or unexpected behavior when encountering edge cases outside their training distribution. For regulated domains where calculation accuracy carries legal and financial consequences, the explicit rule encoding of a DSL provides stronger guarantees than probabilistic AI inference, while the human-readable syntax enables domain experts to verify correctness directly against authoritative fee schedules.</w:t>
      </w:r>
    </w:p>
    <w:p w14:paraId="5486854D" w14:textId="77777777" w:rsidR="00AE42C0" w:rsidRDefault="00000000">
      <w:pPr>
        <w:pStyle w:val="Heading3"/>
      </w:pPr>
      <w:bookmarkStart w:id="59" w:name="cross-domain-applicability"/>
      <w:bookmarkEnd w:id="58"/>
      <w:r>
        <w:t>8.2 Cross-Domain Applicability</w:t>
      </w:r>
    </w:p>
    <w:p w14:paraId="47B4BC87" w14:textId="77777777" w:rsidR="00AE42C0" w:rsidRDefault="00000000">
      <w:pPr>
        <w:pStyle w:val="FirstParagraph"/>
      </w:pPr>
      <w:r>
        <w:t>IPFLang’s design patterns address common regulatory calculation structures beyond intellectual property.</w:t>
      </w:r>
    </w:p>
    <w:p w14:paraId="7BB173E9" w14:textId="77777777" w:rsidR="00AE42C0" w:rsidRDefault="00000000">
      <w:pPr>
        <w:pStyle w:val="BodyText"/>
      </w:pPr>
      <w:r>
        <w:rPr>
          <w:b/>
          <w:bCs/>
        </w:rPr>
        <w:t>Entity-based pricing tiers</w:t>
      </w:r>
      <w:r>
        <w:t xml:space="preserve"> apply different fees based on entity characteristics. In IP, USPTO discounts of 60% (small) and 80% (micro) exemplify this pattern. Cross-domain applications include SME tax rates, tiered professional licensing, and asset-based regulatory fees.</w:t>
      </w:r>
    </w:p>
    <w:p w14:paraId="61B8AEEC" w14:textId="77777777" w:rsidR="00AE42C0" w:rsidRDefault="00000000">
      <w:pPr>
        <w:pStyle w:val="BodyText"/>
      </w:pPr>
      <w:r>
        <w:rPr>
          <w:b/>
          <w:bCs/>
        </w:rPr>
        <w:t>Volume-based progressive pricing</w:t>
      </w:r>
      <w:r>
        <w:t xml:space="preserve"> uses marginal pricing where unit cost changes at thresholds. In IP, claim fees charge one rate for claims 1-15, another for 16-50, and higher for 51+. Cross-domain applications include import duties, tiered utility pricing, and bulk discount structures.</w:t>
      </w:r>
    </w:p>
    <w:p w14:paraId="051B888D" w14:textId="77777777" w:rsidR="00AE42C0" w:rsidRDefault="00000000">
      <w:pPr>
        <w:pStyle w:val="BodyText"/>
      </w:pPr>
      <w:r>
        <w:rPr>
          <w:b/>
          <w:bCs/>
        </w:rPr>
        <w:t>Temporal dependencies</w:t>
      </w:r>
      <w:r>
        <w:t xml:space="preserve"> involve fees varying based on elapsed time. In IP, maintenance fees are due at specific intervals after grant. Cross-domain applications include late payment penalties, license renewals, and filing deadline calculations.</w:t>
      </w:r>
    </w:p>
    <w:p w14:paraId="0C524385" w14:textId="77777777" w:rsidR="00AE42C0" w:rsidRDefault="00000000">
      <w:pPr>
        <w:pStyle w:val="BodyText"/>
      </w:pPr>
      <w:r>
        <w:rPr>
          <w:b/>
          <w:bCs/>
        </w:rPr>
        <w:t>Multi-component additive fees</w:t>
      </w:r>
      <w:r>
        <w:t xml:space="preserve"> calculate totals as sums of independent components. In IP, totals combine filing, search, examination, and claim fees. Cross-domain applications include building permits, vehicle registration, and business licensing with endorsements.</w:t>
      </w:r>
    </w:p>
    <w:p w14:paraId="4AF504EE" w14:textId="77777777" w:rsidR="00AE42C0" w:rsidRDefault="00000000">
      <w:pPr>
        <w:pStyle w:val="BodyText"/>
      </w:pPr>
      <w:r>
        <w:t>A domain suitability assessment suggests high applicability to professional licensing (very high structural similarity), court filing fees (very high), tax calculations for progressive structures (high, requiring negative value support), and customs duties (medium-high, requiring hierarchical types).</w:t>
      </w:r>
    </w:p>
    <w:p w14:paraId="34CB0078" w14:textId="77777777" w:rsidR="00AE42C0" w:rsidRDefault="00000000">
      <w:pPr>
        <w:pStyle w:val="Heading3"/>
      </w:pPr>
      <w:bookmarkStart w:id="60" w:name="limitations"/>
      <w:bookmarkEnd w:id="59"/>
      <w:r>
        <w:t>8.3 Limitations</w:t>
      </w:r>
    </w:p>
    <w:p w14:paraId="6ADDC58C" w14:textId="77777777" w:rsidR="00AE42C0" w:rsidRDefault="00000000">
      <w:pPr>
        <w:pStyle w:val="FirstParagraph"/>
      </w:pPr>
      <w:r>
        <w:t>Several limitations constrain the current work. Regarding implementation scope, the reference implementation provides only a CLI interface; REST API support would enable broader integration with existing IP management workflows. In terms of jurisdiction coverage, while the repository includes 118 production jurisdiction files covering PCT national/regional phase entry for major patent offices (validated by a domain expert against official PCT fee schedules), extension to cover additional fee types (annuities, oppositions, appeals) remains important future work.</w:t>
      </w:r>
    </w:p>
    <w:p w14:paraId="58F07069" w14:textId="77777777" w:rsidR="00AE42C0" w:rsidRDefault="00000000">
      <w:pPr>
        <w:pStyle w:val="BodyText"/>
      </w:pPr>
      <w:r>
        <w:t xml:space="preserve">The type system expressiveness is constrained in that it does not support dependent types or refinement types that could express additional invariants such as requiring claim counts to be positive. A significant limitation concerns empirical validation of </w:t>
      </w:r>
      <w:r>
        <w:lastRenderedPageBreak/>
        <w:t>readability: user studies validating syntax readability for domain experts have not been conducted, and design decisions favoring readability (keyword operators, explicit block delimiters) are based on DSL design principles [16, 23] rather than empirical evidence. This constitutes a gap that future work must address.</w:t>
      </w:r>
    </w:p>
    <w:p w14:paraId="1B15635C" w14:textId="77777777" w:rsidR="00AE42C0" w:rsidRDefault="00000000">
      <w:pPr>
        <w:pStyle w:val="BodyText"/>
      </w:pPr>
      <w:r>
        <w:t>Finally, boundary-based testing has inherent limitations. For large input domains exceeding the exhaustive verification threshold (10⁶ combinations), the boundary-based testing mode may miss gaps between sampled points. Users requiring formal completeness guarantees must either constrain domain sizes or employ complementary analysis techniques.</w:t>
      </w:r>
    </w:p>
    <w:p w14:paraId="4D09B0DF" w14:textId="77777777" w:rsidR="00AE42C0" w:rsidRDefault="00000000" w:rsidP="002E7D11">
      <w:pPr>
        <w:pStyle w:val="Heading1"/>
      </w:pPr>
      <w:bookmarkStart w:id="61" w:name="conclusions-and-future-work"/>
      <w:bookmarkEnd w:id="57"/>
      <w:bookmarkEnd w:id="60"/>
      <w:r>
        <w:t>9. Conclusions and Future Work</w:t>
      </w:r>
    </w:p>
    <w:p w14:paraId="07D34903" w14:textId="77777777" w:rsidR="00AE42C0" w:rsidRDefault="00000000">
      <w:pPr>
        <w:pStyle w:val="FirstParagraph"/>
      </w:pPr>
      <w:r>
        <w:t>This paper introduced IPFLang, a domain-specific language for standardizing intellectual property fee calculations. The key contributions are:</w:t>
      </w:r>
    </w:p>
    <w:p w14:paraId="4FA49E14" w14:textId="77777777" w:rsidR="00AE42C0" w:rsidRDefault="00000000">
      <w:pPr>
        <w:numPr>
          <w:ilvl w:val="0"/>
          <w:numId w:val="6"/>
        </w:numPr>
      </w:pPr>
      <w:r>
        <w:rPr>
          <w:b/>
          <w:bCs/>
        </w:rPr>
        <w:t>Language specification</w:t>
      </w:r>
      <w:r>
        <w:t xml:space="preserve"> with declarative syntax designed for readability, featuring keyword-based operators (EQ, GT, AND) rather than symbolic notation, explicit block delimiters, and domain-specific primitives for currency and temporal operations.</w:t>
      </w:r>
    </w:p>
    <w:p w14:paraId="795142A0" w14:textId="77777777" w:rsidR="00AE42C0" w:rsidRDefault="00000000">
      <w:pPr>
        <w:numPr>
          <w:ilvl w:val="0"/>
          <w:numId w:val="6"/>
        </w:numPr>
      </w:pPr>
      <w:r>
        <w:rPr>
          <w:b/>
          <w:bCs/>
        </w:rPr>
        <w:t>Currency-aware type system</w:t>
      </w:r>
      <w:r>
        <w:t xml:space="preserve"> supporting 161 ISO 4217 currencies with compile-time prevention of cross-currency arithmetic errors, formalized through typing rules with proven soundness properties.</w:t>
      </w:r>
    </w:p>
    <w:p w14:paraId="3D75DA67" w14:textId="77777777" w:rsidR="00AE42C0" w:rsidRDefault="00000000">
      <w:pPr>
        <w:numPr>
          <w:ilvl w:val="0"/>
          <w:numId w:val="6"/>
        </w:numPr>
      </w:pPr>
      <w:r>
        <w:rPr>
          <w:b/>
          <w:bCs/>
        </w:rPr>
        <w:t>Static analysis algorithms</w:t>
      </w:r>
      <w:r>
        <w:t xml:space="preserve"> for completeness checking (exhaustive verification for domains ≤10⁶ providing formal guarantees, boundary-based testing for larger domains) and monotonicity verification (ensuring fees behave predictably with respect to numeric inputs).</w:t>
      </w:r>
    </w:p>
    <w:p w14:paraId="6D487902" w14:textId="77777777" w:rsidR="00AE42C0" w:rsidRDefault="00000000">
      <w:pPr>
        <w:numPr>
          <w:ilvl w:val="0"/>
          <w:numId w:val="6"/>
        </w:numPr>
      </w:pPr>
      <w:r>
        <w:rPr>
          <w:b/>
          <w:bCs/>
        </w:rPr>
        <w:t>Provenance tracking</w:t>
      </w:r>
      <w:r>
        <w:t xml:space="preserve"> with counterfactual analysis supporting auditability requirements for regulatory compliance and dispute resolution.</w:t>
      </w:r>
    </w:p>
    <w:p w14:paraId="10572888" w14:textId="77777777" w:rsidR="00AE42C0" w:rsidRDefault="00000000">
      <w:pPr>
        <w:numPr>
          <w:ilvl w:val="0"/>
          <w:numId w:val="6"/>
        </w:numPr>
      </w:pPr>
      <w:r>
        <w:rPr>
          <w:b/>
          <w:bCs/>
        </w:rPr>
        <w:t>Reference implementation</w:t>
      </w:r>
      <w:r>
        <w:t xml:space="preserve"> validated through 260 passing tests, verification against official EPO and USPTO fee schedules, and 118 production jurisdiction files covering PCT national/regional phase entry.</w:t>
      </w:r>
    </w:p>
    <w:p w14:paraId="7ABAA4F9" w14:textId="77777777" w:rsidR="00AE42C0" w:rsidRDefault="00000000">
      <w:pPr>
        <w:pStyle w:val="FirstParagraph"/>
      </w:pPr>
      <w:r>
        <w:rPr>
          <w:b/>
          <w:bCs/>
        </w:rPr>
        <w:t>Impact.</w:t>
      </w:r>
      <w:r>
        <w:t xml:space="preserve"> For practitioners, IPFLang offers transparent, verifiable fee calculations with audit trails. For patent offices, the specification provides machine-readable fee schedule definitions enabling third-party tool development. For the research community, IPFLang demonstrates that formal verification techniques can be applied to domain-specific regulatory contexts.</w:t>
      </w:r>
    </w:p>
    <w:p w14:paraId="6557CDCE" w14:textId="77777777" w:rsidR="00AE42C0" w:rsidRDefault="00000000">
      <w:pPr>
        <w:pStyle w:val="BodyText"/>
      </w:pPr>
      <w:r>
        <w:rPr>
          <w:b/>
          <w:bCs/>
        </w:rPr>
        <w:t>Future work</w:t>
      </w:r>
      <w:r>
        <w:t xml:space="preserve"> will address current limitations through: (1) REST API implementation conforming to OpenAPI standards for enterprise integration; (2) expanded jurisdiction coverage through community contributions; (3) cross-domain pilots applying IPFLang patterns to tax calculations and customs duties; (4) formal mechanization of type safety proofs in a proof assistant such as Coq or F*; and (5) </w:t>
      </w:r>
      <w:r>
        <w:rPr>
          <w:b/>
          <w:bCs/>
        </w:rPr>
        <w:t>user studies with IP practitioners to empirically evaluate the readability and usability of the DSL syntax</w:t>
      </w:r>
      <w:r>
        <w:t xml:space="preserve">, </w:t>
      </w:r>
      <w:r>
        <w:lastRenderedPageBreak/>
        <w:t>addressing the current gap between design-based readability claims and empirical validation.</w:t>
      </w:r>
    </w:p>
    <w:p w14:paraId="747F40A8" w14:textId="77777777" w:rsidR="00AE42C0" w:rsidRDefault="00000000">
      <w:pPr>
        <w:pStyle w:val="BodyText"/>
      </w:pPr>
      <w:r>
        <w:t>The open-source implementation is available at https://github.com/vbocan/IPFLang under GPLv3.</w:t>
      </w:r>
    </w:p>
    <w:p w14:paraId="4D7500FD" w14:textId="77777777" w:rsidR="00AE42C0" w:rsidRDefault="00000000" w:rsidP="002E7D11">
      <w:pPr>
        <w:pStyle w:val="Heading1"/>
      </w:pPr>
      <w:bookmarkStart w:id="62" w:name="references"/>
      <w:bookmarkEnd w:id="61"/>
      <w:r>
        <w:t>References</w:t>
      </w:r>
    </w:p>
    <w:p w14:paraId="1CB3C447" w14:textId="77777777" w:rsidR="00AE42C0" w:rsidRDefault="00000000">
      <w:pPr>
        <w:pStyle w:val="FirstParagraph"/>
      </w:pPr>
      <w:r>
        <w:t>[1] United States Patent and Trademark Office, 2025. USPTO Fee Schedule. https://www.uspto.gov/learning-and-resources/fees-and-payment/uspto-fee-schedule (accessed 15 December 2024).</w:t>
      </w:r>
    </w:p>
    <w:p w14:paraId="377D8D84" w14:textId="77777777" w:rsidR="00AE42C0" w:rsidRDefault="00000000">
      <w:pPr>
        <w:pStyle w:val="BodyText"/>
      </w:pPr>
      <w:r>
        <w:t>[2] European Patent Office, 2024. EPO Schedule of Fees. https://my.epoline.org/epoline-portal/classic/epoline.Scheduleoffees (accessed 15 December 2024).</w:t>
      </w:r>
    </w:p>
    <w:p w14:paraId="66AAE3DB" w14:textId="77777777" w:rsidR="00AE42C0" w:rsidRDefault="00000000">
      <w:pPr>
        <w:pStyle w:val="BodyText"/>
      </w:pPr>
      <w:r>
        <w:t>[3] Japan Patent Office, 2024. JPO Fee Information. https://www.jpo.go.jp/ (accessed 15 December 2024).</w:t>
      </w:r>
    </w:p>
    <w:p w14:paraId="44F43FC5" w14:textId="77777777" w:rsidR="00AE42C0" w:rsidRDefault="00000000">
      <w:pPr>
        <w:pStyle w:val="BodyText"/>
      </w:pPr>
      <w:r>
        <w:t>[4] World Intellectual Property Organization, 2024. WIPO PCT Fee Tables. https://www.wipo.int/ (accessed 15 December 2024).</w:t>
      </w:r>
    </w:p>
    <w:p w14:paraId="693F4207" w14:textId="77777777" w:rsidR="00AE42C0" w:rsidRDefault="00000000">
      <w:pPr>
        <w:pStyle w:val="BodyText"/>
      </w:pPr>
      <w:r>
        <w:t>[5] CPA Global (Clarivate), 2024. IP Management Solutions. https://www.cpaglobal.com/ (accessed 15 December 2024).</w:t>
      </w:r>
    </w:p>
    <w:p w14:paraId="3AD5021A" w14:textId="77777777" w:rsidR="00AE42C0" w:rsidRDefault="00000000">
      <w:pPr>
        <w:pStyle w:val="BodyText"/>
      </w:pPr>
      <w:r>
        <w:t>[6] T. Athan, H. Boley, G. Governatori, M. Palmirani, A. Paschke, A. Wyner, LegalRuleML: Design Principles and Foundations, in: Reasoning Web. Web Logic Rules, Springer, Cham, 2015, pp. 151–188. https://doi.org/10.1007/978-3-319-21768-0_6.</w:t>
      </w:r>
    </w:p>
    <w:p w14:paraId="18BE6714" w14:textId="77777777" w:rsidR="00AE42C0" w:rsidRDefault="00000000">
      <w:pPr>
        <w:pStyle w:val="BodyText"/>
      </w:pPr>
      <w:r>
        <w:t>[7] D. Merigoux, N. Chataing, J. Protzenko, Catala: A Programming Language for the Law, Proc. ACM Program. Lang. 5 (ICFP) (2021) Article 77. https://doi.org/10.1145/3473582.</w:t>
      </w:r>
    </w:p>
    <w:p w14:paraId="5B85369E" w14:textId="77777777" w:rsidR="00AE42C0" w:rsidRDefault="00000000">
      <w:pPr>
        <w:pStyle w:val="BodyText"/>
      </w:pPr>
      <w:r>
        <w:t>[8] World Intellectual Property Organization, 2023. WIPO ST.96 - Processing of IP Information using XML. https://www.wipo.int/standards/en/st96.html (accessed 15 December 2024).</w:t>
      </w:r>
    </w:p>
    <w:p w14:paraId="208D28C3" w14:textId="77777777" w:rsidR="00AE42C0" w:rsidRDefault="00000000">
      <w:pPr>
        <w:pStyle w:val="BodyText"/>
      </w:pPr>
      <w:r>
        <w:t>[9] European Patent Office, 2024. EPO Open Patent Services (OPS) API. https://www.epo.org/searching-for-patents/data/web-services/ops.html (accessed 15 December 2024).</w:t>
      </w:r>
    </w:p>
    <w:p w14:paraId="626180C0" w14:textId="77777777" w:rsidR="00AE42C0" w:rsidRDefault="00000000">
      <w:pPr>
        <w:pStyle w:val="BodyText"/>
      </w:pPr>
      <w:r>
        <w:t>[10] T. Hvitved, Contract Formalisation and Modular Implementation of Domain-Specific Languages, PhD Thesis, University of Copenhagen, Denmark, 2011.</w:t>
      </w:r>
    </w:p>
    <w:p w14:paraId="519543A1" w14:textId="77777777" w:rsidR="00AE42C0" w:rsidRDefault="00000000">
      <w:pPr>
        <w:pStyle w:val="BodyText"/>
      </w:pPr>
      <w:r>
        <w:t>[11] A. Kennedy, Types for Units-of-Measure: Theory and Practice, in: Central European Functional Programming School (CEFP 2009), Springer, 2010, pp. 268–305. https://doi.org/10.1007/978-3-642-17685-2_8.</w:t>
      </w:r>
    </w:p>
    <w:p w14:paraId="66505752" w14:textId="77777777" w:rsidR="00AE42C0" w:rsidRDefault="00000000">
      <w:pPr>
        <w:pStyle w:val="BodyText"/>
      </w:pPr>
      <w:r>
        <w:t>[12] OpenFisca Contributors, 2024. OpenFisca: Open-source platform for tax-benefit microsimulation. https://openfisca.org/ (accessed 15 December 2024).</w:t>
      </w:r>
    </w:p>
    <w:p w14:paraId="3332CAD8" w14:textId="77777777" w:rsidR="00AE42C0" w:rsidRDefault="00000000">
      <w:pPr>
        <w:pStyle w:val="BodyText"/>
      </w:pPr>
      <w:r>
        <w:t>[13] Red Hat, 2024. Drools Business Rules Management System. https://www.drools.org/ (accessed 15 December 2024).</w:t>
      </w:r>
    </w:p>
    <w:p w14:paraId="3E9C8315" w14:textId="77777777" w:rsidR="00AE42C0" w:rsidRDefault="00000000">
      <w:pPr>
        <w:pStyle w:val="BodyText"/>
      </w:pPr>
      <w:r>
        <w:lastRenderedPageBreak/>
        <w:t>[14] New Zealand Government, 2018. Better Rules for Government Discovery Report. https://www.digital.govt.nz/dmsdocument/95-better-rules-for-government-discovery-report/html (accessed 15 December 2024).</w:t>
      </w:r>
    </w:p>
    <w:p w14:paraId="155D8277" w14:textId="77777777" w:rsidR="00AE42C0" w:rsidRDefault="00000000">
      <w:pPr>
        <w:pStyle w:val="BodyText"/>
      </w:pPr>
      <w:r>
        <w:t>[15] M. Waddington, Rules as Code, IEEE IT Prof. 22 (3) (2020) 14–19.</w:t>
      </w:r>
    </w:p>
    <w:p w14:paraId="3F62CDCC" w14:textId="77777777" w:rsidR="00AE42C0" w:rsidRDefault="00000000">
      <w:pPr>
        <w:pStyle w:val="BodyText"/>
      </w:pPr>
      <w:r>
        <w:t>[16] M. Fowler, Domain-Specific Languages, Addison-Wesley, Boston, 2010.</w:t>
      </w:r>
    </w:p>
    <w:p w14:paraId="4C7DD849" w14:textId="77777777" w:rsidR="00AE42C0" w:rsidRDefault="00000000">
      <w:pPr>
        <w:pStyle w:val="BodyText"/>
      </w:pPr>
      <w:r>
        <w:t>[17] A.V. Aho, M.S. Lam, R. Sethi, J.D. Ullman, Compilers: Principles, Techniques, and Tools, second ed., Addison-Wesley, Boston, 2006.</w:t>
      </w:r>
    </w:p>
    <w:p w14:paraId="12DF45CF" w14:textId="77777777" w:rsidR="00AE42C0" w:rsidRDefault="00000000">
      <w:pPr>
        <w:pStyle w:val="BodyText"/>
      </w:pPr>
      <w:r>
        <w:t>[18] C.V. Chien, Holding Up and Holding Out, Michigan Telecommunications and Technology Law Review 21 (1) (2014) 1–44.</w:t>
      </w:r>
    </w:p>
    <w:p w14:paraId="1A85CF26" w14:textId="77777777" w:rsidR="00AE42C0" w:rsidRDefault="00000000">
      <w:pPr>
        <w:pStyle w:val="BodyText"/>
      </w:pPr>
      <w:r>
        <w:t>[19] R. Bekkers, A. Updegrove, A Study of IPR Policies and Practices of a Representative Group of Standards Setting Organizations Worldwide, in: Proc. National Academies Symposium on Intellectual Property Rights, National Research Council, Washington, DC, 2012.</w:t>
      </w:r>
    </w:p>
    <w:p w14:paraId="1A689A15" w14:textId="77777777" w:rsidR="00AE42C0" w:rsidRDefault="00000000">
      <w:pPr>
        <w:pStyle w:val="BodyText"/>
      </w:pPr>
      <w:r>
        <w:t>[20] D. Orchard, V.-B. Liepelt, H. Eades III, Quantitative Program Reasoning with Graded Modal Types, Proc. ACM Program. Lang. 3 (ICFP) (2019) Article 110. https://doi.org/10.1145/3341714.</w:t>
      </w:r>
    </w:p>
    <w:p w14:paraId="39EBD0BA" w14:textId="77777777" w:rsidR="00AE42C0" w:rsidRDefault="00000000">
      <w:pPr>
        <w:pStyle w:val="BodyText"/>
      </w:pPr>
      <w:r>
        <w:t>[21] J. Mohun, A. Roberts, Cracking the Code: Rulemaking for Humans and Machines, OECD Working Papers on Public Governance, No. 42, OECD Publishing, Paris, 2020. https://doi.org/10.1787/3afe6ba5-en.</w:t>
      </w:r>
    </w:p>
    <w:p w14:paraId="26B332C8" w14:textId="77777777" w:rsidR="00AE42C0" w:rsidRDefault="00000000">
      <w:pPr>
        <w:pStyle w:val="BodyText"/>
      </w:pPr>
      <w:r>
        <w:t>[22] D. Rapson, J. Sheridan, J. Mohun, A. Roberts, Rules as Code for a More Transparent and Efficient Global Economy, Centre for International Governance Innovation (CIGI), Policy Brief No. 187, 2023.</w:t>
      </w:r>
    </w:p>
    <w:p w14:paraId="43AFF9DF" w14:textId="77777777" w:rsidR="00AE42C0" w:rsidRDefault="00000000">
      <w:pPr>
        <w:pStyle w:val="BodyText"/>
      </w:pPr>
      <w:r>
        <w:t>[23] M. Mernik, J. Heering, A.M. Sloane, When and How to Develop Domain-Specific Languages, ACM Comput. Surv. 37 (4) (2005) 316–344. https://doi.org/10.1145/1118890.1118892.</w:t>
      </w:r>
    </w:p>
    <w:p w14:paraId="5111CA56" w14:textId="77777777" w:rsidR="00AE42C0" w:rsidRDefault="00000000">
      <w:pPr>
        <w:pStyle w:val="BodyText"/>
      </w:pPr>
      <w:r>
        <w:t>[24] Java Community Process, JSR 354: Money and Currency API, Java Specification Request, 2015. https://jcp.org/en/jsr/detail?id=354 (accessed 15 December 2024).</w:t>
      </w:r>
    </w:p>
    <w:p w14:paraId="328C156B" w14:textId="77777777" w:rsidR="00AE42C0" w:rsidRDefault="00000000">
      <w:pPr>
        <w:pStyle w:val="BodyText"/>
      </w:pPr>
      <w:r>
        <w:t>[25] P. Cousot, R. Cousot, Abstract Interpretation: A Unified Lattice Model for Static Analysis of Programs by Construction or Approximation of Fixpoints, in: Proc. 4th ACM SIGACT-SIGPLAN Symposium on Principles of Programming Languages (POPL), ACM, 1977, pp. 238–252. https://doi.org/10.1145/512950.512973.</w:t>
      </w:r>
    </w:p>
    <w:p w14:paraId="431E6AFC" w14:textId="77777777" w:rsidR="00AE42C0" w:rsidRDefault="00000000">
      <w:pPr>
        <w:pStyle w:val="BodyText"/>
      </w:pPr>
      <w:r>
        <w:t>[26] T. Dardinier, G. Parthasarathy, P. Müller, Verification-Preserving Inlining in Automatic Separation Logic Verifiers, Proc. ACM Program. Lang. 7 (OOPSLA1) (2023) Article 80. https://doi.org/10.1145/3586054.</w:t>
      </w:r>
    </w:p>
    <w:p w14:paraId="3C0CD4DB" w14:textId="77777777" w:rsidR="00AE42C0" w:rsidRDefault="00000000" w:rsidP="002E7D11">
      <w:pPr>
        <w:pStyle w:val="Heading1"/>
      </w:pPr>
      <w:bookmarkStart w:id="63" w:name="author-biography"/>
      <w:bookmarkEnd w:id="62"/>
      <w:r>
        <w:t>Author Biography</w:t>
      </w:r>
    </w:p>
    <w:p w14:paraId="534E9B3E" w14:textId="77777777" w:rsidR="00AE42C0" w:rsidRDefault="00000000">
      <w:pPr>
        <w:pStyle w:val="FirstParagraph"/>
      </w:pPr>
      <w:r>
        <w:rPr>
          <w:b/>
          <w:bCs/>
        </w:rPr>
        <w:t>Valer Bocan, PhD, CSSLP</w:t>
      </w:r>
      <w:r>
        <w:t xml:space="preserve"> is a lecturer and technology researcher at Politehnica University of Timișoara, Romania. He currently serves as director of the national project </w:t>
      </w:r>
      <w:r>
        <w:lastRenderedPageBreak/>
        <w:t>“Innovative Systems and Equipment for Implementing Authorized Measures under National Security Mandates”. With a background in software security, he holds a CSSLP (Certified Secure Software Lifecycle Professional) certification from ISC2 and a PhD in Computer Science. His research interests include information security, artificial intelligence, domain-specific languages, legal technology, and software standards. He has contributed to multiple open-source projects, including IPFees (an IP fee management system), QRNG Data Diode (quantum random number generation infrastructure), and Delta Forth (a Forth language implementation for .NET).</w:t>
      </w:r>
    </w:p>
    <w:p w14:paraId="52EF1995" w14:textId="77777777" w:rsidR="00AE42C0" w:rsidRDefault="00000000" w:rsidP="002E7D11">
      <w:pPr>
        <w:pStyle w:val="Heading1"/>
      </w:pPr>
      <w:bookmarkStart w:id="64" w:name="acknowledgments"/>
      <w:bookmarkEnd w:id="63"/>
      <w:r>
        <w:t>Acknowledgments</w:t>
      </w:r>
    </w:p>
    <w:p w14:paraId="39B55B52" w14:textId="77777777" w:rsidR="00AE42C0" w:rsidRDefault="00000000">
      <w:pPr>
        <w:pStyle w:val="FirstParagraph"/>
      </w:pPr>
      <w:r>
        <w:t>The author gratefully acknowledges Robert Fichter, Ph.D. of Jet IP for his meticulous verification of each jurisdiction implementation in IPFLang, ensuring dollar-accurate calculations across all supported patent offices. Special thanks to Adrian Ivan, M.Sc., of Storya Soft for comprehensive end-to-end application testing, and to Cătălin Bălășcuță for his valuable contributions in implementing recurring fee calculation patterns and supporting Fichter’s validation work.</w:t>
      </w:r>
    </w:p>
    <w:p w14:paraId="7D7D2BBB" w14:textId="77777777" w:rsidR="00AE42C0" w:rsidRDefault="00000000" w:rsidP="002E7D11">
      <w:pPr>
        <w:pStyle w:val="Heading1"/>
      </w:pPr>
      <w:bookmarkStart w:id="65" w:name="data-availability-statement"/>
      <w:bookmarkEnd w:id="64"/>
      <w:r>
        <w:t>Data Availability Statement</w:t>
      </w:r>
    </w:p>
    <w:p w14:paraId="4603A80F" w14:textId="55C8C8E7" w:rsidR="00AE42C0" w:rsidRDefault="00000000">
      <w:pPr>
        <w:pStyle w:val="FirstParagraph"/>
      </w:pPr>
      <w:r>
        <w:t xml:space="preserve">The </w:t>
      </w:r>
      <w:proofErr w:type="spellStart"/>
      <w:r>
        <w:t>IPFLang</w:t>
      </w:r>
      <w:proofErr w:type="spellEnd"/>
      <w:r>
        <w:t xml:space="preserve"> reference implementation, including all example files and test suite, is available under GPLv3 at </w:t>
      </w:r>
      <w:hyperlink r:id="rId32" w:history="1">
        <w:r w:rsidR="002E7D11" w:rsidRPr="00E058E8">
          <w:rPr>
            <w:rStyle w:val="Hyperlink"/>
          </w:rPr>
          <w:t>https://github.com/vbocan/IPFLang</w:t>
        </w:r>
      </w:hyperlink>
      <w:r>
        <w:t>.</w:t>
      </w:r>
    </w:p>
    <w:p w14:paraId="3078EDD5" w14:textId="77777777" w:rsidR="00AE42C0" w:rsidRDefault="00000000" w:rsidP="002E7D11">
      <w:pPr>
        <w:pStyle w:val="Heading1"/>
      </w:pPr>
      <w:bookmarkStart w:id="66" w:name="funding"/>
      <w:bookmarkEnd w:id="65"/>
      <w:r>
        <w:t>Funding</w:t>
      </w:r>
    </w:p>
    <w:p w14:paraId="2A48D8F9" w14:textId="77777777" w:rsidR="00AE42C0" w:rsidRDefault="00000000">
      <w:pPr>
        <w:pStyle w:val="FirstParagraph"/>
      </w:pPr>
      <w:r>
        <w:t>This research did not receive any specific grant from funding agencies in the public, commercial, or not-for-profit sectors.</w:t>
      </w:r>
    </w:p>
    <w:p w14:paraId="11A16A80" w14:textId="77777777" w:rsidR="00AE42C0" w:rsidRDefault="00000000" w:rsidP="002E7D11">
      <w:pPr>
        <w:pStyle w:val="Heading1"/>
      </w:pPr>
      <w:bookmarkStart w:id="67" w:name="credit-author-contribution-statement"/>
      <w:bookmarkStart w:id="68" w:name="_Hlk217229947"/>
      <w:bookmarkEnd w:id="66"/>
      <w:proofErr w:type="spellStart"/>
      <w:r>
        <w:t>CRediT</w:t>
      </w:r>
      <w:proofErr w:type="spellEnd"/>
      <w:r>
        <w:t xml:space="preserve"> Author Contribution Statement</w:t>
      </w:r>
    </w:p>
    <w:bookmarkEnd w:id="68"/>
    <w:p w14:paraId="787F647F" w14:textId="0399371A" w:rsidR="00AE42C0" w:rsidRDefault="00000000">
      <w:pPr>
        <w:pStyle w:val="FirstParagraph"/>
      </w:pPr>
      <w:r>
        <w:rPr>
          <w:b/>
          <w:bCs/>
        </w:rPr>
        <w:t>Valer Bocan:</w:t>
      </w:r>
      <w:r>
        <w:t xml:space="preserve"> Conceptualization, Methodology, Software, Validation, Formal analysis, Investigation, Resources, Data curation, Writing - original draft, Writing - </w:t>
      </w:r>
      <w:r w:rsidR="007A0CDA">
        <w:t>7000</w:t>
      </w:r>
      <w:r>
        <w:t>review &amp; editing, Visualization, Supervision, Project administration.</w:t>
      </w:r>
    </w:p>
    <w:p w14:paraId="1B526549" w14:textId="77777777" w:rsidR="00C44736" w:rsidRPr="00C44736" w:rsidRDefault="00C44736" w:rsidP="002E7D11">
      <w:pPr>
        <w:pStyle w:val="Heading1"/>
      </w:pPr>
      <w:r w:rsidRPr="00C44736">
        <w:t>Declaration of Generative AI and AI-assisted technologies in the writing process</w:t>
      </w:r>
    </w:p>
    <w:p w14:paraId="43045226" w14:textId="51D1817E" w:rsidR="00C44736" w:rsidRPr="00C44736" w:rsidRDefault="00C44736" w:rsidP="00C44736">
      <w:pPr>
        <w:pStyle w:val="BodyText"/>
      </w:pPr>
      <w:r w:rsidRPr="00C44736">
        <w:t xml:space="preserve">During the preparation of this work, the author used </w:t>
      </w:r>
      <w:r w:rsidR="002E7D11">
        <w:t>Claude (Anthropic)</w:t>
      </w:r>
      <w:r w:rsidRPr="00C44736">
        <w:t xml:space="preserve"> to improve the language and readability of the manuscript. After using these tools, the author reviewed and edited the content as needed and take</w:t>
      </w:r>
      <w:r w:rsidR="002E7D11">
        <w:t>s</w:t>
      </w:r>
      <w:r w:rsidRPr="00C44736">
        <w:t xml:space="preserve"> full responsibility for the content of the publication.</w:t>
      </w:r>
    </w:p>
    <w:p w14:paraId="7C1C8378" w14:textId="77777777" w:rsidR="00AE42C0" w:rsidRDefault="00000000" w:rsidP="002E7D11">
      <w:pPr>
        <w:pStyle w:val="Heading1"/>
      </w:pPr>
      <w:bookmarkStart w:id="69" w:name="declaration-of-competing-interests"/>
      <w:bookmarkEnd w:id="67"/>
      <w:r>
        <w:lastRenderedPageBreak/>
        <w:t>Declaration of Competing Interests</w:t>
      </w:r>
    </w:p>
    <w:p w14:paraId="6CEC90C5" w14:textId="77777777" w:rsidR="00AE42C0" w:rsidRDefault="00000000">
      <w:pPr>
        <w:pStyle w:val="FirstParagraph"/>
      </w:pPr>
      <w:r>
        <w:t>The author declares no competing interests. IPFLang is released as open-source software with no commercial affiliations.</w:t>
      </w:r>
      <w:bookmarkEnd w:id="0"/>
      <w:bookmarkEnd w:id="69"/>
    </w:p>
    <w:sectPr w:rsidR="00AE42C0" w:rsidSect="005B1673">
      <w:footerReference w:type="default" r:id="rId33"/>
      <w:footnotePr>
        <w:numRestart w:val="eachSect"/>
      </w:footnotePr>
      <w:pgSz w:w="11906" w:h="16838" w:code="9"/>
      <w:pgMar w:top="1440" w:right="1440" w:bottom="1440" w:left="1440"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BABB" w14:textId="77777777" w:rsidR="00914211" w:rsidRDefault="00914211" w:rsidP="005B1673">
      <w:pPr>
        <w:spacing w:after="0"/>
      </w:pPr>
      <w:r>
        <w:separator/>
      </w:r>
    </w:p>
  </w:endnote>
  <w:endnote w:type="continuationSeparator" w:id="0">
    <w:p w14:paraId="6C0FC9E1" w14:textId="77777777" w:rsidR="00914211" w:rsidRDefault="00914211" w:rsidP="005B16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522815"/>
      <w:docPartObj>
        <w:docPartGallery w:val="Page Numbers (Bottom of Page)"/>
        <w:docPartUnique/>
      </w:docPartObj>
    </w:sdtPr>
    <w:sdtEndPr>
      <w:rPr>
        <w:noProof/>
      </w:rPr>
    </w:sdtEndPr>
    <w:sdtContent>
      <w:p w14:paraId="15B5557B" w14:textId="6CCF6EA7" w:rsidR="005B1673" w:rsidRDefault="005B16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EBE50E" w14:textId="77777777" w:rsidR="005B1673" w:rsidRDefault="005B1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0BFD" w14:textId="77777777" w:rsidR="00914211" w:rsidRDefault="00914211" w:rsidP="005B1673">
      <w:pPr>
        <w:spacing w:after="0"/>
      </w:pPr>
      <w:r>
        <w:separator/>
      </w:r>
    </w:p>
  </w:footnote>
  <w:footnote w:type="continuationSeparator" w:id="0">
    <w:p w14:paraId="3D9604F3" w14:textId="77777777" w:rsidR="00914211" w:rsidRDefault="00914211" w:rsidP="005B16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2C2E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6439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D647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7125B58"/>
    <w:multiLevelType w:val="hybridMultilevel"/>
    <w:tmpl w:val="318E796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2035691406">
    <w:abstractNumId w:val="0"/>
  </w:num>
  <w:num w:numId="2" w16cid:durableId="1474566781">
    <w:abstractNumId w:val="1"/>
  </w:num>
  <w:num w:numId="3" w16cid:durableId="419103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5340990">
    <w:abstractNumId w:val="1"/>
  </w:num>
  <w:num w:numId="5" w16cid:durableId="1037002941">
    <w:abstractNumId w:val="1"/>
  </w:num>
  <w:num w:numId="6" w16cid:durableId="73840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158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42C0"/>
    <w:rsid w:val="000B056C"/>
    <w:rsid w:val="000B3E3A"/>
    <w:rsid w:val="00213E7E"/>
    <w:rsid w:val="0024681B"/>
    <w:rsid w:val="002E7D11"/>
    <w:rsid w:val="003352A6"/>
    <w:rsid w:val="00367D71"/>
    <w:rsid w:val="0039012D"/>
    <w:rsid w:val="004B3063"/>
    <w:rsid w:val="00543EC1"/>
    <w:rsid w:val="005901F0"/>
    <w:rsid w:val="005B1673"/>
    <w:rsid w:val="006E0BB8"/>
    <w:rsid w:val="00765FB5"/>
    <w:rsid w:val="007A0CDA"/>
    <w:rsid w:val="007E0509"/>
    <w:rsid w:val="00833F9B"/>
    <w:rsid w:val="008602BD"/>
    <w:rsid w:val="00914211"/>
    <w:rsid w:val="0093056B"/>
    <w:rsid w:val="00A72313"/>
    <w:rsid w:val="00A858E8"/>
    <w:rsid w:val="00AE42C0"/>
    <w:rsid w:val="00B044D9"/>
    <w:rsid w:val="00B44D06"/>
    <w:rsid w:val="00B66F12"/>
    <w:rsid w:val="00BA0017"/>
    <w:rsid w:val="00BE49E0"/>
    <w:rsid w:val="00C44736"/>
    <w:rsid w:val="00CE294B"/>
    <w:rsid w:val="00D81084"/>
    <w:rsid w:val="00D91184"/>
    <w:rsid w:val="00E13A48"/>
    <w:rsid w:val="00E50823"/>
    <w:rsid w:val="00EB5DA1"/>
    <w:rsid w:val="00FA464F"/>
    <w:rsid w:val="00FE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7B3E"/>
  <w15:docId w15:val="{80167EDD-986F-46FF-AA1C-ADF97AEC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A0CDA"/>
    <w:rPr>
      <w:color w:val="605E5C"/>
      <w:shd w:val="clear" w:color="auto" w:fill="E1DFDD"/>
    </w:rPr>
  </w:style>
  <w:style w:type="paragraph" w:styleId="Header">
    <w:name w:val="header"/>
    <w:basedOn w:val="Normal"/>
    <w:link w:val="HeaderChar"/>
    <w:rsid w:val="005B1673"/>
    <w:pPr>
      <w:tabs>
        <w:tab w:val="center" w:pos="4513"/>
        <w:tab w:val="right" w:pos="9026"/>
      </w:tabs>
      <w:spacing w:after="0"/>
    </w:pPr>
  </w:style>
  <w:style w:type="character" w:customStyle="1" w:styleId="HeaderChar">
    <w:name w:val="Header Char"/>
    <w:basedOn w:val="DefaultParagraphFont"/>
    <w:link w:val="Header"/>
    <w:rsid w:val="005B1673"/>
  </w:style>
  <w:style w:type="paragraph" w:styleId="Footer">
    <w:name w:val="footer"/>
    <w:basedOn w:val="Normal"/>
    <w:link w:val="FooterChar"/>
    <w:uiPriority w:val="99"/>
    <w:rsid w:val="005B1673"/>
    <w:pPr>
      <w:tabs>
        <w:tab w:val="center" w:pos="4513"/>
        <w:tab w:val="right" w:pos="9026"/>
      </w:tabs>
      <w:spacing w:after="0"/>
    </w:pPr>
  </w:style>
  <w:style w:type="character" w:customStyle="1" w:styleId="FooterChar">
    <w:name w:val="Footer Char"/>
    <w:basedOn w:val="DefaultParagraphFont"/>
    <w:link w:val="Footer"/>
    <w:uiPriority w:val="99"/>
    <w:rsid w:val="005B1673"/>
  </w:style>
  <w:style w:type="table" w:styleId="ListTable3">
    <w:name w:val="List Table 3"/>
    <w:basedOn w:val="TableNormal"/>
    <w:uiPriority w:val="48"/>
    <w:rsid w:val="00D81084"/>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rsid w:val="00367D71"/>
    <w:rPr>
      <w:color w:val="666666"/>
    </w:rPr>
  </w:style>
  <w:style w:type="character" w:customStyle="1" w:styleId="BodyTextChar">
    <w:name w:val="Body Text Char"/>
    <w:basedOn w:val="DefaultParagraphFont"/>
    <w:link w:val="BodyText"/>
    <w:rsid w:val="00E50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microsoft.com/office/2007/relationships/diagramDrawing" Target="diagrams/drawing3.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Colors" Target="diagrams/colors3.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14.png"/><Relationship Id="rId29"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diagramQuickStyle" Target="diagrams/quickStyle3.xml"/><Relationship Id="rId32" Type="http://schemas.openxmlformats.org/officeDocument/2006/relationships/hyperlink" Target="https://github.com/vbocan/IPFLang" TargetMode="Externa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Layout" Target="diagrams/layout3.xml"/><Relationship Id="rId28" Type="http://schemas.openxmlformats.org/officeDocument/2006/relationships/diagramLayout" Target="diagrams/layout4.xml"/><Relationship Id="rId10" Type="http://schemas.openxmlformats.org/officeDocument/2006/relationships/diagramData" Target="diagrams/data1.xml"/><Relationship Id="rId19" Type="http://schemas.microsoft.com/office/2007/relationships/diagramDrawing" Target="diagrams/drawing2.xml"/><Relationship Id="rId31" Type="http://schemas.microsoft.com/office/2007/relationships/diagramDrawing" Target="diagrams/drawing4.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theme" Target="theme/theme1.xml"/><Relationship Id="rId8" Type="http://schemas.openxmlformats.org/officeDocument/2006/relationships/hyperlink" Target="mailto:valer.bocan@upt.ro" TargetMode="External"/></Relationships>
</file>

<file path=word/diagrams/_rels/data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144FEE-A982-48B9-8AFD-F4D2837BFC39}" type="doc">
      <dgm:prSet loTypeId="urn:microsoft.com/office/officeart/2005/8/layout/hList7" loCatId="list" qsTypeId="urn:microsoft.com/office/officeart/2005/8/quickstyle/simple1" qsCatId="simple" csTypeId="urn:microsoft.com/office/officeart/2005/8/colors/colorful1" csCatId="colorful" phldr="1"/>
      <dgm:spPr/>
    </dgm:pt>
    <dgm:pt modelId="{F9EEF3A2-CEE8-4EBD-8091-5365CAF2AF44}">
      <dgm:prSet phldrT="[Text]" custT="1"/>
      <dgm:spPr/>
      <dgm:t>
        <a:bodyPr/>
        <a:lstStyle/>
        <a:p>
          <a:r>
            <a:rPr lang="ro-RO" sz="1000" b="1"/>
            <a:t>VERSION</a:t>
          </a:r>
          <a:r>
            <a:rPr lang="ro-RO" sz="1000"/>
            <a:t> Declaration (optional)</a:t>
          </a:r>
        </a:p>
      </dgm:t>
    </dgm:pt>
    <dgm:pt modelId="{171AC40A-31C5-48EF-90AA-965BF4583A87}" type="parTrans" cxnId="{663D36B0-C0E7-496D-9EDB-39BA8CB610A5}">
      <dgm:prSet/>
      <dgm:spPr/>
      <dgm:t>
        <a:bodyPr/>
        <a:lstStyle/>
        <a:p>
          <a:endParaRPr lang="ro-RO"/>
        </a:p>
      </dgm:t>
    </dgm:pt>
    <dgm:pt modelId="{262067C5-4D28-4BE8-B3C2-1BFE30AE2EFD}" type="sibTrans" cxnId="{663D36B0-C0E7-496D-9EDB-39BA8CB610A5}">
      <dgm:prSet/>
      <dgm:spPr/>
      <dgm:t>
        <a:bodyPr/>
        <a:lstStyle/>
        <a:p>
          <a:endParaRPr lang="ro-RO"/>
        </a:p>
      </dgm:t>
    </dgm:pt>
    <dgm:pt modelId="{70201B1B-3B81-4EC4-99FB-FDB07502202E}">
      <dgm:prSet phldrT="[Text]" custT="1"/>
      <dgm:spPr/>
      <dgm:t>
        <a:bodyPr/>
        <a:lstStyle/>
        <a:p>
          <a:r>
            <a:rPr lang="ro-RO" sz="1000" b="1"/>
            <a:t>Group Definitions</a:t>
          </a:r>
          <a:r>
            <a:rPr lang="ro-RO" sz="1000"/>
            <a:t> (optional)</a:t>
          </a:r>
        </a:p>
      </dgm:t>
    </dgm:pt>
    <dgm:pt modelId="{646FAA48-0EEE-425A-A97D-2952E0548D7B}" type="parTrans" cxnId="{6C1C592D-7486-4D22-BC6B-5922E99E8A09}">
      <dgm:prSet/>
      <dgm:spPr/>
      <dgm:t>
        <a:bodyPr/>
        <a:lstStyle/>
        <a:p>
          <a:endParaRPr lang="ro-RO"/>
        </a:p>
      </dgm:t>
    </dgm:pt>
    <dgm:pt modelId="{4AECCFA5-EA59-46E2-90A9-81263BD1460F}" type="sibTrans" cxnId="{6C1C592D-7486-4D22-BC6B-5922E99E8A09}">
      <dgm:prSet/>
      <dgm:spPr/>
      <dgm:t>
        <a:bodyPr/>
        <a:lstStyle/>
        <a:p>
          <a:endParaRPr lang="ro-RO"/>
        </a:p>
      </dgm:t>
    </dgm:pt>
    <dgm:pt modelId="{D9458F6B-C0CD-453C-BC12-D6119A6E8981}">
      <dgm:prSet phldrT="[Text]" custT="1"/>
      <dgm:spPr/>
      <dgm:t>
        <a:bodyPr/>
        <a:lstStyle/>
        <a:p>
          <a:r>
            <a:rPr lang="ro-RO" sz="1000" b="1"/>
            <a:t>Inputs</a:t>
          </a:r>
          <a:br>
            <a:rPr lang="ro-RO" sz="1000"/>
          </a:br>
          <a:r>
            <a:rPr lang="ro-RO" sz="600"/>
            <a:t>LIST (single choice)</a:t>
          </a:r>
        </a:p>
        <a:p>
          <a:r>
            <a:rPr lang="ro-RO" sz="600"/>
            <a:t>MULTILIST (multichoice)</a:t>
          </a:r>
        </a:p>
        <a:p>
          <a:r>
            <a:rPr lang="ro-RO" sz="600"/>
            <a:t>NUMBER (constrained)</a:t>
          </a:r>
        </a:p>
        <a:p>
          <a:r>
            <a:rPr lang="ro-RO" sz="600"/>
            <a:t>BOOLEAN(yes/no)</a:t>
          </a:r>
        </a:p>
        <a:p>
          <a:r>
            <a:rPr lang="ro-RO" sz="600"/>
            <a:t>DATE (temporal)</a:t>
          </a:r>
        </a:p>
        <a:p>
          <a:r>
            <a:rPr lang="ro-RO" sz="600"/>
            <a:t>AMOUNT</a:t>
          </a:r>
        </a:p>
      </dgm:t>
    </dgm:pt>
    <dgm:pt modelId="{392827CB-FA44-4813-AAE4-ADEB82F91CE7}" type="parTrans" cxnId="{85BB4649-87D9-4032-A765-3B6AD2257616}">
      <dgm:prSet/>
      <dgm:spPr/>
      <dgm:t>
        <a:bodyPr/>
        <a:lstStyle/>
        <a:p>
          <a:endParaRPr lang="ro-RO"/>
        </a:p>
      </dgm:t>
    </dgm:pt>
    <dgm:pt modelId="{B5D64900-C5A1-4E3F-8402-E8995C3544F3}" type="sibTrans" cxnId="{85BB4649-87D9-4032-A765-3B6AD2257616}">
      <dgm:prSet/>
      <dgm:spPr/>
      <dgm:t>
        <a:bodyPr/>
        <a:lstStyle/>
        <a:p>
          <a:endParaRPr lang="ro-RO"/>
        </a:p>
      </dgm:t>
    </dgm:pt>
    <dgm:pt modelId="{CE5024DF-2A85-436B-AF41-3B2F9F0EA275}">
      <dgm:prSet phldrT="[Text]" custT="1"/>
      <dgm:spPr/>
      <dgm:t>
        <a:bodyPr/>
        <a:lstStyle/>
        <a:p>
          <a:r>
            <a:rPr lang="ro-RO" sz="1000" b="1"/>
            <a:t>Fees</a:t>
          </a:r>
        </a:p>
        <a:p>
          <a:r>
            <a:rPr lang="ro-RO" sz="600"/>
            <a:t>COMPUTE FEE name</a:t>
          </a:r>
        </a:p>
        <a:p>
          <a:r>
            <a:rPr lang="ro-RO" sz="600"/>
            <a:t>LET var AS expr</a:t>
          </a:r>
        </a:p>
        <a:p>
          <a:r>
            <a:rPr lang="ro-RO" sz="600"/>
            <a:t>CASE condition AS</a:t>
          </a:r>
        </a:p>
        <a:p>
          <a:r>
            <a:rPr lang="ro-RO" sz="600"/>
            <a:t>YIELD expr</a:t>
          </a:r>
        </a:p>
        <a:p>
          <a:r>
            <a:rPr lang="ro-RO" sz="600"/>
            <a:t>ENDCASE</a:t>
          </a:r>
        </a:p>
        <a:p>
          <a:r>
            <a:rPr lang="ro-RO" sz="600"/>
            <a:t>YEILD expr IF cond</a:t>
          </a:r>
        </a:p>
        <a:p>
          <a:r>
            <a:rPr lang="ro-RO" sz="600"/>
            <a:t>ENDCOMPUTE</a:t>
          </a:r>
        </a:p>
      </dgm:t>
    </dgm:pt>
    <dgm:pt modelId="{8AB1A3DF-E166-4B3C-98A2-D003B5B9A10B}" type="parTrans" cxnId="{B7D662D5-DF39-43EB-A44E-E27446DC5265}">
      <dgm:prSet/>
      <dgm:spPr/>
      <dgm:t>
        <a:bodyPr/>
        <a:lstStyle/>
        <a:p>
          <a:endParaRPr lang="ro-RO"/>
        </a:p>
      </dgm:t>
    </dgm:pt>
    <dgm:pt modelId="{49013041-18B0-4A6D-B210-E5715601A3FA}" type="sibTrans" cxnId="{B7D662D5-DF39-43EB-A44E-E27446DC5265}">
      <dgm:prSet/>
      <dgm:spPr/>
      <dgm:t>
        <a:bodyPr/>
        <a:lstStyle/>
        <a:p>
          <a:endParaRPr lang="ro-RO"/>
        </a:p>
      </dgm:t>
    </dgm:pt>
    <dgm:pt modelId="{94246A1D-1AA2-4C4C-8508-12F0B85BB80E}">
      <dgm:prSet phldrT="[Text]" custT="1"/>
      <dgm:spPr/>
      <dgm:t>
        <a:bodyPr/>
        <a:lstStyle/>
        <a:p>
          <a:r>
            <a:rPr lang="ro-RO" sz="1050" b="1"/>
            <a:t>Verifiy Directives </a:t>
          </a:r>
          <a:r>
            <a:rPr lang="ro-RO" sz="1050"/>
            <a:t>(optional)</a:t>
          </a:r>
        </a:p>
      </dgm:t>
    </dgm:pt>
    <dgm:pt modelId="{DC816DC0-D2E8-4A31-90B7-7ACB172C0DB7}" type="parTrans" cxnId="{E5C67976-49AC-43C1-835E-01976B0D26BB}">
      <dgm:prSet/>
      <dgm:spPr/>
      <dgm:t>
        <a:bodyPr/>
        <a:lstStyle/>
        <a:p>
          <a:endParaRPr lang="ro-RO"/>
        </a:p>
      </dgm:t>
    </dgm:pt>
    <dgm:pt modelId="{625174AA-84F5-486F-B5AB-EA26A2030862}" type="sibTrans" cxnId="{E5C67976-49AC-43C1-835E-01976B0D26BB}">
      <dgm:prSet/>
      <dgm:spPr/>
      <dgm:t>
        <a:bodyPr/>
        <a:lstStyle/>
        <a:p>
          <a:endParaRPr lang="ro-RO"/>
        </a:p>
      </dgm:t>
    </dgm:pt>
    <dgm:pt modelId="{DE11F054-ACAB-4A99-951F-7630A4DFDF4E}">
      <dgm:prSet phldrT="[Text]" custT="1"/>
      <dgm:spPr/>
      <dgm:t>
        <a:bodyPr/>
        <a:lstStyle/>
        <a:p>
          <a:r>
            <a:rPr lang="ro-RO" sz="1000" b="1"/>
            <a:t>RETURN</a:t>
          </a:r>
          <a:r>
            <a:rPr lang="ro-RO" sz="1000"/>
            <a:t> Statements (optional)</a:t>
          </a:r>
        </a:p>
      </dgm:t>
    </dgm:pt>
    <dgm:pt modelId="{ADF3C565-FA15-42A0-957E-86390CC4D4A7}" type="parTrans" cxnId="{B9EECB10-2F21-4122-BA08-FF0490F3A3A5}">
      <dgm:prSet/>
      <dgm:spPr/>
      <dgm:t>
        <a:bodyPr/>
        <a:lstStyle/>
        <a:p>
          <a:endParaRPr lang="ro-RO"/>
        </a:p>
      </dgm:t>
    </dgm:pt>
    <dgm:pt modelId="{6DA54C08-DA67-4FB0-AE2D-B809522146C5}" type="sibTrans" cxnId="{B9EECB10-2F21-4122-BA08-FF0490F3A3A5}">
      <dgm:prSet/>
      <dgm:spPr/>
      <dgm:t>
        <a:bodyPr/>
        <a:lstStyle/>
        <a:p>
          <a:endParaRPr lang="ro-RO"/>
        </a:p>
      </dgm:t>
    </dgm:pt>
    <dgm:pt modelId="{E1D4A494-35FB-4CEB-B88E-89D41F16E57B}" type="pres">
      <dgm:prSet presAssocID="{BF144FEE-A982-48B9-8AFD-F4D2837BFC39}" presName="Name0" presStyleCnt="0">
        <dgm:presLayoutVars>
          <dgm:dir/>
          <dgm:resizeHandles val="exact"/>
        </dgm:presLayoutVars>
      </dgm:prSet>
      <dgm:spPr/>
    </dgm:pt>
    <dgm:pt modelId="{F01B6E5A-AE8B-4F01-A639-9101C9B83068}" type="pres">
      <dgm:prSet presAssocID="{BF144FEE-A982-48B9-8AFD-F4D2837BFC39}" presName="fgShape" presStyleLbl="fgShp" presStyleIdx="0" presStyleCnt="1"/>
      <dgm:spPr/>
    </dgm:pt>
    <dgm:pt modelId="{2F8C0CB0-E576-40A1-A385-57BD35E39EB5}" type="pres">
      <dgm:prSet presAssocID="{BF144FEE-A982-48B9-8AFD-F4D2837BFC39}" presName="linComp" presStyleCnt="0"/>
      <dgm:spPr/>
    </dgm:pt>
    <dgm:pt modelId="{8EB7A785-D08C-46B7-9DE2-EEB77EC4E5AD}" type="pres">
      <dgm:prSet presAssocID="{F9EEF3A2-CEE8-4EBD-8091-5365CAF2AF44}" presName="compNode" presStyleCnt="0"/>
      <dgm:spPr/>
    </dgm:pt>
    <dgm:pt modelId="{64BA1B26-E71F-4FB2-A5DD-F14C7DCB7FF3}" type="pres">
      <dgm:prSet presAssocID="{F9EEF3A2-CEE8-4EBD-8091-5365CAF2AF44}" presName="bkgdShape" presStyleLbl="node1" presStyleIdx="0" presStyleCnt="6"/>
      <dgm:spPr/>
    </dgm:pt>
    <dgm:pt modelId="{A4E76E0B-7CCB-4B8C-8BC9-E702E4E0AAC4}" type="pres">
      <dgm:prSet presAssocID="{F9EEF3A2-CEE8-4EBD-8091-5365CAF2AF44}" presName="nodeTx" presStyleLbl="node1" presStyleIdx="0" presStyleCnt="6">
        <dgm:presLayoutVars>
          <dgm:bulletEnabled val="1"/>
        </dgm:presLayoutVars>
      </dgm:prSet>
      <dgm:spPr/>
    </dgm:pt>
    <dgm:pt modelId="{8DD43A03-69E1-4C1B-890A-CEDE69DC30F2}" type="pres">
      <dgm:prSet presAssocID="{F9EEF3A2-CEE8-4EBD-8091-5365CAF2AF44}" presName="invisiNode" presStyleLbl="node1" presStyleIdx="0" presStyleCnt="6"/>
      <dgm:spPr/>
    </dgm:pt>
    <dgm:pt modelId="{830D70F4-6301-41B1-BD5C-09C51FBF4443}" type="pres">
      <dgm:prSet presAssocID="{F9EEF3A2-CEE8-4EBD-8091-5365CAF2AF44}" presName="imagNode" presStyleLbl="fgImgPlace1" presStyleIdx="0" presStyleCnt="6"/>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3d Glasses outline"/>
        </a:ext>
      </dgm:extLst>
    </dgm:pt>
    <dgm:pt modelId="{9234D592-BE90-42F8-AAE5-A7A45D5C4691}" type="pres">
      <dgm:prSet presAssocID="{262067C5-4D28-4BE8-B3C2-1BFE30AE2EFD}" presName="sibTrans" presStyleLbl="sibTrans2D1" presStyleIdx="0" presStyleCnt="0"/>
      <dgm:spPr/>
    </dgm:pt>
    <dgm:pt modelId="{A28FE4FD-CB22-4E83-B551-0FEDC021F0A6}" type="pres">
      <dgm:prSet presAssocID="{70201B1B-3B81-4EC4-99FB-FDB07502202E}" presName="compNode" presStyleCnt="0"/>
      <dgm:spPr/>
    </dgm:pt>
    <dgm:pt modelId="{BF77AB94-60C8-4DBB-9454-FE1EAD168D71}" type="pres">
      <dgm:prSet presAssocID="{70201B1B-3B81-4EC4-99FB-FDB07502202E}" presName="bkgdShape" presStyleLbl="node1" presStyleIdx="1" presStyleCnt="6"/>
      <dgm:spPr/>
    </dgm:pt>
    <dgm:pt modelId="{2793704D-4C12-4A33-93A0-BD318C26F716}" type="pres">
      <dgm:prSet presAssocID="{70201B1B-3B81-4EC4-99FB-FDB07502202E}" presName="nodeTx" presStyleLbl="node1" presStyleIdx="1" presStyleCnt="6">
        <dgm:presLayoutVars>
          <dgm:bulletEnabled val="1"/>
        </dgm:presLayoutVars>
      </dgm:prSet>
      <dgm:spPr/>
    </dgm:pt>
    <dgm:pt modelId="{F2E168AC-2DF9-4BF8-BB88-E01894862C18}" type="pres">
      <dgm:prSet presAssocID="{70201B1B-3B81-4EC4-99FB-FDB07502202E}" presName="invisiNode" presStyleLbl="node1" presStyleIdx="1" presStyleCnt="6"/>
      <dgm:spPr/>
    </dgm:pt>
    <dgm:pt modelId="{2AE2D1C0-A645-4744-B068-58E346CB4B00}" type="pres">
      <dgm:prSet presAssocID="{70201B1B-3B81-4EC4-99FB-FDB07502202E}" presName="imagNode" presStyleLbl="fgImgPlace1" presStyleIdx="1" presStyleCnt="6"/>
      <dgm:spPr>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dgm:spPr>
      <dgm:extLst>
        <a:ext uri="{E40237B7-FDA0-4F09-8148-C483321AD2D9}">
          <dgm14:cNvPr xmlns:dgm14="http://schemas.microsoft.com/office/drawing/2010/diagram" id="0" name="" descr="Network outline"/>
        </a:ext>
      </dgm:extLst>
    </dgm:pt>
    <dgm:pt modelId="{05BC2A79-3617-4ED8-B585-1E647992C90A}" type="pres">
      <dgm:prSet presAssocID="{4AECCFA5-EA59-46E2-90A9-81263BD1460F}" presName="sibTrans" presStyleLbl="sibTrans2D1" presStyleIdx="0" presStyleCnt="0"/>
      <dgm:spPr/>
    </dgm:pt>
    <dgm:pt modelId="{D86AF7B7-0A08-4B77-9B2B-5C4C5E7C8025}" type="pres">
      <dgm:prSet presAssocID="{D9458F6B-C0CD-453C-BC12-D6119A6E8981}" presName="compNode" presStyleCnt="0"/>
      <dgm:spPr/>
    </dgm:pt>
    <dgm:pt modelId="{BBC4A98B-6472-4E69-895E-7C230EA9161C}" type="pres">
      <dgm:prSet presAssocID="{D9458F6B-C0CD-453C-BC12-D6119A6E8981}" presName="bkgdShape" presStyleLbl="node1" presStyleIdx="2" presStyleCnt="6"/>
      <dgm:spPr/>
    </dgm:pt>
    <dgm:pt modelId="{DC1F7517-C3E8-423A-B61D-DF65736C3008}" type="pres">
      <dgm:prSet presAssocID="{D9458F6B-C0CD-453C-BC12-D6119A6E8981}" presName="nodeTx" presStyleLbl="node1" presStyleIdx="2" presStyleCnt="6">
        <dgm:presLayoutVars>
          <dgm:bulletEnabled val="1"/>
        </dgm:presLayoutVars>
      </dgm:prSet>
      <dgm:spPr/>
    </dgm:pt>
    <dgm:pt modelId="{6057A642-7A02-4D0B-A808-573CBE187405}" type="pres">
      <dgm:prSet presAssocID="{D9458F6B-C0CD-453C-BC12-D6119A6E8981}" presName="invisiNode" presStyleLbl="node1" presStyleIdx="2" presStyleCnt="6"/>
      <dgm:spPr/>
    </dgm:pt>
    <dgm:pt modelId="{0A80C0DD-4903-4031-9754-FAA63F9E4F0C}" type="pres">
      <dgm:prSet presAssocID="{D9458F6B-C0CD-453C-BC12-D6119A6E8981}" presName="imagNode" presStyleLbl="fgImgPlace1" presStyleIdx="2" presStyleCnt="6"/>
      <dgm:spPr>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dgm:spPr>
      <dgm:extLst>
        <a:ext uri="{E40237B7-FDA0-4F09-8148-C483321AD2D9}">
          <dgm14:cNvPr xmlns:dgm14="http://schemas.microsoft.com/office/drawing/2010/diagram" id="0" name="" descr="Keyboard outline"/>
        </a:ext>
      </dgm:extLst>
    </dgm:pt>
    <dgm:pt modelId="{BDF95605-AC7E-4032-A728-BA4E633566E9}" type="pres">
      <dgm:prSet presAssocID="{B5D64900-C5A1-4E3F-8402-E8995C3544F3}" presName="sibTrans" presStyleLbl="sibTrans2D1" presStyleIdx="0" presStyleCnt="0"/>
      <dgm:spPr/>
    </dgm:pt>
    <dgm:pt modelId="{0545A41A-429F-48F4-802F-4D40CF32B19D}" type="pres">
      <dgm:prSet presAssocID="{CE5024DF-2A85-436B-AF41-3B2F9F0EA275}" presName="compNode" presStyleCnt="0"/>
      <dgm:spPr/>
    </dgm:pt>
    <dgm:pt modelId="{ADD93F6F-E885-4CFA-870E-95F6AFB929C9}" type="pres">
      <dgm:prSet presAssocID="{CE5024DF-2A85-436B-AF41-3B2F9F0EA275}" presName="bkgdShape" presStyleLbl="node1" presStyleIdx="3" presStyleCnt="6"/>
      <dgm:spPr/>
    </dgm:pt>
    <dgm:pt modelId="{15BFB79C-7EB2-4E25-AE01-2BD20B0604DE}" type="pres">
      <dgm:prSet presAssocID="{CE5024DF-2A85-436B-AF41-3B2F9F0EA275}" presName="nodeTx" presStyleLbl="node1" presStyleIdx="3" presStyleCnt="6">
        <dgm:presLayoutVars>
          <dgm:bulletEnabled val="1"/>
        </dgm:presLayoutVars>
      </dgm:prSet>
      <dgm:spPr/>
    </dgm:pt>
    <dgm:pt modelId="{DB91857C-EFBC-4EBA-8445-9C70D8910A75}" type="pres">
      <dgm:prSet presAssocID="{CE5024DF-2A85-436B-AF41-3B2F9F0EA275}" presName="invisiNode" presStyleLbl="node1" presStyleIdx="3" presStyleCnt="6"/>
      <dgm:spPr/>
    </dgm:pt>
    <dgm:pt modelId="{2F51B1E1-C32E-4FE4-B283-0A0B1D0AF218}" type="pres">
      <dgm:prSet presAssocID="{CE5024DF-2A85-436B-AF41-3B2F9F0EA275}" presName="imagNode" presStyleLbl="fgImgPlace1" presStyleIdx="3" presStyleCnt="6"/>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Money with solid fill"/>
        </a:ext>
      </dgm:extLst>
    </dgm:pt>
    <dgm:pt modelId="{754E7DDF-673A-4797-99A4-51D1F1D8F32A}" type="pres">
      <dgm:prSet presAssocID="{49013041-18B0-4A6D-B210-E5715601A3FA}" presName="sibTrans" presStyleLbl="sibTrans2D1" presStyleIdx="0" presStyleCnt="0"/>
      <dgm:spPr/>
    </dgm:pt>
    <dgm:pt modelId="{4F03C78B-BA9C-4A10-AC6C-1363CE0F4B6C}" type="pres">
      <dgm:prSet presAssocID="{94246A1D-1AA2-4C4C-8508-12F0B85BB80E}" presName="compNode" presStyleCnt="0"/>
      <dgm:spPr/>
    </dgm:pt>
    <dgm:pt modelId="{53E5778A-4E3C-4AF3-B93E-A694DBEE44D0}" type="pres">
      <dgm:prSet presAssocID="{94246A1D-1AA2-4C4C-8508-12F0B85BB80E}" presName="bkgdShape" presStyleLbl="node1" presStyleIdx="4" presStyleCnt="6"/>
      <dgm:spPr/>
    </dgm:pt>
    <dgm:pt modelId="{5D7E001A-A12B-4679-8D7F-210F43D97A21}" type="pres">
      <dgm:prSet presAssocID="{94246A1D-1AA2-4C4C-8508-12F0B85BB80E}" presName="nodeTx" presStyleLbl="node1" presStyleIdx="4" presStyleCnt="6">
        <dgm:presLayoutVars>
          <dgm:bulletEnabled val="1"/>
        </dgm:presLayoutVars>
      </dgm:prSet>
      <dgm:spPr/>
    </dgm:pt>
    <dgm:pt modelId="{E4CD8DA4-5FCB-4D21-9CBB-108A2CF3A35C}" type="pres">
      <dgm:prSet presAssocID="{94246A1D-1AA2-4C4C-8508-12F0B85BB80E}" presName="invisiNode" presStyleLbl="node1" presStyleIdx="4" presStyleCnt="6"/>
      <dgm:spPr/>
    </dgm:pt>
    <dgm:pt modelId="{4DC2A4AB-D33E-4F6F-9A33-24F11B8C60DC}" type="pres">
      <dgm:prSet presAssocID="{94246A1D-1AA2-4C4C-8508-12F0B85BB80E}" presName="imagNode" presStyleLbl="fgImgPlace1" presStyleIdx="4" presStyleCnt="6"/>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Clipboard Partially Checked outline"/>
        </a:ext>
      </dgm:extLst>
    </dgm:pt>
    <dgm:pt modelId="{2532BDD8-B766-4B97-8AD3-7A23AE7826A5}" type="pres">
      <dgm:prSet presAssocID="{625174AA-84F5-486F-B5AB-EA26A2030862}" presName="sibTrans" presStyleLbl="sibTrans2D1" presStyleIdx="0" presStyleCnt="0"/>
      <dgm:spPr/>
    </dgm:pt>
    <dgm:pt modelId="{9CCD881C-3D4A-4855-A567-F6911320CB86}" type="pres">
      <dgm:prSet presAssocID="{DE11F054-ACAB-4A99-951F-7630A4DFDF4E}" presName="compNode" presStyleCnt="0"/>
      <dgm:spPr/>
    </dgm:pt>
    <dgm:pt modelId="{AA8960FB-908E-47B3-82BA-AFBDEE077E8E}" type="pres">
      <dgm:prSet presAssocID="{DE11F054-ACAB-4A99-951F-7630A4DFDF4E}" presName="bkgdShape" presStyleLbl="node1" presStyleIdx="5" presStyleCnt="6"/>
      <dgm:spPr/>
    </dgm:pt>
    <dgm:pt modelId="{26D7E1CD-4C89-4D78-9584-017FAD49C5D1}" type="pres">
      <dgm:prSet presAssocID="{DE11F054-ACAB-4A99-951F-7630A4DFDF4E}" presName="nodeTx" presStyleLbl="node1" presStyleIdx="5" presStyleCnt="6">
        <dgm:presLayoutVars>
          <dgm:bulletEnabled val="1"/>
        </dgm:presLayoutVars>
      </dgm:prSet>
      <dgm:spPr/>
    </dgm:pt>
    <dgm:pt modelId="{5E903F61-D710-42FB-801D-8F0DE8038CD2}" type="pres">
      <dgm:prSet presAssocID="{DE11F054-ACAB-4A99-951F-7630A4DFDF4E}" presName="invisiNode" presStyleLbl="node1" presStyleIdx="5" presStyleCnt="6"/>
      <dgm:spPr/>
    </dgm:pt>
    <dgm:pt modelId="{813D5726-4186-4F1F-B0A9-156B60A6C2D8}" type="pres">
      <dgm:prSet presAssocID="{DE11F054-ACAB-4A99-951F-7630A4DFDF4E}" presName="imagNode" presStyleLbl="fgImgPlace1" presStyleIdx="5" presStyleCnt="6"/>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Venn diagram outline"/>
        </a:ext>
      </dgm:extLst>
    </dgm:pt>
  </dgm:ptLst>
  <dgm:cxnLst>
    <dgm:cxn modelId="{B9EECB10-2F21-4122-BA08-FF0490F3A3A5}" srcId="{BF144FEE-A982-48B9-8AFD-F4D2837BFC39}" destId="{DE11F054-ACAB-4A99-951F-7630A4DFDF4E}" srcOrd="5" destOrd="0" parTransId="{ADF3C565-FA15-42A0-957E-86390CC4D4A7}" sibTransId="{6DA54C08-DA67-4FB0-AE2D-B809522146C5}"/>
    <dgm:cxn modelId="{AA14E810-76B1-4632-BA13-F540001F5F10}" type="presOf" srcId="{70201B1B-3B81-4EC4-99FB-FDB07502202E}" destId="{BF77AB94-60C8-4DBB-9454-FE1EAD168D71}" srcOrd="0" destOrd="0" presId="urn:microsoft.com/office/officeart/2005/8/layout/hList7"/>
    <dgm:cxn modelId="{6C1C592D-7486-4D22-BC6B-5922E99E8A09}" srcId="{BF144FEE-A982-48B9-8AFD-F4D2837BFC39}" destId="{70201B1B-3B81-4EC4-99FB-FDB07502202E}" srcOrd="1" destOrd="0" parTransId="{646FAA48-0EEE-425A-A97D-2952E0548D7B}" sibTransId="{4AECCFA5-EA59-46E2-90A9-81263BD1460F}"/>
    <dgm:cxn modelId="{F77D233F-B2E4-46D4-B460-F613FCCA70F4}" type="presOf" srcId="{94246A1D-1AA2-4C4C-8508-12F0B85BB80E}" destId="{5D7E001A-A12B-4679-8D7F-210F43D97A21}" srcOrd="1" destOrd="0" presId="urn:microsoft.com/office/officeart/2005/8/layout/hList7"/>
    <dgm:cxn modelId="{10FB0640-9617-41A9-86A8-085F4A780814}" type="presOf" srcId="{F9EEF3A2-CEE8-4EBD-8091-5365CAF2AF44}" destId="{64BA1B26-E71F-4FB2-A5DD-F14C7DCB7FF3}" srcOrd="0" destOrd="0" presId="urn:microsoft.com/office/officeart/2005/8/layout/hList7"/>
    <dgm:cxn modelId="{85BB4649-87D9-4032-A765-3B6AD2257616}" srcId="{BF144FEE-A982-48B9-8AFD-F4D2837BFC39}" destId="{D9458F6B-C0CD-453C-BC12-D6119A6E8981}" srcOrd="2" destOrd="0" parTransId="{392827CB-FA44-4813-AAE4-ADEB82F91CE7}" sibTransId="{B5D64900-C5A1-4E3F-8402-E8995C3544F3}"/>
    <dgm:cxn modelId="{898A8E72-8E78-4642-8365-E2818CABCE8D}" type="presOf" srcId="{BF144FEE-A982-48B9-8AFD-F4D2837BFC39}" destId="{E1D4A494-35FB-4CEB-B88E-89D41F16E57B}" srcOrd="0" destOrd="0" presId="urn:microsoft.com/office/officeart/2005/8/layout/hList7"/>
    <dgm:cxn modelId="{69DC0E75-64F2-43C2-9C24-4E36C5FD010C}" type="presOf" srcId="{70201B1B-3B81-4EC4-99FB-FDB07502202E}" destId="{2793704D-4C12-4A33-93A0-BD318C26F716}" srcOrd="1" destOrd="0" presId="urn:microsoft.com/office/officeart/2005/8/layout/hList7"/>
    <dgm:cxn modelId="{E5C67976-49AC-43C1-835E-01976B0D26BB}" srcId="{BF144FEE-A982-48B9-8AFD-F4D2837BFC39}" destId="{94246A1D-1AA2-4C4C-8508-12F0B85BB80E}" srcOrd="4" destOrd="0" parTransId="{DC816DC0-D2E8-4A31-90B7-7ACB172C0DB7}" sibTransId="{625174AA-84F5-486F-B5AB-EA26A2030862}"/>
    <dgm:cxn modelId="{11C74E7C-2916-4DB8-9E18-BEEE0842644C}" type="presOf" srcId="{DE11F054-ACAB-4A99-951F-7630A4DFDF4E}" destId="{AA8960FB-908E-47B3-82BA-AFBDEE077E8E}" srcOrd="0" destOrd="0" presId="urn:microsoft.com/office/officeart/2005/8/layout/hList7"/>
    <dgm:cxn modelId="{0999B097-B387-46B4-AEBD-49DCA48A0F71}" type="presOf" srcId="{F9EEF3A2-CEE8-4EBD-8091-5365CAF2AF44}" destId="{A4E76E0B-7CCB-4B8C-8BC9-E702E4E0AAC4}" srcOrd="1" destOrd="0" presId="urn:microsoft.com/office/officeart/2005/8/layout/hList7"/>
    <dgm:cxn modelId="{E9645E98-6EF7-43DF-A595-DC2A8E53F2F7}" type="presOf" srcId="{CE5024DF-2A85-436B-AF41-3B2F9F0EA275}" destId="{15BFB79C-7EB2-4E25-AE01-2BD20B0604DE}" srcOrd="1" destOrd="0" presId="urn:microsoft.com/office/officeart/2005/8/layout/hList7"/>
    <dgm:cxn modelId="{663D36B0-C0E7-496D-9EDB-39BA8CB610A5}" srcId="{BF144FEE-A982-48B9-8AFD-F4D2837BFC39}" destId="{F9EEF3A2-CEE8-4EBD-8091-5365CAF2AF44}" srcOrd="0" destOrd="0" parTransId="{171AC40A-31C5-48EF-90AA-965BF4583A87}" sibTransId="{262067C5-4D28-4BE8-B3C2-1BFE30AE2EFD}"/>
    <dgm:cxn modelId="{67728FB3-72FD-4057-99E2-8716D55A7FF9}" type="presOf" srcId="{CE5024DF-2A85-436B-AF41-3B2F9F0EA275}" destId="{ADD93F6F-E885-4CFA-870E-95F6AFB929C9}" srcOrd="0" destOrd="0" presId="urn:microsoft.com/office/officeart/2005/8/layout/hList7"/>
    <dgm:cxn modelId="{18BA21C3-1467-4F12-80B8-D5FB5E7685D1}" type="presOf" srcId="{D9458F6B-C0CD-453C-BC12-D6119A6E8981}" destId="{DC1F7517-C3E8-423A-B61D-DF65736C3008}" srcOrd="1" destOrd="0" presId="urn:microsoft.com/office/officeart/2005/8/layout/hList7"/>
    <dgm:cxn modelId="{F40D03C8-2D84-4A68-ABAE-951F4712231A}" type="presOf" srcId="{94246A1D-1AA2-4C4C-8508-12F0B85BB80E}" destId="{53E5778A-4E3C-4AF3-B93E-A694DBEE44D0}" srcOrd="0" destOrd="0" presId="urn:microsoft.com/office/officeart/2005/8/layout/hList7"/>
    <dgm:cxn modelId="{830E2DD0-A3BE-42AE-AFCB-C9FC18A08231}" type="presOf" srcId="{49013041-18B0-4A6D-B210-E5715601A3FA}" destId="{754E7DDF-673A-4797-99A4-51D1F1D8F32A}" srcOrd="0" destOrd="0" presId="urn:microsoft.com/office/officeart/2005/8/layout/hList7"/>
    <dgm:cxn modelId="{95FF61D5-6B70-40F7-A341-D0383ACE6AA8}" type="presOf" srcId="{262067C5-4D28-4BE8-B3C2-1BFE30AE2EFD}" destId="{9234D592-BE90-42F8-AAE5-A7A45D5C4691}" srcOrd="0" destOrd="0" presId="urn:microsoft.com/office/officeart/2005/8/layout/hList7"/>
    <dgm:cxn modelId="{B7D662D5-DF39-43EB-A44E-E27446DC5265}" srcId="{BF144FEE-A982-48B9-8AFD-F4D2837BFC39}" destId="{CE5024DF-2A85-436B-AF41-3B2F9F0EA275}" srcOrd="3" destOrd="0" parTransId="{8AB1A3DF-E166-4B3C-98A2-D003B5B9A10B}" sibTransId="{49013041-18B0-4A6D-B210-E5715601A3FA}"/>
    <dgm:cxn modelId="{77DD8CD5-573C-46DE-8C2B-96B80C2743E3}" type="presOf" srcId="{DE11F054-ACAB-4A99-951F-7630A4DFDF4E}" destId="{26D7E1CD-4C89-4D78-9584-017FAD49C5D1}" srcOrd="1" destOrd="0" presId="urn:microsoft.com/office/officeart/2005/8/layout/hList7"/>
    <dgm:cxn modelId="{7F07FEDE-28C3-4D64-9183-09AB00BFE718}" type="presOf" srcId="{B5D64900-C5A1-4E3F-8402-E8995C3544F3}" destId="{BDF95605-AC7E-4032-A728-BA4E633566E9}" srcOrd="0" destOrd="0" presId="urn:microsoft.com/office/officeart/2005/8/layout/hList7"/>
    <dgm:cxn modelId="{C9BFDCE7-7E91-4468-8DE2-E4A2616481C3}" type="presOf" srcId="{D9458F6B-C0CD-453C-BC12-D6119A6E8981}" destId="{BBC4A98B-6472-4E69-895E-7C230EA9161C}" srcOrd="0" destOrd="0" presId="urn:microsoft.com/office/officeart/2005/8/layout/hList7"/>
    <dgm:cxn modelId="{2F5D83EA-5442-4DE1-9904-88974EA5CA8C}" type="presOf" srcId="{4AECCFA5-EA59-46E2-90A9-81263BD1460F}" destId="{05BC2A79-3617-4ED8-B585-1E647992C90A}" srcOrd="0" destOrd="0" presId="urn:microsoft.com/office/officeart/2005/8/layout/hList7"/>
    <dgm:cxn modelId="{66C9F5EC-B081-4E9F-B0FD-356C227E92C2}" type="presOf" srcId="{625174AA-84F5-486F-B5AB-EA26A2030862}" destId="{2532BDD8-B766-4B97-8AD3-7A23AE7826A5}" srcOrd="0" destOrd="0" presId="urn:microsoft.com/office/officeart/2005/8/layout/hList7"/>
    <dgm:cxn modelId="{FCE423D5-0FF5-497B-9634-AB9CAD0E4D75}" type="presParOf" srcId="{E1D4A494-35FB-4CEB-B88E-89D41F16E57B}" destId="{F01B6E5A-AE8B-4F01-A639-9101C9B83068}" srcOrd="0" destOrd="0" presId="urn:microsoft.com/office/officeart/2005/8/layout/hList7"/>
    <dgm:cxn modelId="{B8C967A7-8554-4352-960F-3B88BA114EFE}" type="presParOf" srcId="{E1D4A494-35FB-4CEB-B88E-89D41F16E57B}" destId="{2F8C0CB0-E576-40A1-A385-57BD35E39EB5}" srcOrd="1" destOrd="0" presId="urn:microsoft.com/office/officeart/2005/8/layout/hList7"/>
    <dgm:cxn modelId="{40323964-F421-4E6C-8B9A-0D32726F4A92}" type="presParOf" srcId="{2F8C0CB0-E576-40A1-A385-57BD35E39EB5}" destId="{8EB7A785-D08C-46B7-9DE2-EEB77EC4E5AD}" srcOrd="0" destOrd="0" presId="urn:microsoft.com/office/officeart/2005/8/layout/hList7"/>
    <dgm:cxn modelId="{61158B2B-B495-4C08-BB58-030F1CB22506}" type="presParOf" srcId="{8EB7A785-D08C-46B7-9DE2-EEB77EC4E5AD}" destId="{64BA1B26-E71F-4FB2-A5DD-F14C7DCB7FF3}" srcOrd="0" destOrd="0" presId="urn:microsoft.com/office/officeart/2005/8/layout/hList7"/>
    <dgm:cxn modelId="{7671D861-82D2-4D29-BD5D-0D6E9D0DBE56}" type="presParOf" srcId="{8EB7A785-D08C-46B7-9DE2-EEB77EC4E5AD}" destId="{A4E76E0B-7CCB-4B8C-8BC9-E702E4E0AAC4}" srcOrd="1" destOrd="0" presId="urn:microsoft.com/office/officeart/2005/8/layout/hList7"/>
    <dgm:cxn modelId="{43E33C39-B60C-4B80-8D3F-B530DB1CC293}" type="presParOf" srcId="{8EB7A785-D08C-46B7-9DE2-EEB77EC4E5AD}" destId="{8DD43A03-69E1-4C1B-890A-CEDE69DC30F2}" srcOrd="2" destOrd="0" presId="urn:microsoft.com/office/officeart/2005/8/layout/hList7"/>
    <dgm:cxn modelId="{92DAD4DA-57E8-4085-A798-D5F080E20A2C}" type="presParOf" srcId="{8EB7A785-D08C-46B7-9DE2-EEB77EC4E5AD}" destId="{830D70F4-6301-41B1-BD5C-09C51FBF4443}" srcOrd="3" destOrd="0" presId="urn:microsoft.com/office/officeart/2005/8/layout/hList7"/>
    <dgm:cxn modelId="{DCBBD29F-F304-46A7-B371-B7F1EA1994A5}" type="presParOf" srcId="{2F8C0CB0-E576-40A1-A385-57BD35E39EB5}" destId="{9234D592-BE90-42F8-AAE5-A7A45D5C4691}" srcOrd="1" destOrd="0" presId="urn:microsoft.com/office/officeart/2005/8/layout/hList7"/>
    <dgm:cxn modelId="{D6D15120-D78D-470D-B1F8-2718120CFC14}" type="presParOf" srcId="{2F8C0CB0-E576-40A1-A385-57BD35E39EB5}" destId="{A28FE4FD-CB22-4E83-B551-0FEDC021F0A6}" srcOrd="2" destOrd="0" presId="urn:microsoft.com/office/officeart/2005/8/layout/hList7"/>
    <dgm:cxn modelId="{3800313F-0073-49B7-9FFB-BBD84674383C}" type="presParOf" srcId="{A28FE4FD-CB22-4E83-B551-0FEDC021F0A6}" destId="{BF77AB94-60C8-4DBB-9454-FE1EAD168D71}" srcOrd="0" destOrd="0" presId="urn:microsoft.com/office/officeart/2005/8/layout/hList7"/>
    <dgm:cxn modelId="{053A4BA7-8988-4EEF-89EE-FB3BB0CBF24D}" type="presParOf" srcId="{A28FE4FD-CB22-4E83-B551-0FEDC021F0A6}" destId="{2793704D-4C12-4A33-93A0-BD318C26F716}" srcOrd="1" destOrd="0" presId="urn:microsoft.com/office/officeart/2005/8/layout/hList7"/>
    <dgm:cxn modelId="{1002DE16-EB67-434E-9895-5AD41F0DCC65}" type="presParOf" srcId="{A28FE4FD-CB22-4E83-B551-0FEDC021F0A6}" destId="{F2E168AC-2DF9-4BF8-BB88-E01894862C18}" srcOrd="2" destOrd="0" presId="urn:microsoft.com/office/officeart/2005/8/layout/hList7"/>
    <dgm:cxn modelId="{5C4DD30B-48F6-4259-9DAF-E31E78149CDA}" type="presParOf" srcId="{A28FE4FD-CB22-4E83-B551-0FEDC021F0A6}" destId="{2AE2D1C0-A645-4744-B068-58E346CB4B00}" srcOrd="3" destOrd="0" presId="urn:microsoft.com/office/officeart/2005/8/layout/hList7"/>
    <dgm:cxn modelId="{C7703442-4C38-4E20-AF3C-83A1A0BED00C}" type="presParOf" srcId="{2F8C0CB0-E576-40A1-A385-57BD35E39EB5}" destId="{05BC2A79-3617-4ED8-B585-1E647992C90A}" srcOrd="3" destOrd="0" presId="urn:microsoft.com/office/officeart/2005/8/layout/hList7"/>
    <dgm:cxn modelId="{315FB959-28BF-4FDB-977C-A70AD281F4DB}" type="presParOf" srcId="{2F8C0CB0-E576-40A1-A385-57BD35E39EB5}" destId="{D86AF7B7-0A08-4B77-9B2B-5C4C5E7C8025}" srcOrd="4" destOrd="0" presId="urn:microsoft.com/office/officeart/2005/8/layout/hList7"/>
    <dgm:cxn modelId="{5935EC6F-89DA-43AE-8792-8F0F816615DA}" type="presParOf" srcId="{D86AF7B7-0A08-4B77-9B2B-5C4C5E7C8025}" destId="{BBC4A98B-6472-4E69-895E-7C230EA9161C}" srcOrd="0" destOrd="0" presId="urn:microsoft.com/office/officeart/2005/8/layout/hList7"/>
    <dgm:cxn modelId="{7D063835-E5E7-4489-9D2C-BD08F5C16C5B}" type="presParOf" srcId="{D86AF7B7-0A08-4B77-9B2B-5C4C5E7C8025}" destId="{DC1F7517-C3E8-423A-B61D-DF65736C3008}" srcOrd="1" destOrd="0" presId="urn:microsoft.com/office/officeart/2005/8/layout/hList7"/>
    <dgm:cxn modelId="{565A60E9-7ADC-467A-A98B-776CF5CA416B}" type="presParOf" srcId="{D86AF7B7-0A08-4B77-9B2B-5C4C5E7C8025}" destId="{6057A642-7A02-4D0B-A808-573CBE187405}" srcOrd="2" destOrd="0" presId="urn:microsoft.com/office/officeart/2005/8/layout/hList7"/>
    <dgm:cxn modelId="{E625942B-00BB-462B-A8DF-F17ACC4FC444}" type="presParOf" srcId="{D86AF7B7-0A08-4B77-9B2B-5C4C5E7C8025}" destId="{0A80C0DD-4903-4031-9754-FAA63F9E4F0C}" srcOrd="3" destOrd="0" presId="urn:microsoft.com/office/officeart/2005/8/layout/hList7"/>
    <dgm:cxn modelId="{B7C4116E-EFA7-4815-A66A-D862F8864F7A}" type="presParOf" srcId="{2F8C0CB0-E576-40A1-A385-57BD35E39EB5}" destId="{BDF95605-AC7E-4032-A728-BA4E633566E9}" srcOrd="5" destOrd="0" presId="urn:microsoft.com/office/officeart/2005/8/layout/hList7"/>
    <dgm:cxn modelId="{A3BD2F0E-DA57-40DD-BDB3-3DCC1E722E8D}" type="presParOf" srcId="{2F8C0CB0-E576-40A1-A385-57BD35E39EB5}" destId="{0545A41A-429F-48F4-802F-4D40CF32B19D}" srcOrd="6" destOrd="0" presId="urn:microsoft.com/office/officeart/2005/8/layout/hList7"/>
    <dgm:cxn modelId="{8923E1E9-C936-4D65-9EA9-D3859EF3A017}" type="presParOf" srcId="{0545A41A-429F-48F4-802F-4D40CF32B19D}" destId="{ADD93F6F-E885-4CFA-870E-95F6AFB929C9}" srcOrd="0" destOrd="0" presId="urn:microsoft.com/office/officeart/2005/8/layout/hList7"/>
    <dgm:cxn modelId="{4FB9DCBE-7924-456D-A147-A31F0AD2F7B8}" type="presParOf" srcId="{0545A41A-429F-48F4-802F-4D40CF32B19D}" destId="{15BFB79C-7EB2-4E25-AE01-2BD20B0604DE}" srcOrd="1" destOrd="0" presId="urn:microsoft.com/office/officeart/2005/8/layout/hList7"/>
    <dgm:cxn modelId="{201E11A4-80EF-474B-B909-9CAB6D9302DF}" type="presParOf" srcId="{0545A41A-429F-48F4-802F-4D40CF32B19D}" destId="{DB91857C-EFBC-4EBA-8445-9C70D8910A75}" srcOrd="2" destOrd="0" presId="urn:microsoft.com/office/officeart/2005/8/layout/hList7"/>
    <dgm:cxn modelId="{723CDCA6-514F-4EDB-88E4-E892B3D38C71}" type="presParOf" srcId="{0545A41A-429F-48F4-802F-4D40CF32B19D}" destId="{2F51B1E1-C32E-4FE4-B283-0A0B1D0AF218}" srcOrd="3" destOrd="0" presId="urn:microsoft.com/office/officeart/2005/8/layout/hList7"/>
    <dgm:cxn modelId="{02B0F639-6B70-4B05-91FA-26A9E432E3C2}" type="presParOf" srcId="{2F8C0CB0-E576-40A1-A385-57BD35E39EB5}" destId="{754E7DDF-673A-4797-99A4-51D1F1D8F32A}" srcOrd="7" destOrd="0" presId="urn:microsoft.com/office/officeart/2005/8/layout/hList7"/>
    <dgm:cxn modelId="{308E61CB-4B92-45AB-963F-709455B42B0C}" type="presParOf" srcId="{2F8C0CB0-E576-40A1-A385-57BD35E39EB5}" destId="{4F03C78B-BA9C-4A10-AC6C-1363CE0F4B6C}" srcOrd="8" destOrd="0" presId="urn:microsoft.com/office/officeart/2005/8/layout/hList7"/>
    <dgm:cxn modelId="{87F3F5AC-10EC-4A5F-A383-FDE036CFC946}" type="presParOf" srcId="{4F03C78B-BA9C-4A10-AC6C-1363CE0F4B6C}" destId="{53E5778A-4E3C-4AF3-B93E-A694DBEE44D0}" srcOrd="0" destOrd="0" presId="urn:microsoft.com/office/officeart/2005/8/layout/hList7"/>
    <dgm:cxn modelId="{6C8D1C6B-FA00-4825-ACB2-991160581259}" type="presParOf" srcId="{4F03C78B-BA9C-4A10-AC6C-1363CE0F4B6C}" destId="{5D7E001A-A12B-4679-8D7F-210F43D97A21}" srcOrd="1" destOrd="0" presId="urn:microsoft.com/office/officeart/2005/8/layout/hList7"/>
    <dgm:cxn modelId="{80D07C44-5D33-4E14-AC31-4E77625E5044}" type="presParOf" srcId="{4F03C78B-BA9C-4A10-AC6C-1363CE0F4B6C}" destId="{E4CD8DA4-5FCB-4D21-9CBB-108A2CF3A35C}" srcOrd="2" destOrd="0" presId="urn:microsoft.com/office/officeart/2005/8/layout/hList7"/>
    <dgm:cxn modelId="{646F408D-AF7D-48EC-B194-8BCC15812A11}" type="presParOf" srcId="{4F03C78B-BA9C-4A10-AC6C-1363CE0F4B6C}" destId="{4DC2A4AB-D33E-4F6F-9A33-24F11B8C60DC}" srcOrd="3" destOrd="0" presId="urn:microsoft.com/office/officeart/2005/8/layout/hList7"/>
    <dgm:cxn modelId="{D679209F-6C29-4F22-8CB0-58CA6E5816D7}" type="presParOf" srcId="{2F8C0CB0-E576-40A1-A385-57BD35E39EB5}" destId="{2532BDD8-B766-4B97-8AD3-7A23AE7826A5}" srcOrd="9" destOrd="0" presId="urn:microsoft.com/office/officeart/2005/8/layout/hList7"/>
    <dgm:cxn modelId="{1611AE77-E34D-4AB0-AFC3-B406ADDA38D7}" type="presParOf" srcId="{2F8C0CB0-E576-40A1-A385-57BD35E39EB5}" destId="{9CCD881C-3D4A-4855-A567-F6911320CB86}" srcOrd="10" destOrd="0" presId="urn:microsoft.com/office/officeart/2005/8/layout/hList7"/>
    <dgm:cxn modelId="{9396B844-06CA-4654-9C65-FA52FBEBF441}" type="presParOf" srcId="{9CCD881C-3D4A-4855-A567-F6911320CB86}" destId="{AA8960FB-908E-47B3-82BA-AFBDEE077E8E}" srcOrd="0" destOrd="0" presId="urn:microsoft.com/office/officeart/2005/8/layout/hList7"/>
    <dgm:cxn modelId="{75CBD881-4AEE-4EEA-89EF-9B7FD51BADC1}" type="presParOf" srcId="{9CCD881C-3D4A-4855-A567-F6911320CB86}" destId="{26D7E1CD-4C89-4D78-9584-017FAD49C5D1}" srcOrd="1" destOrd="0" presId="urn:microsoft.com/office/officeart/2005/8/layout/hList7"/>
    <dgm:cxn modelId="{BC9EE074-3F22-45E6-9BD5-FAF423E55BEE}" type="presParOf" srcId="{9CCD881C-3D4A-4855-A567-F6911320CB86}" destId="{5E903F61-D710-42FB-801D-8F0DE8038CD2}" srcOrd="2" destOrd="0" presId="urn:microsoft.com/office/officeart/2005/8/layout/hList7"/>
    <dgm:cxn modelId="{51093DBD-8AE6-4D50-8B68-E5EEFD0413E7}" type="presParOf" srcId="{9CCD881C-3D4A-4855-A567-F6911320CB86}" destId="{813D5726-4186-4F1F-B0A9-156B60A6C2D8}" srcOrd="3" destOrd="0" presId="urn:microsoft.com/office/officeart/2005/8/layout/hList7"/>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τ</a:t>
          </a:r>
          <a:r>
            <a:rPr lang="ro-RO"/>
            <a:t> (Type)</a:t>
          </a:r>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ro-RO"/>
            <a:t>Num</a:t>
          </a:r>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ro-RO"/>
            <a:t>Bool</a:t>
          </a:r>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ro-RO"/>
            <a:t>Sym</a:t>
          </a:r>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ro-RO"/>
            <a:t>Date</a:t>
          </a:r>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E4828077-848B-4BF3-B4F7-4E92A9B0D4BE}">
      <dgm:prSet phldrT="[Text]"/>
      <dgm:spPr/>
      <dgm:t>
        <a:bodyPr/>
        <a:lstStyle/>
        <a:p>
          <a:r>
            <a:rPr lang="ro-RO"/>
            <a:t>SymList</a:t>
          </a:r>
        </a:p>
      </dgm:t>
    </dgm:pt>
    <dgm:pt modelId="{B47DC67F-1020-4DA6-809D-C368EA4BB255}" type="parTrans" cxnId="{C79F19CC-3520-4E45-A3C9-27CDE2039EC0}">
      <dgm:prSet/>
      <dgm:spPr/>
      <dgm:t>
        <a:bodyPr/>
        <a:lstStyle/>
        <a:p>
          <a:endParaRPr lang="ro-RO"/>
        </a:p>
      </dgm:t>
    </dgm:pt>
    <dgm:pt modelId="{DB59D18F-7016-4856-8777-07307BE5D22B}" type="sibTrans" cxnId="{C79F19CC-3520-4E45-A3C9-27CDE2039EC0}">
      <dgm:prSet/>
      <dgm:spPr/>
      <dgm:t>
        <a:bodyPr/>
        <a:lstStyle/>
        <a:p>
          <a:endParaRPr lang="ro-RO"/>
        </a:p>
      </dgm:t>
    </dgm:pt>
    <dgm:pt modelId="{08EF4949-1E27-42E2-995F-C5AE309D9D23}">
      <dgm:prSet phldrT="[Text]"/>
      <dgm:spPr/>
      <dgm:t>
        <a:bodyPr/>
        <a:lstStyle/>
        <a:p>
          <a:r>
            <a:rPr lang="ro-RO"/>
            <a:t>Amt[c]</a:t>
          </a:r>
        </a:p>
      </dgm:t>
    </dgm:pt>
    <dgm:pt modelId="{4BCFED1E-6EB3-4498-AD74-FA7D74C08E0D}" type="parTrans" cxnId="{60758E9A-AAA9-4FA6-B976-84C3093FD5AF}">
      <dgm:prSet/>
      <dgm:spPr/>
      <dgm:t>
        <a:bodyPr/>
        <a:lstStyle/>
        <a:p>
          <a:endParaRPr lang="ro-RO"/>
        </a:p>
      </dgm:t>
    </dgm:pt>
    <dgm:pt modelId="{9B67A659-48C2-4127-BFED-D3A653F3A34F}" type="sibTrans" cxnId="{60758E9A-AAA9-4FA6-B976-84C3093FD5AF}">
      <dgm:prSet/>
      <dgm:spPr/>
      <dgm:t>
        <a:bodyPr/>
        <a:lstStyle/>
        <a:p>
          <a:endParaRPr lang="ro-RO"/>
        </a:p>
      </dgm:t>
    </dgm:pt>
    <dgm:pt modelId="{F2E5C41B-C105-46B2-B1E4-249B8BEFD37A}">
      <dgm:prSet phldrT="[Text]"/>
      <dgm:spPr/>
      <dgm:t>
        <a:bodyPr/>
        <a:lstStyle/>
        <a:p>
          <a:pPr>
            <a:buNone/>
          </a:pPr>
          <a:r>
            <a:rPr lang="en-US"/>
            <a:t>α</a:t>
          </a:r>
          <a:r>
            <a:rPr lang="ro-RO"/>
            <a:t> (type variable)</a:t>
          </a:r>
        </a:p>
      </dgm:t>
    </dgm:pt>
    <dgm:pt modelId="{84C1B531-FD92-4DB2-ADB7-EAF6A40F7753}" type="parTrans" cxnId="{6AD13E4A-92C8-41DF-B409-A5F06686EB96}">
      <dgm:prSet/>
      <dgm:spPr/>
      <dgm:t>
        <a:bodyPr/>
        <a:lstStyle/>
        <a:p>
          <a:endParaRPr lang="ro-RO"/>
        </a:p>
      </dgm:t>
    </dgm:pt>
    <dgm:pt modelId="{9F49040D-D98D-4A08-813F-434BB1EC03B1}" type="sibTrans" cxnId="{6AD13E4A-92C8-41DF-B409-A5F06686EB96}">
      <dgm:prSet/>
      <dgm:spPr/>
      <dgm:t>
        <a:bodyPr/>
        <a:lstStyle/>
        <a:p>
          <a:endParaRPr lang="ro-RO"/>
        </a:p>
      </dgm:t>
    </dgm:pt>
    <dgm:pt modelId="{140E0FB0-2ABA-45B5-BFC1-0C44E92CAE32}">
      <dgm:prSet phldrT="[Text]"/>
      <dgm:spPr/>
      <dgm:t>
        <a:bodyPr/>
        <a:lstStyle/>
        <a:p>
          <a:r>
            <a:rPr lang="ro-RO"/>
            <a:t>EUR</a:t>
          </a:r>
        </a:p>
      </dgm:t>
    </dgm:pt>
    <dgm:pt modelId="{27718962-0775-4E45-A94E-A6253D628052}" type="parTrans" cxnId="{402D1C5C-2713-4C93-85DE-A7A675A22F7F}">
      <dgm:prSet/>
      <dgm:spPr/>
      <dgm:t>
        <a:bodyPr/>
        <a:lstStyle/>
        <a:p>
          <a:endParaRPr lang="ro-RO"/>
        </a:p>
      </dgm:t>
    </dgm:pt>
    <dgm:pt modelId="{F9D1A050-6BAE-4E7B-8964-B91FA6076186}" type="sibTrans" cxnId="{402D1C5C-2713-4C93-85DE-A7A675A22F7F}">
      <dgm:prSet/>
      <dgm:spPr/>
      <dgm:t>
        <a:bodyPr/>
        <a:lstStyle/>
        <a:p>
          <a:endParaRPr lang="ro-RO"/>
        </a:p>
      </dgm:t>
    </dgm:pt>
    <dgm:pt modelId="{04687AD6-3D67-45DB-A1F6-30A90F3FF149}">
      <dgm:prSet phldrT="[Text]"/>
      <dgm:spPr/>
      <dgm:t>
        <a:bodyPr/>
        <a:lstStyle/>
        <a:p>
          <a:r>
            <a:rPr lang="ro-RO"/>
            <a:t>USD</a:t>
          </a:r>
        </a:p>
      </dgm:t>
    </dgm:pt>
    <dgm:pt modelId="{1C55685D-18B4-4B05-B9E6-ACCE25A7B747}" type="parTrans" cxnId="{9F79B3EE-1860-4493-A5F4-DE8B28720306}">
      <dgm:prSet/>
      <dgm:spPr/>
      <dgm:t>
        <a:bodyPr/>
        <a:lstStyle/>
        <a:p>
          <a:endParaRPr lang="ro-RO"/>
        </a:p>
      </dgm:t>
    </dgm:pt>
    <dgm:pt modelId="{ECF558C0-2124-4608-87F9-6F5410AEF538}" type="sibTrans" cxnId="{9F79B3EE-1860-4493-A5F4-DE8B28720306}">
      <dgm:prSet/>
      <dgm:spPr/>
      <dgm:t>
        <a:bodyPr/>
        <a:lstStyle/>
        <a:p>
          <a:endParaRPr lang="ro-RO"/>
        </a:p>
      </dgm:t>
    </dgm:pt>
    <dgm:pt modelId="{49ECC830-CCB7-41D7-8E2E-F386FDB48BE0}">
      <dgm:prSet phldrT="[Text]"/>
      <dgm:spPr/>
      <dgm:t>
        <a:bodyPr/>
        <a:lstStyle/>
        <a:p>
          <a:r>
            <a:rPr lang="ro-RO"/>
            <a:t>GBP</a:t>
          </a:r>
        </a:p>
      </dgm:t>
    </dgm:pt>
    <dgm:pt modelId="{B7FBD5B2-61E7-41CD-A55E-7C1DC9E8D56B}" type="parTrans" cxnId="{D9AA7F32-AEE1-4015-89EB-496DE8A3B828}">
      <dgm:prSet/>
      <dgm:spPr/>
      <dgm:t>
        <a:bodyPr/>
        <a:lstStyle/>
        <a:p>
          <a:endParaRPr lang="ro-RO"/>
        </a:p>
      </dgm:t>
    </dgm:pt>
    <dgm:pt modelId="{04D91F40-241D-4146-9CAF-DBD43F7124F2}" type="sibTrans" cxnId="{D9AA7F32-AEE1-4015-89EB-496DE8A3B828}">
      <dgm:prSet/>
      <dgm:spPr/>
      <dgm:t>
        <a:bodyPr/>
        <a:lstStyle/>
        <a:p>
          <a:endParaRPr lang="ro-RO"/>
        </a:p>
      </dgm:t>
    </dgm:pt>
    <dgm:pt modelId="{F508F3BA-9C95-475D-84EF-2B93E05CA015}">
      <dgm:prSet phldrT="[Text]"/>
      <dgm:spPr/>
      <dgm:t>
        <a:bodyPr/>
        <a:lstStyle/>
        <a:p>
          <a:r>
            <a:rPr lang="ro-RO"/>
            <a:t>JPY</a:t>
          </a:r>
        </a:p>
      </dgm:t>
    </dgm:pt>
    <dgm:pt modelId="{CC2AFC5A-7F42-4A0C-BECF-AC1E60C39172}" type="parTrans" cxnId="{EFCD9EE1-58D1-4326-ACE8-488BF5B5F2E7}">
      <dgm:prSet/>
      <dgm:spPr/>
      <dgm:t>
        <a:bodyPr/>
        <a:lstStyle/>
        <a:p>
          <a:endParaRPr lang="ro-RO"/>
        </a:p>
      </dgm:t>
    </dgm:pt>
    <dgm:pt modelId="{0FF88390-C6DA-45A1-98F7-BE2FADEEA443}" type="sibTrans" cxnId="{EFCD9EE1-58D1-4326-ACE8-488BF5B5F2E7}">
      <dgm:prSet/>
      <dgm:spPr/>
      <dgm:t>
        <a:bodyPr/>
        <a:lstStyle/>
        <a:p>
          <a:endParaRPr lang="ro-RO"/>
        </a:p>
      </dgm:t>
    </dgm:pt>
    <dgm:pt modelId="{6AD9AC48-B27F-46ED-B765-45FA689EF5DE}">
      <dgm:prSet phldrT="[Text]"/>
      <dgm:spPr/>
      <dgm:t>
        <a:bodyPr/>
        <a:lstStyle/>
        <a:p>
          <a:r>
            <a:rPr lang="ro-RO"/>
            <a:t>CHF</a:t>
          </a:r>
        </a:p>
      </dgm:t>
    </dgm:pt>
    <dgm:pt modelId="{3E587E3B-D7EF-48E4-862D-A6975B38E286}" type="parTrans" cxnId="{E357BA7F-272E-41A6-892B-D1E2802183FE}">
      <dgm:prSet/>
      <dgm:spPr/>
      <dgm:t>
        <a:bodyPr/>
        <a:lstStyle/>
        <a:p>
          <a:endParaRPr lang="ro-RO"/>
        </a:p>
      </dgm:t>
    </dgm:pt>
    <dgm:pt modelId="{BBF90C0D-D917-4C94-814C-0519CDBA53AF}" type="sibTrans" cxnId="{E357BA7F-272E-41A6-892B-D1E2802183FE}">
      <dgm:prSet/>
      <dgm:spPr/>
      <dgm:t>
        <a:bodyPr/>
        <a:lstStyle/>
        <a:p>
          <a:endParaRPr lang="ro-RO"/>
        </a:p>
      </dgm:t>
    </dgm:pt>
    <dgm:pt modelId="{D2DCD9CF-B25A-4DBC-8CDC-7828F835FC1B}">
      <dgm:prSet phldrT="[Text]"/>
      <dgm:spPr/>
      <dgm:t>
        <a:bodyPr/>
        <a:lstStyle/>
        <a:p>
          <a:r>
            <a:rPr lang="ro-RO"/>
            <a:t>... 161 in total</a:t>
          </a:r>
        </a:p>
      </dgm:t>
    </dgm:pt>
    <dgm:pt modelId="{9DFE015E-6F4D-43CA-8954-E357A0E7012C}" type="parTrans" cxnId="{F5A8015F-36B2-4D73-BF37-4855E51413E1}">
      <dgm:prSet/>
      <dgm:spPr/>
      <dgm:t>
        <a:bodyPr/>
        <a:lstStyle/>
        <a:p>
          <a:endParaRPr lang="ro-RO"/>
        </a:p>
      </dgm:t>
    </dgm:pt>
    <dgm:pt modelId="{C178B16D-53A2-4341-A8CA-69AD715AFAB5}" type="sibTrans" cxnId="{F5A8015F-36B2-4D73-BF37-4855E51413E1}">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4AA8AA03-9F28-448C-8954-343F90E2BA20}" type="pres">
      <dgm:prSet presAssocID="{E4D5A858-86E6-404E-8FC9-6B9D05A01F73}" presName="Name10" presStyleLbl="parChTrans1D2" presStyleIdx="0" presStyleCnt="7"/>
      <dgm:spPr/>
    </dgm:pt>
    <dgm:pt modelId="{63DC8D6C-BA3F-429F-A79E-D2937F38741A}" type="pres">
      <dgm:prSet presAssocID="{B0FEF7B5-F1C1-47BC-A03A-138A9504FDD6}" presName="hierRoot2" presStyleCnt="0"/>
      <dgm:spPr/>
    </dgm:pt>
    <dgm:pt modelId="{76EB691D-E49D-4EBB-8E87-E5D10A4AB6BB}" type="pres">
      <dgm:prSet presAssocID="{B0FEF7B5-F1C1-47BC-A03A-138A9504FDD6}" presName="composite2" presStyleCnt="0"/>
      <dgm:spPr/>
    </dgm:pt>
    <dgm:pt modelId="{27C14384-BA9F-400A-B978-CF25A974314D}" type="pres">
      <dgm:prSet presAssocID="{B0FEF7B5-F1C1-47BC-A03A-138A9504FDD6}" presName="background2" presStyleLbl="node2" presStyleIdx="0" presStyleCnt="7"/>
      <dgm:spPr/>
    </dgm:pt>
    <dgm:pt modelId="{D4392B14-F23C-40EA-B24E-8A608900445C}" type="pres">
      <dgm:prSet presAssocID="{B0FEF7B5-F1C1-47BC-A03A-138A9504FDD6}" presName="text2" presStyleLbl="fgAcc2" presStyleIdx="0" presStyleCnt="7">
        <dgm:presLayoutVars>
          <dgm:chPref val="3"/>
        </dgm:presLayoutVars>
      </dgm:prSet>
      <dgm:spPr/>
    </dgm:pt>
    <dgm:pt modelId="{A68E3401-4E70-457A-AEBE-4F215DC1004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7"/>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7"/>
      <dgm:spPr/>
    </dgm:pt>
    <dgm:pt modelId="{D001ACD0-14F4-4674-81E7-6958F8C47A46}" type="pres">
      <dgm:prSet presAssocID="{E64A642E-501C-443D-9357-F33D5D2CD08B}" presName="text2" presStyleLbl="fgAcc2" presStyleIdx="1" presStyleCnt="7">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7"/>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7"/>
      <dgm:spPr/>
    </dgm:pt>
    <dgm:pt modelId="{71C6CF7E-BE10-4C5C-9F13-DBE17BDE0FAA}" type="pres">
      <dgm:prSet presAssocID="{B08205D4-97E2-447D-AE0A-37C5054A40A7}" presName="text2" presStyleLbl="fgAcc2" presStyleIdx="2" presStyleCnt="7">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7"/>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7"/>
      <dgm:spPr/>
    </dgm:pt>
    <dgm:pt modelId="{60022835-B03D-4F51-B084-C53C3C5F3C5F}" type="pres">
      <dgm:prSet presAssocID="{204A4A64-11AF-43B0-A706-3041C31C7533}" presName="text2" presStyleLbl="fgAcc2" presStyleIdx="3" presStyleCnt="7">
        <dgm:presLayoutVars>
          <dgm:chPref val="3"/>
        </dgm:presLayoutVars>
      </dgm:prSet>
      <dgm:spPr/>
    </dgm:pt>
    <dgm:pt modelId="{2545035D-F602-4FDC-9CE4-BAB15331624A}" type="pres">
      <dgm:prSet presAssocID="{204A4A64-11AF-43B0-A706-3041C31C7533}" presName="hierChild3" presStyleCnt="0"/>
      <dgm:spPr/>
    </dgm:pt>
    <dgm:pt modelId="{38AB086B-E2B2-4C6E-B8E8-0ABDA96D98E4}" type="pres">
      <dgm:prSet presAssocID="{B47DC67F-1020-4DA6-809D-C368EA4BB255}" presName="Name10" presStyleLbl="parChTrans1D2" presStyleIdx="4" presStyleCnt="7"/>
      <dgm:spPr/>
    </dgm:pt>
    <dgm:pt modelId="{591BAAA9-C795-43BB-A805-8FDFD57CC4D2}" type="pres">
      <dgm:prSet presAssocID="{E4828077-848B-4BF3-B4F7-4E92A9B0D4BE}" presName="hierRoot2" presStyleCnt="0"/>
      <dgm:spPr/>
    </dgm:pt>
    <dgm:pt modelId="{75525781-6140-406F-A093-85E22D945BA2}" type="pres">
      <dgm:prSet presAssocID="{E4828077-848B-4BF3-B4F7-4E92A9B0D4BE}" presName="composite2" presStyleCnt="0"/>
      <dgm:spPr/>
    </dgm:pt>
    <dgm:pt modelId="{D32C58B7-9D5F-43FA-967A-270DDAAAF0AA}" type="pres">
      <dgm:prSet presAssocID="{E4828077-848B-4BF3-B4F7-4E92A9B0D4BE}" presName="background2" presStyleLbl="node2" presStyleIdx="4" presStyleCnt="7"/>
      <dgm:spPr/>
    </dgm:pt>
    <dgm:pt modelId="{31BAAFF5-78A5-4BDC-8C22-FA0E94F330A6}" type="pres">
      <dgm:prSet presAssocID="{E4828077-848B-4BF3-B4F7-4E92A9B0D4BE}" presName="text2" presStyleLbl="fgAcc2" presStyleIdx="4" presStyleCnt="7">
        <dgm:presLayoutVars>
          <dgm:chPref val="3"/>
        </dgm:presLayoutVars>
      </dgm:prSet>
      <dgm:spPr/>
    </dgm:pt>
    <dgm:pt modelId="{E9A18037-4DF8-4E85-B955-290C5B2CD0A5}" type="pres">
      <dgm:prSet presAssocID="{E4828077-848B-4BF3-B4F7-4E92A9B0D4BE}" presName="hierChild3" presStyleCnt="0"/>
      <dgm:spPr/>
    </dgm:pt>
    <dgm:pt modelId="{9DF9F28F-65E8-404C-81A4-4C44C19ED86F}" type="pres">
      <dgm:prSet presAssocID="{4BCFED1E-6EB3-4498-AD74-FA7D74C08E0D}" presName="Name10" presStyleLbl="parChTrans1D2" presStyleIdx="5" presStyleCnt="7"/>
      <dgm:spPr/>
    </dgm:pt>
    <dgm:pt modelId="{35704ADB-51A7-4B28-B28C-BA4CD41EEB24}" type="pres">
      <dgm:prSet presAssocID="{08EF4949-1E27-42E2-995F-C5AE309D9D23}" presName="hierRoot2" presStyleCnt="0"/>
      <dgm:spPr/>
    </dgm:pt>
    <dgm:pt modelId="{45F258E2-C432-4923-B319-877598EE6709}" type="pres">
      <dgm:prSet presAssocID="{08EF4949-1E27-42E2-995F-C5AE309D9D23}" presName="composite2" presStyleCnt="0"/>
      <dgm:spPr/>
    </dgm:pt>
    <dgm:pt modelId="{D3DCAA9F-565E-46E9-A4F0-C212DF81C742}" type="pres">
      <dgm:prSet presAssocID="{08EF4949-1E27-42E2-995F-C5AE309D9D23}" presName="background2" presStyleLbl="node2" presStyleIdx="5" presStyleCnt="7"/>
      <dgm:spPr/>
    </dgm:pt>
    <dgm:pt modelId="{1461DE53-5D76-4DFC-A3DD-9759FAE76CFC}" type="pres">
      <dgm:prSet presAssocID="{08EF4949-1E27-42E2-995F-C5AE309D9D23}" presName="text2" presStyleLbl="fgAcc2" presStyleIdx="5" presStyleCnt="7">
        <dgm:presLayoutVars>
          <dgm:chPref val="3"/>
        </dgm:presLayoutVars>
      </dgm:prSet>
      <dgm:spPr/>
    </dgm:pt>
    <dgm:pt modelId="{DD8539B3-7C35-4EEC-8C68-E2AE991BD828}" type="pres">
      <dgm:prSet presAssocID="{08EF4949-1E27-42E2-995F-C5AE309D9D23}" presName="hierChild3" presStyleCnt="0"/>
      <dgm:spPr/>
    </dgm:pt>
    <dgm:pt modelId="{72E4FC94-F9C6-464E-A33E-13F76B4FE8CB}" type="pres">
      <dgm:prSet presAssocID="{27718962-0775-4E45-A94E-A6253D628052}" presName="Name17" presStyleLbl="parChTrans1D3" presStyleIdx="0" presStyleCnt="6"/>
      <dgm:spPr/>
    </dgm:pt>
    <dgm:pt modelId="{4D764711-9B31-4D45-ADF2-1A40B5E39158}" type="pres">
      <dgm:prSet presAssocID="{140E0FB0-2ABA-45B5-BFC1-0C44E92CAE32}" presName="hierRoot3" presStyleCnt="0"/>
      <dgm:spPr/>
    </dgm:pt>
    <dgm:pt modelId="{772670F1-B43E-43E7-85CA-B0B37989399C}" type="pres">
      <dgm:prSet presAssocID="{140E0FB0-2ABA-45B5-BFC1-0C44E92CAE32}" presName="composite3" presStyleCnt="0"/>
      <dgm:spPr/>
    </dgm:pt>
    <dgm:pt modelId="{FF47EDE4-96CB-42F1-89D7-835F6C51E8A9}" type="pres">
      <dgm:prSet presAssocID="{140E0FB0-2ABA-45B5-BFC1-0C44E92CAE32}" presName="background3" presStyleLbl="node3" presStyleIdx="0" presStyleCnt="6"/>
      <dgm:spPr/>
    </dgm:pt>
    <dgm:pt modelId="{DF7D0A20-F29C-4578-8CD4-B62D557165F9}" type="pres">
      <dgm:prSet presAssocID="{140E0FB0-2ABA-45B5-BFC1-0C44E92CAE32}" presName="text3" presStyleLbl="fgAcc3" presStyleIdx="0" presStyleCnt="6">
        <dgm:presLayoutVars>
          <dgm:chPref val="3"/>
        </dgm:presLayoutVars>
      </dgm:prSet>
      <dgm:spPr/>
    </dgm:pt>
    <dgm:pt modelId="{1A13B6A2-4934-4CF2-BEBB-B5F14CF7939B}" type="pres">
      <dgm:prSet presAssocID="{140E0FB0-2ABA-45B5-BFC1-0C44E92CAE32}" presName="hierChild4" presStyleCnt="0"/>
      <dgm:spPr/>
    </dgm:pt>
    <dgm:pt modelId="{06312162-5822-4CF1-8BC9-B6C5325FCF37}" type="pres">
      <dgm:prSet presAssocID="{1C55685D-18B4-4B05-B9E6-ACCE25A7B747}" presName="Name17" presStyleLbl="parChTrans1D3" presStyleIdx="1" presStyleCnt="6"/>
      <dgm:spPr/>
    </dgm:pt>
    <dgm:pt modelId="{9DFBB62A-3230-4E8C-A108-C1E95A19BF9E}" type="pres">
      <dgm:prSet presAssocID="{04687AD6-3D67-45DB-A1F6-30A90F3FF149}" presName="hierRoot3" presStyleCnt="0"/>
      <dgm:spPr/>
    </dgm:pt>
    <dgm:pt modelId="{318DEE91-6DCD-4BDD-889F-A780E26C7B74}" type="pres">
      <dgm:prSet presAssocID="{04687AD6-3D67-45DB-A1F6-30A90F3FF149}" presName="composite3" presStyleCnt="0"/>
      <dgm:spPr/>
    </dgm:pt>
    <dgm:pt modelId="{5F7CCCE0-0202-4BB8-895C-CA42260CE108}" type="pres">
      <dgm:prSet presAssocID="{04687AD6-3D67-45DB-A1F6-30A90F3FF149}" presName="background3" presStyleLbl="node3" presStyleIdx="1" presStyleCnt="6"/>
      <dgm:spPr/>
    </dgm:pt>
    <dgm:pt modelId="{91643AAA-2695-4CD8-AE39-264EADA1A88E}" type="pres">
      <dgm:prSet presAssocID="{04687AD6-3D67-45DB-A1F6-30A90F3FF149}" presName="text3" presStyleLbl="fgAcc3" presStyleIdx="1" presStyleCnt="6">
        <dgm:presLayoutVars>
          <dgm:chPref val="3"/>
        </dgm:presLayoutVars>
      </dgm:prSet>
      <dgm:spPr/>
    </dgm:pt>
    <dgm:pt modelId="{FC9DA568-BD26-45AA-8963-38FA254BC8B1}" type="pres">
      <dgm:prSet presAssocID="{04687AD6-3D67-45DB-A1F6-30A90F3FF149}" presName="hierChild4" presStyleCnt="0"/>
      <dgm:spPr/>
    </dgm:pt>
    <dgm:pt modelId="{83DE9D4D-9409-414F-9979-160B0416150B}" type="pres">
      <dgm:prSet presAssocID="{B7FBD5B2-61E7-41CD-A55E-7C1DC9E8D56B}" presName="Name17" presStyleLbl="parChTrans1D3" presStyleIdx="2" presStyleCnt="6"/>
      <dgm:spPr/>
    </dgm:pt>
    <dgm:pt modelId="{C76EDCC5-BD80-486C-9A95-F859449B8B40}" type="pres">
      <dgm:prSet presAssocID="{49ECC830-CCB7-41D7-8E2E-F386FDB48BE0}" presName="hierRoot3" presStyleCnt="0"/>
      <dgm:spPr/>
    </dgm:pt>
    <dgm:pt modelId="{B237FCE6-B134-48BA-81A2-7358CBD2BF6E}" type="pres">
      <dgm:prSet presAssocID="{49ECC830-CCB7-41D7-8E2E-F386FDB48BE0}" presName="composite3" presStyleCnt="0"/>
      <dgm:spPr/>
    </dgm:pt>
    <dgm:pt modelId="{9E97FDCA-D1AC-42EF-9B89-171EB134C780}" type="pres">
      <dgm:prSet presAssocID="{49ECC830-CCB7-41D7-8E2E-F386FDB48BE0}" presName="background3" presStyleLbl="node3" presStyleIdx="2" presStyleCnt="6"/>
      <dgm:spPr/>
    </dgm:pt>
    <dgm:pt modelId="{180BF3D4-FBAD-48FF-9061-693E85D67949}" type="pres">
      <dgm:prSet presAssocID="{49ECC830-CCB7-41D7-8E2E-F386FDB48BE0}" presName="text3" presStyleLbl="fgAcc3" presStyleIdx="2" presStyleCnt="6">
        <dgm:presLayoutVars>
          <dgm:chPref val="3"/>
        </dgm:presLayoutVars>
      </dgm:prSet>
      <dgm:spPr/>
    </dgm:pt>
    <dgm:pt modelId="{13B0E452-4AEC-4B48-862C-972B90B427FB}" type="pres">
      <dgm:prSet presAssocID="{49ECC830-CCB7-41D7-8E2E-F386FDB48BE0}" presName="hierChild4" presStyleCnt="0"/>
      <dgm:spPr/>
    </dgm:pt>
    <dgm:pt modelId="{8BEC7AD9-6B53-42DC-B7B8-E89993DB1404}" type="pres">
      <dgm:prSet presAssocID="{CC2AFC5A-7F42-4A0C-BECF-AC1E60C39172}" presName="Name17" presStyleLbl="parChTrans1D3" presStyleIdx="3" presStyleCnt="6"/>
      <dgm:spPr/>
    </dgm:pt>
    <dgm:pt modelId="{81387556-C180-476F-8BE0-F4E29FB654F8}" type="pres">
      <dgm:prSet presAssocID="{F508F3BA-9C95-475D-84EF-2B93E05CA015}" presName="hierRoot3" presStyleCnt="0"/>
      <dgm:spPr/>
    </dgm:pt>
    <dgm:pt modelId="{F789EBD9-0C02-4B94-81F6-C3228D11683B}" type="pres">
      <dgm:prSet presAssocID="{F508F3BA-9C95-475D-84EF-2B93E05CA015}" presName="composite3" presStyleCnt="0"/>
      <dgm:spPr/>
    </dgm:pt>
    <dgm:pt modelId="{1334E469-2073-48D7-9203-B4D424551FEC}" type="pres">
      <dgm:prSet presAssocID="{F508F3BA-9C95-475D-84EF-2B93E05CA015}" presName="background3" presStyleLbl="node3" presStyleIdx="3" presStyleCnt="6"/>
      <dgm:spPr/>
    </dgm:pt>
    <dgm:pt modelId="{FB70920D-A9B2-4F67-A53F-C0BE0D5C9CDC}" type="pres">
      <dgm:prSet presAssocID="{F508F3BA-9C95-475D-84EF-2B93E05CA015}" presName="text3" presStyleLbl="fgAcc3" presStyleIdx="3" presStyleCnt="6">
        <dgm:presLayoutVars>
          <dgm:chPref val="3"/>
        </dgm:presLayoutVars>
      </dgm:prSet>
      <dgm:spPr/>
    </dgm:pt>
    <dgm:pt modelId="{8CAFE146-1261-43C8-B999-25CCAEEF32D5}" type="pres">
      <dgm:prSet presAssocID="{F508F3BA-9C95-475D-84EF-2B93E05CA015}" presName="hierChild4" presStyleCnt="0"/>
      <dgm:spPr/>
    </dgm:pt>
    <dgm:pt modelId="{5A20CE4A-5424-4776-B10F-C83EDF6D7531}" type="pres">
      <dgm:prSet presAssocID="{3E587E3B-D7EF-48E4-862D-A6975B38E286}" presName="Name17" presStyleLbl="parChTrans1D3" presStyleIdx="4" presStyleCnt="6"/>
      <dgm:spPr/>
    </dgm:pt>
    <dgm:pt modelId="{CA42A02D-B121-4193-BE2E-59EAF5172F23}" type="pres">
      <dgm:prSet presAssocID="{6AD9AC48-B27F-46ED-B765-45FA689EF5DE}" presName="hierRoot3" presStyleCnt="0"/>
      <dgm:spPr/>
    </dgm:pt>
    <dgm:pt modelId="{180A0048-1096-4CF3-9020-09E2E1A25FD5}" type="pres">
      <dgm:prSet presAssocID="{6AD9AC48-B27F-46ED-B765-45FA689EF5DE}" presName="composite3" presStyleCnt="0"/>
      <dgm:spPr/>
    </dgm:pt>
    <dgm:pt modelId="{2AB84733-073D-4779-9A8F-5033831C43F4}" type="pres">
      <dgm:prSet presAssocID="{6AD9AC48-B27F-46ED-B765-45FA689EF5DE}" presName="background3" presStyleLbl="node3" presStyleIdx="4" presStyleCnt="6"/>
      <dgm:spPr/>
    </dgm:pt>
    <dgm:pt modelId="{EAACD3D0-F777-4EB5-93D1-FE0E52BCCA95}" type="pres">
      <dgm:prSet presAssocID="{6AD9AC48-B27F-46ED-B765-45FA689EF5DE}" presName="text3" presStyleLbl="fgAcc3" presStyleIdx="4" presStyleCnt="6">
        <dgm:presLayoutVars>
          <dgm:chPref val="3"/>
        </dgm:presLayoutVars>
      </dgm:prSet>
      <dgm:spPr/>
    </dgm:pt>
    <dgm:pt modelId="{BCA213E5-6300-4C73-9AE5-B38AF038CB21}" type="pres">
      <dgm:prSet presAssocID="{6AD9AC48-B27F-46ED-B765-45FA689EF5DE}" presName="hierChild4" presStyleCnt="0"/>
      <dgm:spPr/>
    </dgm:pt>
    <dgm:pt modelId="{7D3FCFDD-0A37-4A87-9B26-3AF872E57BBD}" type="pres">
      <dgm:prSet presAssocID="{9DFE015E-6F4D-43CA-8954-E357A0E7012C}" presName="Name17" presStyleLbl="parChTrans1D3" presStyleIdx="5" presStyleCnt="6"/>
      <dgm:spPr/>
    </dgm:pt>
    <dgm:pt modelId="{460987E9-E552-4F8E-B9FA-249C5B4B4CC7}" type="pres">
      <dgm:prSet presAssocID="{D2DCD9CF-B25A-4DBC-8CDC-7828F835FC1B}" presName="hierRoot3" presStyleCnt="0"/>
      <dgm:spPr/>
    </dgm:pt>
    <dgm:pt modelId="{E5AB7CE5-3C3D-4D9D-948C-6E98F974258B}" type="pres">
      <dgm:prSet presAssocID="{D2DCD9CF-B25A-4DBC-8CDC-7828F835FC1B}" presName="composite3" presStyleCnt="0"/>
      <dgm:spPr/>
    </dgm:pt>
    <dgm:pt modelId="{BF09DF34-69BE-478A-BEFA-3649759B4E4D}" type="pres">
      <dgm:prSet presAssocID="{D2DCD9CF-B25A-4DBC-8CDC-7828F835FC1B}" presName="background3" presStyleLbl="node3" presStyleIdx="5" presStyleCnt="6"/>
      <dgm:spPr/>
    </dgm:pt>
    <dgm:pt modelId="{E10AB480-821A-4A83-B0ED-BA53F5A06D7C}" type="pres">
      <dgm:prSet presAssocID="{D2DCD9CF-B25A-4DBC-8CDC-7828F835FC1B}" presName="text3" presStyleLbl="fgAcc3" presStyleIdx="5" presStyleCnt="6">
        <dgm:presLayoutVars>
          <dgm:chPref val="3"/>
        </dgm:presLayoutVars>
      </dgm:prSet>
      <dgm:spPr/>
    </dgm:pt>
    <dgm:pt modelId="{CB59A2DB-B324-4AED-BDDA-FF60DF468039}" type="pres">
      <dgm:prSet presAssocID="{D2DCD9CF-B25A-4DBC-8CDC-7828F835FC1B}" presName="hierChild4" presStyleCnt="0"/>
      <dgm:spPr/>
    </dgm:pt>
    <dgm:pt modelId="{5C102CB7-4A90-4D03-A418-1043E7100AD2}" type="pres">
      <dgm:prSet presAssocID="{84C1B531-FD92-4DB2-ADB7-EAF6A40F7753}" presName="Name10" presStyleLbl="parChTrans1D2" presStyleIdx="6" presStyleCnt="7"/>
      <dgm:spPr/>
    </dgm:pt>
    <dgm:pt modelId="{3691F8DA-B774-4C56-9F2B-9457BEEE1DF6}" type="pres">
      <dgm:prSet presAssocID="{F2E5C41B-C105-46B2-B1E4-249B8BEFD37A}" presName="hierRoot2" presStyleCnt="0"/>
      <dgm:spPr/>
    </dgm:pt>
    <dgm:pt modelId="{9A128289-5884-46EF-86DF-E8CDE19134AA}" type="pres">
      <dgm:prSet presAssocID="{F2E5C41B-C105-46B2-B1E4-249B8BEFD37A}" presName="composite2" presStyleCnt="0"/>
      <dgm:spPr/>
    </dgm:pt>
    <dgm:pt modelId="{B334FE29-FEE8-493F-9647-72310A434C9A}" type="pres">
      <dgm:prSet presAssocID="{F2E5C41B-C105-46B2-B1E4-249B8BEFD37A}" presName="background2" presStyleLbl="node2" presStyleIdx="6" presStyleCnt="7"/>
      <dgm:spPr/>
    </dgm:pt>
    <dgm:pt modelId="{0FB958E9-40D9-4C80-AA76-D1DCB0A3F5E9}" type="pres">
      <dgm:prSet presAssocID="{F2E5C41B-C105-46B2-B1E4-249B8BEFD37A}" presName="text2" presStyleLbl="fgAcc2" presStyleIdx="6" presStyleCnt="7">
        <dgm:presLayoutVars>
          <dgm:chPref val="3"/>
        </dgm:presLayoutVars>
      </dgm:prSet>
      <dgm:spPr/>
    </dgm:pt>
    <dgm:pt modelId="{3EF2973E-2527-4BA2-A422-D66866CD88C2}" type="pres">
      <dgm:prSet presAssocID="{F2E5C41B-C105-46B2-B1E4-249B8BEFD37A}" presName="hierChild3" presStyleCnt="0"/>
      <dgm:spPr/>
    </dgm:pt>
  </dgm:ptLst>
  <dgm:cxnLst>
    <dgm:cxn modelId="{4B96F204-68F9-4CE5-A315-2EB0D5459724}" type="presOf" srcId="{684DFDAD-C907-4E2E-95A2-9B5B09D3FB0D}" destId="{E76D2D81-FF88-4E24-ABAA-CBD90BB0D040}" srcOrd="0" destOrd="0" presId="urn:microsoft.com/office/officeart/2005/8/layout/hierarchy1"/>
    <dgm:cxn modelId="{FB21CD05-42D0-423D-8BFB-612EDE95BF42}" type="presOf" srcId="{140E0FB0-2ABA-45B5-BFC1-0C44E92CAE32}" destId="{DF7D0A20-F29C-4578-8CD4-B62D557165F9}" srcOrd="0" destOrd="0" presId="urn:microsoft.com/office/officeart/2005/8/layout/hierarchy1"/>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F4E9662A-D155-48D2-9088-6B95511647E6}" type="presOf" srcId="{A2AEA094-96E9-48AB-A3D4-041DD0DE1585}" destId="{98BBFCED-C8E5-4F97-87AD-7C1E77833058}" srcOrd="0" destOrd="0" presId="urn:microsoft.com/office/officeart/2005/8/layout/hierarchy1"/>
    <dgm:cxn modelId="{02AF4D32-176D-47B4-B1B9-ABA5CF48B52B}" type="presOf" srcId="{27718962-0775-4E45-A94E-A6253D628052}" destId="{72E4FC94-F9C6-464E-A33E-13F76B4FE8CB}" srcOrd="0" destOrd="0" presId="urn:microsoft.com/office/officeart/2005/8/layout/hierarchy1"/>
    <dgm:cxn modelId="{D9AA7F32-AEE1-4015-89EB-496DE8A3B828}" srcId="{08EF4949-1E27-42E2-995F-C5AE309D9D23}" destId="{49ECC830-CCB7-41D7-8E2E-F386FDB48BE0}" srcOrd="2" destOrd="0" parTransId="{B7FBD5B2-61E7-41CD-A55E-7C1DC9E8D56B}" sibTransId="{04D91F40-241D-4146-9CAF-DBD43F7124F2}"/>
    <dgm:cxn modelId="{6E7A0C34-FB1B-43FA-82E6-DEC254986F65}" type="presOf" srcId="{49ECC830-CCB7-41D7-8E2E-F386FDB48BE0}" destId="{180BF3D4-FBAD-48FF-9061-693E85D67949}" srcOrd="0" destOrd="0" presId="urn:microsoft.com/office/officeart/2005/8/layout/hierarchy1"/>
    <dgm:cxn modelId="{C8970536-F0CE-4D5E-AEFC-6910F71E1476}" type="presOf" srcId="{1C55685D-18B4-4B05-B9E6-ACCE25A7B747}" destId="{06312162-5822-4CF1-8BC9-B6C5325FCF37}" srcOrd="0" destOrd="0" presId="urn:microsoft.com/office/officeart/2005/8/layout/hierarchy1"/>
    <dgm:cxn modelId="{402D1C5C-2713-4C93-85DE-A7A675A22F7F}" srcId="{08EF4949-1E27-42E2-995F-C5AE309D9D23}" destId="{140E0FB0-2ABA-45B5-BFC1-0C44E92CAE32}" srcOrd="0" destOrd="0" parTransId="{27718962-0775-4E45-A94E-A6253D628052}" sibTransId="{F9D1A050-6BAE-4E7B-8964-B91FA6076186}"/>
    <dgm:cxn modelId="{21C8215C-95D6-4B26-8C3A-BD51DC5C85B6}" type="presOf" srcId="{E4D5A858-86E6-404E-8FC9-6B9D05A01F73}" destId="{4AA8AA03-9F28-448C-8954-343F90E2BA20}" srcOrd="0" destOrd="0" presId="urn:microsoft.com/office/officeart/2005/8/layout/hierarchy1"/>
    <dgm:cxn modelId="{F5A8015F-36B2-4D73-BF37-4855E51413E1}" srcId="{08EF4949-1E27-42E2-995F-C5AE309D9D23}" destId="{D2DCD9CF-B25A-4DBC-8CDC-7828F835FC1B}" srcOrd="5" destOrd="0" parTransId="{9DFE015E-6F4D-43CA-8954-E357A0E7012C}" sibTransId="{C178B16D-53A2-4341-A8CA-69AD715AFAB5}"/>
    <dgm:cxn modelId="{B06F5860-67A8-4417-AE82-27986E06622F}" type="presOf" srcId="{D638658B-6705-4460-844F-D619AF7E2B24}" destId="{7132B58D-797A-4636-8461-9C8BC2B58394}" srcOrd="0" destOrd="0" presId="urn:microsoft.com/office/officeart/2005/8/layout/hierarchy1"/>
    <dgm:cxn modelId="{0CC9BA62-3FD3-4C6A-822C-C9343F3A4AC8}" type="presOf" srcId="{08EF4949-1E27-42E2-995F-C5AE309D9D23}" destId="{1461DE53-5D76-4DFC-A3DD-9759FAE76CFC}" srcOrd="0" destOrd="0" presId="urn:microsoft.com/office/officeart/2005/8/layout/hierarchy1"/>
    <dgm:cxn modelId="{6AD13E4A-92C8-41DF-B409-A5F06686EB96}" srcId="{A0B71AEC-B7AB-477E-BC0A-E9AC47D35701}" destId="{F2E5C41B-C105-46B2-B1E4-249B8BEFD37A}" srcOrd="6" destOrd="0" parTransId="{84C1B531-FD92-4DB2-ADB7-EAF6A40F7753}" sibTransId="{9F49040D-D98D-4A08-813F-434BB1EC03B1}"/>
    <dgm:cxn modelId="{CEE2004B-2835-4BA3-BA2A-7DE9703FF604}" type="presOf" srcId="{84C1B531-FD92-4DB2-ADB7-EAF6A40F7753}" destId="{5C102CB7-4A90-4D03-A418-1043E7100AD2}" srcOrd="0" destOrd="0" presId="urn:microsoft.com/office/officeart/2005/8/layout/hierarchy1"/>
    <dgm:cxn modelId="{886B0B54-A9FC-4A08-A3C9-7D3656A8CED2}" type="presOf" srcId="{9DFE015E-6F4D-43CA-8954-E357A0E7012C}" destId="{7D3FCFDD-0A37-4A87-9B26-3AF872E57BBD}" srcOrd="0" destOrd="0" presId="urn:microsoft.com/office/officeart/2005/8/layout/hierarchy1"/>
    <dgm:cxn modelId="{0CCE115A-F74D-4D7C-A0AB-916201560B36}" type="presOf" srcId="{CC2AFC5A-7F42-4A0C-BECF-AC1E60C39172}" destId="{8BEC7AD9-6B53-42DC-B7B8-E89993DB1404}" srcOrd="0" destOrd="0" presId="urn:microsoft.com/office/officeart/2005/8/layout/hierarchy1"/>
    <dgm:cxn modelId="{E357BA7F-272E-41A6-892B-D1E2802183FE}" srcId="{08EF4949-1E27-42E2-995F-C5AE309D9D23}" destId="{6AD9AC48-B27F-46ED-B765-45FA689EF5DE}" srcOrd="4" destOrd="0" parTransId="{3E587E3B-D7EF-48E4-862D-A6975B38E286}" sibTransId="{BBF90C0D-D917-4C94-814C-0519CDBA53AF}"/>
    <dgm:cxn modelId="{D9446582-2437-4ECD-B05E-5880F3CAE4E9}" type="presOf" srcId="{F2E5C41B-C105-46B2-B1E4-249B8BEFD37A}" destId="{0FB958E9-40D9-4C80-AA76-D1DCB0A3F5E9}" srcOrd="0" destOrd="0" presId="urn:microsoft.com/office/officeart/2005/8/layout/hierarchy1"/>
    <dgm:cxn modelId="{83617283-FBD6-452A-94BA-DA5C0BB52031}" type="presOf" srcId="{B7FBD5B2-61E7-41CD-A55E-7C1DC9E8D56B}" destId="{83DE9D4D-9409-414F-9979-160B0416150B}" srcOrd="0" destOrd="0" presId="urn:microsoft.com/office/officeart/2005/8/layout/hierarchy1"/>
    <dgm:cxn modelId="{85939288-F406-4F28-813D-5060B4F44F68}" type="presOf" srcId="{B47DC67F-1020-4DA6-809D-C368EA4BB255}" destId="{38AB086B-E2B2-4C6E-B8E8-0ABDA96D98E4}" srcOrd="0" destOrd="0" presId="urn:microsoft.com/office/officeart/2005/8/layout/hierarchy1"/>
    <dgm:cxn modelId="{60758E9A-AAA9-4FA6-B976-84C3093FD5AF}" srcId="{A0B71AEC-B7AB-477E-BC0A-E9AC47D35701}" destId="{08EF4949-1E27-42E2-995F-C5AE309D9D23}" srcOrd="5" destOrd="0" parTransId="{4BCFED1E-6EB3-4498-AD74-FA7D74C08E0D}" sibTransId="{9B67A659-48C2-4127-BFED-D3A653F3A34F}"/>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81DF12A7-9977-4C88-ABEE-3EB35A50CB09}" type="presOf" srcId="{3E587E3B-D7EF-48E4-862D-A6975B38E286}" destId="{5A20CE4A-5424-4776-B10F-C83EDF6D7531}" srcOrd="0" destOrd="0" presId="urn:microsoft.com/office/officeart/2005/8/layout/hierarchy1"/>
    <dgm:cxn modelId="{230FF0B0-B1E4-4A4B-9601-71EC31B159D5}" type="presOf" srcId="{4BCFED1E-6EB3-4498-AD74-FA7D74C08E0D}" destId="{9DF9F28F-65E8-404C-81A4-4C44C19ED86F}" srcOrd="0" destOrd="0" presId="urn:microsoft.com/office/officeart/2005/8/layout/hierarchy1"/>
    <dgm:cxn modelId="{03FDF5B2-71E4-4B82-87BE-2F3C11E19894}" type="presOf" srcId="{E4828077-848B-4BF3-B4F7-4E92A9B0D4BE}" destId="{31BAAFF5-78A5-4BDC-8C22-FA0E94F330A6}" srcOrd="0" destOrd="0" presId="urn:microsoft.com/office/officeart/2005/8/layout/hierarchy1"/>
    <dgm:cxn modelId="{318B2AB9-0611-477D-9D80-65F43093D348}" type="presOf" srcId="{6AD9AC48-B27F-46ED-B765-45FA689EF5DE}" destId="{EAACD3D0-F777-4EB5-93D1-FE0E52BCCA95}" srcOrd="0" destOrd="0" presId="urn:microsoft.com/office/officeart/2005/8/layout/hierarchy1"/>
    <dgm:cxn modelId="{5B2614C7-DDE8-4371-B2EC-14084193E515}" type="presOf" srcId="{D2DCD9CF-B25A-4DBC-8CDC-7828F835FC1B}" destId="{E10AB480-821A-4A83-B0ED-BA53F5A06D7C}" srcOrd="0" destOrd="0" presId="urn:microsoft.com/office/officeart/2005/8/layout/hierarchy1"/>
    <dgm:cxn modelId="{C79F19CC-3520-4E45-A3C9-27CDE2039EC0}" srcId="{A0B71AEC-B7AB-477E-BC0A-E9AC47D35701}" destId="{E4828077-848B-4BF3-B4F7-4E92A9B0D4BE}" srcOrd="4" destOrd="0" parTransId="{B47DC67F-1020-4DA6-809D-C368EA4BB255}" sibTransId="{DB59D18F-7016-4856-8777-07307BE5D22B}"/>
    <dgm:cxn modelId="{472CA3CD-A15E-4164-AFF4-A0EABC9D2F58}" type="presOf" srcId="{E64A642E-501C-443D-9357-F33D5D2CD08B}" destId="{D001ACD0-14F4-4674-81E7-6958F8C47A46}" srcOrd="0" destOrd="0" presId="urn:microsoft.com/office/officeart/2005/8/layout/hierarchy1"/>
    <dgm:cxn modelId="{592383CE-5694-49A4-BCA2-A3ADBC306558}" type="presOf" srcId="{04687AD6-3D67-45DB-A1F6-30A90F3FF149}" destId="{91643AAA-2695-4CD8-AE39-264EADA1A88E}" srcOrd="0" destOrd="0" presId="urn:microsoft.com/office/officeart/2005/8/layout/hierarchy1"/>
    <dgm:cxn modelId="{7483D1CE-5429-4CD1-A990-8BD6294098BE}" type="presOf" srcId="{F508F3BA-9C95-475D-84EF-2B93E05CA015}" destId="{FB70920D-A9B2-4F67-A53F-C0BE0D5C9CDC}" srcOrd="0" destOrd="0" presId="urn:microsoft.com/office/officeart/2005/8/layout/hierarchy1"/>
    <dgm:cxn modelId="{39848BD3-85FA-4954-92F9-7D9AA7687F77}" type="presOf" srcId="{204A4A64-11AF-43B0-A706-3041C31C7533}" destId="{60022835-B03D-4F51-B084-C53C3C5F3C5F}" srcOrd="0" destOrd="0" presId="urn:microsoft.com/office/officeart/2005/8/layout/hierarchy1"/>
    <dgm:cxn modelId="{EFCD9EE1-58D1-4326-ACE8-488BF5B5F2E7}" srcId="{08EF4949-1E27-42E2-995F-C5AE309D9D23}" destId="{F508F3BA-9C95-475D-84EF-2B93E05CA015}" srcOrd="3" destOrd="0" parTransId="{CC2AFC5A-7F42-4A0C-BECF-AC1E60C39172}" sibTransId="{0FF88390-C6DA-45A1-98F7-BE2FADEEA443}"/>
    <dgm:cxn modelId="{57CA08E8-3F9F-4DAB-A4D5-0DBF8D495FA0}" type="presOf" srcId="{B08205D4-97E2-447D-AE0A-37C5054A40A7}" destId="{71C6CF7E-BE10-4C5C-9F13-DBE17BDE0FAA}" srcOrd="0" destOrd="0" presId="urn:microsoft.com/office/officeart/2005/8/layout/hierarchy1"/>
    <dgm:cxn modelId="{E0E66CEC-8330-46D1-BD85-63D217B42C96}" type="presOf" srcId="{B0FEF7B5-F1C1-47BC-A03A-138A9504FDD6}" destId="{D4392B14-F23C-40EA-B24E-8A608900445C}" srcOrd="0" destOrd="0" presId="urn:microsoft.com/office/officeart/2005/8/layout/hierarchy1"/>
    <dgm:cxn modelId="{9F79B3EE-1860-4493-A5F4-DE8B28720306}" srcId="{08EF4949-1E27-42E2-995F-C5AE309D9D23}" destId="{04687AD6-3D67-45DB-A1F6-30A90F3FF149}" srcOrd="1" destOrd="0" parTransId="{1C55685D-18B4-4B05-B9E6-ACCE25A7B747}" sibTransId="{ECF558C0-2124-4608-87F9-6F5410AEF538}"/>
    <dgm:cxn modelId="{72DCFBFA-123C-4AA9-8927-096B335E5D09}" type="presOf" srcId="{1C284C0D-7EE2-4B81-95A0-316CAEBDECCA}" destId="{F76933DA-CC89-49D6-A9C9-99E843F2C3B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04EEE448-0C16-4632-8407-E2CF15A2B4E7}" type="presParOf" srcId="{1D594DBA-7FB8-4164-999A-FA9E63D28550}" destId="{4AA8AA03-9F28-448C-8954-343F90E2BA20}" srcOrd="0" destOrd="0" presId="urn:microsoft.com/office/officeart/2005/8/layout/hierarchy1"/>
    <dgm:cxn modelId="{88CB3CF2-42F1-4332-8BAC-F70E1A8A95D5}" type="presParOf" srcId="{1D594DBA-7FB8-4164-999A-FA9E63D28550}" destId="{63DC8D6C-BA3F-429F-A79E-D2937F38741A}" srcOrd="1" destOrd="0" presId="urn:microsoft.com/office/officeart/2005/8/layout/hierarchy1"/>
    <dgm:cxn modelId="{C371B8B0-A864-47E5-ADCE-05FC0A7694C8}" type="presParOf" srcId="{63DC8D6C-BA3F-429F-A79E-D2937F38741A}" destId="{76EB691D-E49D-4EBB-8E87-E5D10A4AB6BB}" srcOrd="0" destOrd="0" presId="urn:microsoft.com/office/officeart/2005/8/layout/hierarchy1"/>
    <dgm:cxn modelId="{5F0C8A6D-E1F1-4D53-B64F-F02785AD2694}" type="presParOf" srcId="{76EB691D-E49D-4EBB-8E87-E5D10A4AB6BB}" destId="{27C14384-BA9F-400A-B978-CF25A974314D}" srcOrd="0" destOrd="0" presId="urn:microsoft.com/office/officeart/2005/8/layout/hierarchy1"/>
    <dgm:cxn modelId="{E6BBED53-EF1F-4099-94E2-D0867FB100F8}" type="presParOf" srcId="{76EB691D-E49D-4EBB-8E87-E5D10A4AB6BB}" destId="{D4392B14-F23C-40EA-B24E-8A608900445C}" srcOrd="1" destOrd="0" presId="urn:microsoft.com/office/officeart/2005/8/layout/hierarchy1"/>
    <dgm:cxn modelId="{1159D24B-5C1F-4789-8E7B-8A4279963511}" type="presParOf" srcId="{63DC8D6C-BA3F-429F-A79E-D2937F38741A}" destId="{A68E3401-4E70-457A-AEBE-4F215DC10045}" srcOrd="1" destOrd="0" presId="urn:microsoft.com/office/officeart/2005/8/layout/hierarchy1"/>
    <dgm:cxn modelId="{C41D14BD-559F-426F-A7F4-6EE9601B9702}" type="presParOf" srcId="{1D594DBA-7FB8-4164-999A-FA9E63D28550}" destId="{F76933DA-CC89-49D6-A9C9-99E843F2C3B0}" srcOrd="2" destOrd="0" presId="urn:microsoft.com/office/officeart/2005/8/layout/hierarchy1"/>
    <dgm:cxn modelId="{9485705F-5E7D-4EFD-9131-1E45B6FD0F00}" type="presParOf" srcId="{1D594DBA-7FB8-4164-999A-FA9E63D28550}" destId="{A14C18A6-8973-4DE5-867D-92D022D76366}" srcOrd="3" destOrd="0" presId="urn:microsoft.com/office/officeart/2005/8/layout/hierarchy1"/>
    <dgm:cxn modelId="{1F9C76B0-78A0-4F6D-8B84-470160947EBC}" type="presParOf" srcId="{A14C18A6-8973-4DE5-867D-92D022D76366}" destId="{82C99448-AEC6-4B1F-91EE-37FCF86C01DD}" srcOrd="0" destOrd="0" presId="urn:microsoft.com/office/officeart/2005/8/layout/hierarchy1"/>
    <dgm:cxn modelId="{60ED4AA2-B322-4367-909A-4BA414B5B22D}" type="presParOf" srcId="{82C99448-AEC6-4B1F-91EE-37FCF86C01DD}" destId="{7A90D4F0-2269-4706-8C7B-0ABE3BB6CB13}" srcOrd="0" destOrd="0" presId="urn:microsoft.com/office/officeart/2005/8/layout/hierarchy1"/>
    <dgm:cxn modelId="{61C0C8E7-4752-4715-B24A-537C8C2E0658}" type="presParOf" srcId="{82C99448-AEC6-4B1F-91EE-37FCF86C01DD}" destId="{D001ACD0-14F4-4674-81E7-6958F8C47A46}" srcOrd="1" destOrd="0" presId="urn:microsoft.com/office/officeart/2005/8/layout/hierarchy1"/>
    <dgm:cxn modelId="{66FD5F7E-AE5E-4B44-BB81-2D32D73F29EF}" type="presParOf" srcId="{A14C18A6-8973-4DE5-867D-92D022D76366}" destId="{17FAE417-DF36-46A3-B5D5-FE23CAD12897}" srcOrd="1" destOrd="0" presId="urn:microsoft.com/office/officeart/2005/8/layout/hierarchy1"/>
    <dgm:cxn modelId="{FD11E439-F7D9-4E29-A93B-BB4E5361FCCF}" type="presParOf" srcId="{1D594DBA-7FB8-4164-999A-FA9E63D28550}" destId="{E76D2D81-FF88-4E24-ABAA-CBD90BB0D040}" srcOrd="4" destOrd="0" presId="urn:microsoft.com/office/officeart/2005/8/layout/hierarchy1"/>
    <dgm:cxn modelId="{37BD9597-1D24-433D-9F5B-596DF1476F75}" type="presParOf" srcId="{1D594DBA-7FB8-4164-999A-FA9E63D28550}" destId="{192F0FE6-C79F-4713-999F-242AC8EE30D1}" srcOrd="5" destOrd="0" presId="urn:microsoft.com/office/officeart/2005/8/layout/hierarchy1"/>
    <dgm:cxn modelId="{CE359E4B-F443-4080-B4C0-AD17E41FFF67}" type="presParOf" srcId="{192F0FE6-C79F-4713-999F-242AC8EE30D1}" destId="{7D7BCBE7-64F9-47DD-8A83-540A8AD7FB64}" srcOrd="0" destOrd="0" presId="urn:microsoft.com/office/officeart/2005/8/layout/hierarchy1"/>
    <dgm:cxn modelId="{E72B2755-421C-46F7-8D48-626F95D6DE66}" type="presParOf" srcId="{7D7BCBE7-64F9-47DD-8A83-540A8AD7FB64}" destId="{E726D2CB-426B-4B57-BEFE-03AC2FD45058}" srcOrd="0" destOrd="0" presId="urn:microsoft.com/office/officeart/2005/8/layout/hierarchy1"/>
    <dgm:cxn modelId="{B4F03BAF-0267-4108-BE84-2609DB1FCDC8}" type="presParOf" srcId="{7D7BCBE7-64F9-47DD-8A83-540A8AD7FB64}" destId="{71C6CF7E-BE10-4C5C-9F13-DBE17BDE0FAA}" srcOrd="1" destOrd="0" presId="urn:microsoft.com/office/officeart/2005/8/layout/hierarchy1"/>
    <dgm:cxn modelId="{FA4B9073-4FBB-4252-9E4E-8D17B8AF3096}" type="presParOf" srcId="{192F0FE6-C79F-4713-999F-242AC8EE30D1}" destId="{B61EE5EF-2E44-4170-ACAF-2CBBE884E95F}" srcOrd="1" destOrd="0" presId="urn:microsoft.com/office/officeart/2005/8/layout/hierarchy1"/>
    <dgm:cxn modelId="{F8B24D70-C28B-457A-B53C-FF450E12F4B0}" type="presParOf" srcId="{1D594DBA-7FB8-4164-999A-FA9E63D28550}" destId="{98BBFCED-C8E5-4F97-87AD-7C1E77833058}" srcOrd="6" destOrd="0" presId="urn:microsoft.com/office/officeart/2005/8/layout/hierarchy1"/>
    <dgm:cxn modelId="{7209637F-AC44-46AE-B5C8-C8595DF32702}" type="presParOf" srcId="{1D594DBA-7FB8-4164-999A-FA9E63D28550}" destId="{8A8ACF67-D8A3-479C-A696-07CE82844934}" srcOrd="7" destOrd="0" presId="urn:microsoft.com/office/officeart/2005/8/layout/hierarchy1"/>
    <dgm:cxn modelId="{9D49C954-E52F-47A2-9817-0CBF25D17F3D}" type="presParOf" srcId="{8A8ACF67-D8A3-479C-A696-07CE82844934}" destId="{160953B0-1790-4499-B853-EBB79B982FBB}" srcOrd="0" destOrd="0" presId="urn:microsoft.com/office/officeart/2005/8/layout/hierarchy1"/>
    <dgm:cxn modelId="{24CB5C86-A8C7-4093-B922-BBAEC3BFEEAF}" type="presParOf" srcId="{160953B0-1790-4499-B853-EBB79B982FBB}" destId="{9FBE6E31-894F-4A8D-A995-3793189C2058}" srcOrd="0" destOrd="0" presId="urn:microsoft.com/office/officeart/2005/8/layout/hierarchy1"/>
    <dgm:cxn modelId="{47532EF4-6998-49FD-ADE1-43CFDD69A992}" type="presParOf" srcId="{160953B0-1790-4499-B853-EBB79B982FBB}" destId="{60022835-B03D-4F51-B084-C53C3C5F3C5F}" srcOrd="1" destOrd="0" presId="urn:microsoft.com/office/officeart/2005/8/layout/hierarchy1"/>
    <dgm:cxn modelId="{9A412DE9-605F-49A8-A4BD-01700B165E00}" type="presParOf" srcId="{8A8ACF67-D8A3-479C-A696-07CE82844934}" destId="{2545035D-F602-4FDC-9CE4-BAB15331624A}" srcOrd="1" destOrd="0" presId="urn:microsoft.com/office/officeart/2005/8/layout/hierarchy1"/>
    <dgm:cxn modelId="{7B228E52-85EB-41C8-AEC1-558742CC8CAC}" type="presParOf" srcId="{1D594DBA-7FB8-4164-999A-FA9E63D28550}" destId="{38AB086B-E2B2-4C6E-B8E8-0ABDA96D98E4}" srcOrd="8" destOrd="0" presId="urn:microsoft.com/office/officeart/2005/8/layout/hierarchy1"/>
    <dgm:cxn modelId="{ABC483D1-2C2E-4A45-8B37-6DAEF65E568C}" type="presParOf" srcId="{1D594DBA-7FB8-4164-999A-FA9E63D28550}" destId="{591BAAA9-C795-43BB-A805-8FDFD57CC4D2}" srcOrd="9" destOrd="0" presId="urn:microsoft.com/office/officeart/2005/8/layout/hierarchy1"/>
    <dgm:cxn modelId="{1C1C6ED8-FE19-41FF-9039-384F63A3A0C9}" type="presParOf" srcId="{591BAAA9-C795-43BB-A805-8FDFD57CC4D2}" destId="{75525781-6140-406F-A093-85E22D945BA2}" srcOrd="0" destOrd="0" presId="urn:microsoft.com/office/officeart/2005/8/layout/hierarchy1"/>
    <dgm:cxn modelId="{D41C8568-172D-495C-8CD8-90E2149B17A0}" type="presParOf" srcId="{75525781-6140-406F-A093-85E22D945BA2}" destId="{D32C58B7-9D5F-43FA-967A-270DDAAAF0AA}" srcOrd="0" destOrd="0" presId="urn:microsoft.com/office/officeart/2005/8/layout/hierarchy1"/>
    <dgm:cxn modelId="{17AEF82B-767C-4E5D-9912-F0FF2732FB0C}" type="presParOf" srcId="{75525781-6140-406F-A093-85E22D945BA2}" destId="{31BAAFF5-78A5-4BDC-8C22-FA0E94F330A6}" srcOrd="1" destOrd="0" presId="urn:microsoft.com/office/officeart/2005/8/layout/hierarchy1"/>
    <dgm:cxn modelId="{6E9F35CD-6F2C-401B-9494-E8A94B939472}" type="presParOf" srcId="{591BAAA9-C795-43BB-A805-8FDFD57CC4D2}" destId="{E9A18037-4DF8-4E85-B955-290C5B2CD0A5}" srcOrd="1" destOrd="0" presId="urn:microsoft.com/office/officeart/2005/8/layout/hierarchy1"/>
    <dgm:cxn modelId="{BBAA6419-FE9F-48E6-B58E-2D3334C778D6}" type="presParOf" srcId="{1D594DBA-7FB8-4164-999A-FA9E63D28550}" destId="{9DF9F28F-65E8-404C-81A4-4C44C19ED86F}" srcOrd="10" destOrd="0" presId="urn:microsoft.com/office/officeart/2005/8/layout/hierarchy1"/>
    <dgm:cxn modelId="{BE5BA555-745B-4C3E-BA79-A6A41F92DE2D}" type="presParOf" srcId="{1D594DBA-7FB8-4164-999A-FA9E63D28550}" destId="{35704ADB-51A7-4B28-B28C-BA4CD41EEB24}" srcOrd="11" destOrd="0" presId="urn:microsoft.com/office/officeart/2005/8/layout/hierarchy1"/>
    <dgm:cxn modelId="{A261108C-41CB-4864-BD58-4394FFD44E09}" type="presParOf" srcId="{35704ADB-51A7-4B28-B28C-BA4CD41EEB24}" destId="{45F258E2-C432-4923-B319-877598EE6709}" srcOrd="0" destOrd="0" presId="urn:microsoft.com/office/officeart/2005/8/layout/hierarchy1"/>
    <dgm:cxn modelId="{5082A56B-4CD7-4101-8920-FA9EDE611FB6}" type="presParOf" srcId="{45F258E2-C432-4923-B319-877598EE6709}" destId="{D3DCAA9F-565E-46E9-A4F0-C212DF81C742}" srcOrd="0" destOrd="0" presId="urn:microsoft.com/office/officeart/2005/8/layout/hierarchy1"/>
    <dgm:cxn modelId="{64E768A1-DDDE-4606-9FDC-CBC428AD5BDB}" type="presParOf" srcId="{45F258E2-C432-4923-B319-877598EE6709}" destId="{1461DE53-5D76-4DFC-A3DD-9759FAE76CFC}" srcOrd="1" destOrd="0" presId="urn:microsoft.com/office/officeart/2005/8/layout/hierarchy1"/>
    <dgm:cxn modelId="{BE51D3E9-9A2A-4981-857F-6FBFF2882A20}" type="presParOf" srcId="{35704ADB-51A7-4B28-B28C-BA4CD41EEB24}" destId="{DD8539B3-7C35-4EEC-8C68-E2AE991BD828}" srcOrd="1" destOrd="0" presId="urn:microsoft.com/office/officeart/2005/8/layout/hierarchy1"/>
    <dgm:cxn modelId="{3901AA9B-F79F-4B63-B650-099064D6ABD9}" type="presParOf" srcId="{DD8539B3-7C35-4EEC-8C68-E2AE991BD828}" destId="{72E4FC94-F9C6-464E-A33E-13F76B4FE8CB}" srcOrd="0" destOrd="0" presId="urn:microsoft.com/office/officeart/2005/8/layout/hierarchy1"/>
    <dgm:cxn modelId="{45DDFC89-3D66-4CFA-8F14-ABD1AFA34C0B}" type="presParOf" srcId="{DD8539B3-7C35-4EEC-8C68-E2AE991BD828}" destId="{4D764711-9B31-4D45-ADF2-1A40B5E39158}" srcOrd="1" destOrd="0" presId="urn:microsoft.com/office/officeart/2005/8/layout/hierarchy1"/>
    <dgm:cxn modelId="{3EFF18E1-588A-4EA9-AF10-93C5C0B79FF7}" type="presParOf" srcId="{4D764711-9B31-4D45-ADF2-1A40B5E39158}" destId="{772670F1-B43E-43E7-85CA-B0B37989399C}" srcOrd="0" destOrd="0" presId="urn:microsoft.com/office/officeart/2005/8/layout/hierarchy1"/>
    <dgm:cxn modelId="{BEA282A6-7DB2-4B9C-B574-4C09ED7D896A}" type="presParOf" srcId="{772670F1-B43E-43E7-85CA-B0B37989399C}" destId="{FF47EDE4-96CB-42F1-89D7-835F6C51E8A9}" srcOrd="0" destOrd="0" presId="urn:microsoft.com/office/officeart/2005/8/layout/hierarchy1"/>
    <dgm:cxn modelId="{4CBEF31E-0D1E-43CC-BE22-AC726D2F219B}" type="presParOf" srcId="{772670F1-B43E-43E7-85CA-B0B37989399C}" destId="{DF7D0A20-F29C-4578-8CD4-B62D557165F9}" srcOrd="1" destOrd="0" presId="urn:microsoft.com/office/officeart/2005/8/layout/hierarchy1"/>
    <dgm:cxn modelId="{67F64910-FE83-4DEB-8274-8F39E561F9C8}" type="presParOf" srcId="{4D764711-9B31-4D45-ADF2-1A40B5E39158}" destId="{1A13B6A2-4934-4CF2-BEBB-B5F14CF7939B}" srcOrd="1" destOrd="0" presId="urn:microsoft.com/office/officeart/2005/8/layout/hierarchy1"/>
    <dgm:cxn modelId="{DECB9648-6B1E-4526-AA66-8D39AE43507F}" type="presParOf" srcId="{DD8539B3-7C35-4EEC-8C68-E2AE991BD828}" destId="{06312162-5822-4CF1-8BC9-B6C5325FCF37}" srcOrd="2" destOrd="0" presId="urn:microsoft.com/office/officeart/2005/8/layout/hierarchy1"/>
    <dgm:cxn modelId="{785AA21E-69F0-4735-A23F-CDD2A518C109}" type="presParOf" srcId="{DD8539B3-7C35-4EEC-8C68-E2AE991BD828}" destId="{9DFBB62A-3230-4E8C-A108-C1E95A19BF9E}" srcOrd="3" destOrd="0" presId="urn:microsoft.com/office/officeart/2005/8/layout/hierarchy1"/>
    <dgm:cxn modelId="{A31BFE39-59EB-4004-A4D9-70B79701BBE7}" type="presParOf" srcId="{9DFBB62A-3230-4E8C-A108-C1E95A19BF9E}" destId="{318DEE91-6DCD-4BDD-889F-A780E26C7B74}" srcOrd="0" destOrd="0" presId="urn:microsoft.com/office/officeart/2005/8/layout/hierarchy1"/>
    <dgm:cxn modelId="{6C052F07-675E-44AD-B3E6-08555D14B60E}" type="presParOf" srcId="{318DEE91-6DCD-4BDD-889F-A780E26C7B74}" destId="{5F7CCCE0-0202-4BB8-895C-CA42260CE108}" srcOrd="0" destOrd="0" presId="urn:microsoft.com/office/officeart/2005/8/layout/hierarchy1"/>
    <dgm:cxn modelId="{36707DBF-F06F-4939-B270-603CFFEDACC7}" type="presParOf" srcId="{318DEE91-6DCD-4BDD-889F-A780E26C7B74}" destId="{91643AAA-2695-4CD8-AE39-264EADA1A88E}" srcOrd="1" destOrd="0" presId="urn:microsoft.com/office/officeart/2005/8/layout/hierarchy1"/>
    <dgm:cxn modelId="{CEE080BD-5440-4D06-ACA7-4DADA5CD47A5}" type="presParOf" srcId="{9DFBB62A-3230-4E8C-A108-C1E95A19BF9E}" destId="{FC9DA568-BD26-45AA-8963-38FA254BC8B1}" srcOrd="1" destOrd="0" presId="urn:microsoft.com/office/officeart/2005/8/layout/hierarchy1"/>
    <dgm:cxn modelId="{E2E7D2C9-85C4-497F-B5AF-DCDE486DAF45}" type="presParOf" srcId="{DD8539B3-7C35-4EEC-8C68-E2AE991BD828}" destId="{83DE9D4D-9409-414F-9979-160B0416150B}" srcOrd="4" destOrd="0" presId="urn:microsoft.com/office/officeart/2005/8/layout/hierarchy1"/>
    <dgm:cxn modelId="{0B8B9EB9-3233-4A8D-A832-C3238D5C85F1}" type="presParOf" srcId="{DD8539B3-7C35-4EEC-8C68-E2AE991BD828}" destId="{C76EDCC5-BD80-486C-9A95-F859449B8B40}" srcOrd="5" destOrd="0" presId="urn:microsoft.com/office/officeart/2005/8/layout/hierarchy1"/>
    <dgm:cxn modelId="{A2F1280A-0F0D-4478-BCDA-79C7B681E6D1}" type="presParOf" srcId="{C76EDCC5-BD80-486C-9A95-F859449B8B40}" destId="{B237FCE6-B134-48BA-81A2-7358CBD2BF6E}" srcOrd="0" destOrd="0" presId="urn:microsoft.com/office/officeart/2005/8/layout/hierarchy1"/>
    <dgm:cxn modelId="{4BF198A0-A047-465F-A7FD-AEFB30EDCEEE}" type="presParOf" srcId="{B237FCE6-B134-48BA-81A2-7358CBD2BF6E}" destId="{9E97FDCA-D1AC-42EF-9B89-171EB134C780}" srcOrd="0" destOrd="0" presId="urn:microsoft.com/office/officeart/2005/8/layout/hierarchy1"/>
    <dgm:cxn modelId="{B6951DB6-1EF1-4980-9903-2EFF4DBDB3C3}" type="presParOf" srcId="{B237FCE6-B134-48BA-81A2-7358CBD2BF6E}" destId="{180BF3D4-FBAD-48FF-9061-693E85D67949}" srcOrd="1" destOrd="0" presId="urn:microsoft.com/office/officeart/2005/8/layout/hierarchy1"/>
    <dgm:cxn modelId="{6DCCCFD8-94DB-49B7-96AC-F77E754FE4C1}" type="presParOf" srcId="{C76EDCC5-BD80-486C-9A95-F859449B8B40}" destId="{13B0E452-4AEC-4B48-862C-972B90B427FB}" srcOrd="1" destOrd="0" presId="urn:microsoft.com/office/officeart/2005/8/layout/hierarchy1"/>
    <dgm:cxn modelId="{51D712AC-43C9-4C22-B73C-B2432BB96FEA}" type="presParOf" srcId="{DD8539B3-7C35-4EEC-8C68-E2AE991BD828}" destId="{8BEC7AD9-6B53-42DC-B7B8-E89993DB1404}" srcOrd="6" destOrd="0" presId="urn:microsoft.com/office/officeart/2005/8/layout/hierarchy1"/>
    <dgm:cxn modelId="{697B63D2-AD4A-49FC-B3EB-247611FD06CC}" type="presParOf" srcId="{DD8539B3-7C35-4EEC-8C68-E2AE991BD828}" destId="{81387556-C180-476F-8BE0-F4E29FB654F8}" srcOrd="7" destOrd="0" presId="urn:microsoft.com/office/officeart/2005/8/layout/hierarchy1"/>
    <dgm:cxn modelId="{2D506730-B911-4B97-A3F5-FD6BDD3A2B28}" type="presParOf" srcId="{81387556-C180-476F-8BE0-F4E29FB654F8}" destId="{F789EBD9-0C02-4B94-81F6-C3228D11683B}" srcOrd="0" destOrd="0" presId="urn:microsoft.com/office/officeart/2005/8/layout/hierarchy1"/>
    <dgm:cxn modelId="{CA4C8934-4819-4514-A857-CC4B47A41F65}" type="presParOf" srcId="{F789EBD9-0C02-4B94-81F6-C3228D11683B}" destId="{1334E469-2073-48D7-9203-B4D424551FEC}" srcOrd="0" destOrd="0" presId="urn:microsoft.com/office/officeart/2005/8/layout/hierarchy1"/>
    <dgm:cxn modelId="{4E137E49-8433-4E89-9A2B-0601F611A14D}" type="presParOf" srcId="{F789EBD9-0C02-4B94-81F6-C3228D11683B}" destId="{FB70920D-A9B2-4F67-A53F-C0BE0D5C9CDC}" srcOrd="1" destOrd="0" presId="urn:microsoft.com/office/officeart/2005/8/layout/hierarchy1"/>
    <dgm:cxn modelId="{2A464401-0E6A-44C8-B55E-76A38E63C522}" type="presParOf" srcId="{81387556-C180-476F-8BE0-F4E29FB654F8}" destId="{8CAFE146-1261-43C8-B999-25CCAEEF32D5}" srcOrd="1" destOrd="0" presId="urn:microsoft.com/office/officeart/2005/8/layout/hierarchy1"/>
    <dgm:cxn modelId="{5367A844-E945-4404-A0CE-138A6AA9FF7D}" type="presParOf" srcId="{DD8539B3-7C35-4EEC-8C68-E2AE991BD828}" destId="{5A20CE4A-5424-4776-B10F-C83EDF6D7531}" srcOrd="8" destOrd="0" presId="urn:microsoft.com/office/officeart/2005/8/layout/hierarchy1"/>
    <dgm:cxn modelId="{D9A02E1A-E13D-4451-BA63-856CBC761488}" type="presParOf" srcId="{DD8539B3-7C35-4EEC-8C68-E2AE991BD828}" destId="{CA42A02D-B121-4193-BE2E-59EAF5172F23}" srcOrd="9" destOrd="0" presId="urn:microsoft.com/office/officeart/2005/8/layout/hierarchy1"/>
    <dgm:cxn modelId="{27011688-C579-4986-BD4F-4E98FBD96987}" type="presParOf" srcId="{CA42A02D-B121-4193-BE2E-59EAF5172F23}" destId="{180A0048-1096-4CF3-9020-09E2E1A25FD5}" srcOrd="0" destOrd="0" presId="urn:microsoft.com/office/officeart/2005/8/layout/hierarchy1"/>
    <dgm:cxn modelId="{520A7CC3-0C44-4C93-B6D0-43CE216A666A}" type="presParOf" srcId="{180A0048-1096-4CF3-9020-09E2E1A25FD5}" destId="{2AB84733-073D-4779-9A8F-5033831C43F4}" srcOrd="0" destOrd="0" presId="urn:microsoft.com/office/officeart/2005/8/layout/hierarchy1"/>
    <dgm:cxn modelId="{A3B7CD20-1153-4B4C-95DE-78375DC5D026}" type="presParOf" srcId="{180A0048-1096-4CF3-9020-09E2E1A25FD5}" destId="{EAACD3D0-F777-4EB5-93D1-FE0E52BCCA95}" srcOrd="1" destOrd="0" presId="urn:microsoft.com/office/officeart/2005/8/layout/hierarchy1"/>
    <dgm:cxn modelId="{DD3C6349-8E84-4651-89DE-105E5A3F4A6E}" type="presParOf" srcId="{CA42A02D-B121-4193-BE2E-59EAF5172F23}" destId="{BCA213E5-6300-4C73-9AE5-B38AF038CB21}" srcOrd="1" destOrd="0" presId="urn:microsoft.com/office/officeart/2005/8/layout/hierarchy1"/>
    <dgm:cxn modelId="{1F88F648-AA2F-49BA-BBE1-2526A57FEF01}" type="presParOf" srcId="{DD8539B3-7C35-4EEC-8C68-E2AE991BD828}" destId="{7D3FCFDD-0A37-4A87-9B26-3AF872E57BBD}" srcOrd="10" destOrd="0" presId="urn:microsoft.com/office/officeart/2005/8/layout/hierarchy1"/>
    <dgm:cxn modelId="{88A3418D-5348-48FE-B1B2-D14D95779756}" type="presParOf" srcId="{DD8539B3-7C35-4EEC-8C68-E2AE991BD828}" destId="{460987E9-E552-4F8E-B9FA-249C5B4B4CC7}" srcOrd="11" destOrd="0" presId="urn:microsoft.com/office/officeart/2005/8/layout/hierarchy1"/>
    <dgm:cxn modelId="{6DB21789-CBD9-4911-B8B3-75EE8CF945D8}" type="presParOf" srcId="{460987E9-E552-4F8E-B9FA-249C5B4B4CC7}" destId="{E5AB7CE5-3C3D-4D9D-948C-6E98F974258B}" srcOrd="0" destOrd="0" presId="urn:microsoft.com/office/officeart/2005/8/layout/hierarchy1"/>
    <dgm:cxn modelId="{3C4BE225-FF95-4627-86F5-1FEC0E987C8E}" type="presParOf" srcId="{E5AB7CE5-3C3D-4D9D-948C-6E98F974258B}" destId="{BF09DF34-69BE-478A-BEFA-3649759B4E4D}" srcOrd="0" destOrd="0" presId="urn:microsoft.com/office/officeart/2005/8/layout/hierarchy1"/>
    <dgm:cxn modelId="{629D48D4-F732-4892-91BD-AD90B2DFA2D2}" type="presParOf" srcId="{E5AB7CE5-3C3D-4D9D-948C-6E98F974258B}" destId="{E10AB480-821A-4A83-B0ED-BA53F5A06D7C}" srcOrd="1" destOrd="0" presId="urn:microsoft.com/office/officeart/2005/8/layout/hierarchy1"/>
    <dgm:cxn modelId="{882D02A8-B705-4265-94F5-1158E26B40D9}" type="presParOf" srcId="{460987E9-E552-4F8E-B9FA-249C5B4B4CC7}" destId="{CB59A2DB-B324-4AED-BDDA-FF60DF468039}" srcOrd="1" destOrd="0" presId="urn:microsoft.com/office/officeart/2005/8/layout/hierarchy1"/>
    <dgm:cxn modelId="{1E45CCE5-3D8D-4EA6-A347-DDB9174C407F}" type="presParOf" srcId="{1D594DBA-7FB8-4164-999A-FA9E63D28550}" destId="{5C102CB7-4A90-4D03-A418-1043E7100AD2}" srcOrd="12" destOrd="0" presId="urn:microsoft.com/office/officeart/2005/8/layout/hierarchy1"/>
    <dgm:cxn modelId="{EE08FE3C-29E3-462E-9348-A13E0DDE6846}" type="presParOf" srcId="{1D594DBA-7FB8-4164-999A-FA9E63D28550}" destId="{3691F8DA-B774-4C56-9F2B-9457BEEE1DF6}" srcOrd="13" destOrd="0" presId="urn:microsoft.com/office/officeart/2005/8/layout/hierarchy1"/>
    <dgm:cxn modelId="{1D1BB8D5-0CBE-48FD-A217-B83C721C71F5}" type="presParOf" srcId="{3691F8DA-B774-4C56-9F2B-9457BEEE1DF6}" destId="{9A128289-5884-46EF-86DF-E8CDE19134AA}" srcOrd="0" destOrd="0" presId="urn:microsoft.com/office/officeart/2005/8/layout/hierarchy1"/>
    <dgm:cxn modelId="{DB25AC16-DBC8-4703-AA05-75B226D23684}" type="presParOf" srcId="{9A128289-5884-46EF-86DF-E8CDE19134AA}" destId="{B334FE29-FEE8-493F-9647-72310A434C9A}" srcOrd="0" destOrd="0" presId="urn:microsoft.com/office/officeart/2005/8/layout/hierarchy1"/>
    <dgm:cxn modelId="{4EF7BD06-01DB-4D39-B639-84D7B67BD654}" type="presParOf" srcId="{9A128289-5884-46EF-86DF-E8CDE19134AA}" destId="{0FB958E9-40D9-4C80-AA76-D1DCB0A3F5E9}" srcOrd="1" destOrd="0" presId="urn:microsoft.com/office/officeart/2005/8/layout/hierarchy1"/>
    <dgm:cxn modelId="{E29790AD-F3CB-4BB6-8BCC-A949BDB2FD52}" type="presParOf" srcId="{3691F8DA-B774-4C56-9F2B-9457BEEE1DF6}" destId="{3EF2973E-2527-4BA2-A422-D66866CD88C2}"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Regional Patent Organizations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EPO (38 member states)</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en-US"/>
            <a:t>EA (9 member states)</a:t>
          </a:r>
          <a:endParaRPr lang="ro-RO"/>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en-US"/>
            <a:t>AP (19 member states)</a:t>
          </a:r>
          <a:endParaRPr lang="ro-RO"/>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en-US"/>
            <a:t>OA (17 member states)</a:t>
          </a:r>
          <a:endParaRPr lang="ro-RO"/>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4"/>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4"/>
      <dgm:spPr/>
    </dgm:pt>
    <dgm:pt modelId="{6B788632-D491-4B86-894E-B0EF0B0030A0}" type="pres">
      <dgm:prSet presAssocID="{B0FEF7B5-F1C1-47BC-A03A-138A9504FDD6}" presName="text2" presStyleLbl="fgAcc2" presStyleIdx="0" presStyleCnt="4">
        <dgm:presLayoutVars>
          <dgm:chPref val="3"/>
        </dgm:presLayoutVars>
      </dgm:prSet>
      <dgm:spPr/>
    </dgm:pt>
    <dgm:pt modelId="{DFCC5A91-E615-4442-8218-7A9C3A4C7D9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4"/>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4"/>
      <dgm:spPr/>
    </dgm:pt>
    <dgm:pt modelId="{D001ACD0-14F4-4674-81E7-6958F8C47A46}" type="pres">
      <dgm:prSet presAssocID="{E64A642E-501C-443D-9357-F33D5D2CD08B}" presName="text2" presStyleLbl="fgAcc2" presStyleIdx="1" presStyleCnt="4">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4"/>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4"/>
      <dgm:spPr/>
    </dgm:pt>
    <dgm:pt modelId="{71C6CF7E-BE10-4C5C-9F13-DBE17BDE0FAA}" type="pres">
      <dgm:prSet presAssocID="{B08205D4-97E2-447D-AE0A-37C5054A40A7}" presName="text2" presStyleLbl="fgAcc2" presStyleIdx="2" presStyleCnt="4">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4"/>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4"/>
      <dgm:spPr/>
    </dgm:pt>
    <dgm:pt modelId="{60022835-B03D-4F51-B084-C53C3C5F3C5F}" type="pres">
      <dgm:prSet presAssocID="{204A4A64-11AF-43B0-A706-3041C31C7533}" presName="text2" presStyleLbl="fgAcc2" presStyleIdx="3" presStyleCnt="4">
        <dgm:presLayoutVars>
          <dgm:chPref val="3"/>
        </dgm:presLayoutVars>
      </dgm:prSet>
      <dgm:spPr/>
    </dgm:pt>
    <dgm:pt modelId="{2545035D-F602-4FDC-9CE4-BAB15331624A}" type="pres">
      <dgm:prSet presAssocID="{204A4A64-11AF-43B0-A706-3041C31C7533}" presName="hierChild3" presStyleCnt="0"/>
      <dgm:spPr/>
    </dgm:pt>
  </dgm:ptLst>
  <dgm:cxnLst>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EA3A1A6B-0FF8-4A9C-89F5-AFB9A00EC3C9}" type="presOf" srcId="{1C284C0D-7EE2-4B81-95A0-316CAEBDECCA}" destId="{F76933DA-CC89-49D6-A9C9-99E843F2C3B0}"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733DBC99-37C0-48B6-9893-743034586539}" type="presOf" srcId="{684DFDAD-C907-4E2E-95A2-9B5B09D3FB0D}" destId="{E76D2D81-FF88-4E24-ABAA-CBD90BB0D040}"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E016CBA6-2842-4E1B-BE24-B16C320521AE}" type="presOf" srcId="{A2AEA094-96E9-48AB-A3D4-041DD0DE1585}" destId="{98BBFCED-C8E5-4F97-87AD-7C1E77833058}" srcOrd="0" destOrd="0" presId="urn:microsoft.com/office/officeart/2005/8/layout/hierarchy1"/>
    <dgm:cxn modelId="{5E6E4BB6-502B-46A5-8CFA-7E4F6B71C2C5}" type="presOf" srcId="{B08205D4-97E2-447D-AE0A-37C5054A40A7}" destId="{71C6CF7E-BE10-4C5C-9F13-DBE17BDE0FAA}" srcOrd="0" destOrd="0" presId="urn:microsoft.com/office/officeart/2005/8/layout/hierarchy1"/>
    <dgm:cxn modelId="{AD1993E1-88B4-45CB-803D-30FC5635257C}" type="presOf" srcId="{204A4A64-11AF-43B0-A706-3041C31C7533}" destId="{60022835-B03D-4F51-B084-C53C3C5F3C5F}" srcOrd="0" destOrd="0" presId="urn:microsoft.com/office/officeart/2005/8/layout/hierarchy1"/>
    <dgm:cxn modelId="{18D896E9-5B45-402B-B105-BC816BD19912}" type="presOf" srcId="{E64A642E-501C-443D-9357-F33D5D2CD08B}" destId="{D001ACD0-14F4-4674-81E7-6958F8C47A46}"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5EB23E38-4C69-4AA4-9C18-B58D3B1479C4}" type="presParOf" srcId="{1D594DBA-7FB8-4164-999A-FA9E63D28550}" destId="{F76933DA-CC89-49D6-A9C9-99E843F2C3B0}" srcOrd="2" destOrd="0" presId="urn:microsoft.com/office/officeart/2005/8/layout/hierarchy1"/>
    <dgm:cxn modelId="{413554DB-64EC-4669-916F-959E6DC2BB21}" type="presParOf" srcId="{1D594DBA-7FB8-4164-999A-FA9E63D28550}" destId="{A14C18A6-8973-4DE5-867D-92D022D76366}" srcOrd="3" destOrd="0" presId="urn:microsoft.com/office/officeart/2005/8/layout/hierarchy1"/>
    <dgm:cxn modelId="{711B4FA8-E1B8-4F42-81BF-16A1AF0B204E}" type="presParOf" srcId="{A14C18A6-8973-4DE5-867D-92D022D76366}" destId="{82C99448-AEC6-4B1F-91EE-37FCF86C01DD}" srcOrd="0" destOrd="0" presId="urn:microsoft.com/office/officeart/2005/8/layout/hierarchy1"/>
    <dgm:cxn modelId="{66EDCF81-7806-4A0C-84DC-6CDB4156D4B7}" type="presParOf" srcId="{82C99448-AEC6-4B1F-91EE-37FCF86C01DD}" destId="{7A90D4F0-2269-4706-8C7B-0ABE3BB6CB13}" srcOrd="0" destOrd="0" presId="urn:microsoft.com/office/officeart/2005/8/layout/hierarchy1"/>
    <dgm:cxn modelId="{CA74899F-4C3B-410B-B077-EDDBF9FB64AF}" type="presParOf" srcId="{82C99448-AEC6-4B1F-91EE-37FCF86C01DD}" destId="{D001ACD0-14F4-4674-81E7-6958F8C47A46}" srcOrd="1" destOrd="0" presId="urn:microsoft.com/office/officeart/2005/8/layout/hierarchy1"/>
    <dgm:cxn modelId="{4741C8D9-476E-40F6-B683-5CA571175F04}" type="presParOf" srcId="{A14C18A6-8973-4DE5-867D-92D022D76366}" destId="{17FAE417-DF36-46A3-B5D5-FE23CAD12897}" srcOrd="1" destOrd="0" presId="urn:microsoft.com/office/officeart/2005/8/layout/hierarchy1"/>
    <dgm:cxn modelId="{34443173-C92A-41D0-9E8A-98A7BC1BEE70}" type="presParOf" srcId="{1D594DBA-7FB8-4164-999A-FA9E63D28550}" destId="{E76D2D81-FF88-4E24-ABAA-CBD90BB0D040}" srcOrd="4" destOrd="0" presId="urn:microsoft.com/office/officeart/2005/8/layout/hierarchy1"/>
    <dgm:cxn modelId="{AE7F2F78-A3DA-4167-89D2-987930885246}" type="presParOf" srcId="{1D594DBA-7FB8-4164-999A-FA9E63D28550}" destId="{192F0FE6-C79F-4713-999F-242AC8EE30D1}" srcOrd="5" destOrd="0" presId="urn:microsoft.com/office/officeart/2005/8/layout/hierarchy1"/>
    <dgm:cxn modelId="{E7C9ADFA-70F8-4AF1-806A-48475867637D}" type="presParOf" srcId="{192F0FE6-C79F-4713-999F-242AC8EE30D1}" destId="{7D7BCBE7-64F9-47DD-8A83-540A8AD7FB64}" srcOrd="0" destOrd="0" presId="urn:microsoft.com/office/officeart/2005/8/layout/hierarchy1"/>
    <dgm:cxn modelId="{D1BF7F3D-863A-4861-928A-5C08A9914249}" type="presParOf" srcId="{7D7BCBE7-64F9-47DD-8A83-540A8AD7FB64}" destId="{E726D2CB-426B-4B57-BEFE-03AC2FD45058}" srcOrd="0" destOrd="0" presId="urn:microsoft.com/office/officeart/2005/8/layout/hierarchy1"/>
    <dgm:cxn modelId="{5FCA36B8-4D6B-4C8C-8020-81AD10C9887A}" type="presParOf" srcId="{7D7BCBE7-64F9-47DD-8A83-540A8AD7FB64}" destId="{71C6CF7E-BE10-4C5C-9F13-DBE17BDE0FAA}" srcOrd="1" destOrd="0" presId="urn:microsoft.com/office/officeart/2005/8/layout/hierarchy1"/>
    <dgm:cxn modelId="{02080C8F-B9D1-4902-808F-9C22DEA3FE7C}" type="presParOf" srcId="{192F0FE6-C79F-4713-999F-242AC8EE30D1}" destId="{B61EE5EF-2E44-4170-ACAF-2CBBE884E95F}" srcOrd="1" destOrd="0" presId="urn:microsoft.com/office/officeart/2005/8/layout/hierarchy1"/>
    <dgm:cxn modelId="{D8C64708-B3F0-457B-8774-4550625D1E3B}" type="presParOf" srcId="{1D594DBA-7FB8-4164-999A-FA9E63D28550}" destId="{98BBFCED-C8E5-4F97-87AD-7C1E77833058}" srcOrd="6" destOrd="0" presId="urn:microsoft.com/office/officeart/2005/8/layout/hierarchy1"/>
    <dgm:cxn modelId="{3103673D-8287-4BDE-A9DF-03F41862CE22}" type="presParOf" srcId="{1D594DBA-7FB8-4164-999A-FA9E63D28550}" destId="{8A8ACF67-D8A3-479C-A696-07CE82844934}" srcOrd="7" destOrd="0" presId="urn:microsoft.com/office/officeart/2005/8/layout/hierarchy1"/>
    <dgm:cxn modelId="{DF48C6EE-3B20-43FE-8109-22CCDDD761C6}" type="presParOf" srcId="{8A8ACF67-D8A3-479C-A696-07CE82844934}" destId="{160953B0-1790-4499-B853-EBB79B982FBB}" srcOrd="0" destOrd="0" presId="urn:microsoft.com/office/officeart/2005/8/layout/hierarchy1"/>
    <dgm:cxn modelId="{74192757-C236-4AAF-9DCC-0AAF69164023}" type="presParOf" srcId="{160953B0-1790-4499-B853-EBB79B982FBB}" destId="{9FBE6E31-894F-4A8D-A995-3793189C2058}" srcOrd="0" destOrd="0" presId="urn:microsoft.com/office/officeart/2005/8/layout/hierarchy1"/>
    <dgm:cxn modelId="{0D746E9C-B26B-46B3-9541-99D85C40B590}" type="presParOf" srcId="{160953B0-1790-4499-B853-EBB79B982FBB}" destId="{60022835-B03D-4F51-B084-C53C3C5F3C5F}" srcOrd="1" destOrd="0" presId="urn:microsoft.com/office/officeart/2005/8/layout/hierarchy1"/>
    <dgm:cxn modelId="{66501983-853D-4B7A-ABA1-F02287920C89}" type="presParOf" srcId="{8A8ACF67-D8A3-479C-A696-07CE82844934}" destId="{2545035D-F602-4FDC-9CE4-BAB15331624A}" srcOrd="1" destOrd="0" presId="urn:microsoft.com/office/officeart/2005/8/layout/hierarchy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Composed jurisdictions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DE</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5FC3D3BB-2E2F-4254-A2BE-26D3C8F3A2CD}">
      <dgm:prSet phldrT="[Text]"/>
      <dgm:spPr/>
      <dgm:t>
        <a:bodyPr/>
        <a:lstStyle/>
        <a:p>
          <a:r>
            <a:rPr lang="en-US"/>
            <a:t>FR</a:t>
          </a:r>
          <a:endParaRPr lang="ro-RO"/>
        </a:p>
      </dgm:t>
    </dgm:pt>
    <dgm:pt modelId="{877A1A7A-C497-4660-B184-4B662CD80A9E}" type="parTrans" cxnId="{47689DEF-34A4-44B8-BD97-941FC95174AB}">
      <dgm:prSet/>
      <dgm:spPr/>
      <dgm:t>
        <a:bodyPr/>
        <a:lstStyle/>
        <a:p>
          <a:endParaRPr lang="ro-RO"/>
        </a:p>
      </dgm:t>
    </dgm:pt>
    <dgm:pt modelId="{8D247621-10FB-4ADE-B3DF-25C343E28717}" type="sibTrans" cxnId="{47689DEF-34A4-44B8-BD97-941FC95174AB}">
      <dgm:prSet/>
      <dgm:spPr/>
      <dgm:t>
        <a:bodyPr/>
        <a:lstStyle/>
        <a:p>
          <a:endParaRPr lang="ro-RO"/>
        </a:p>
      </dgm:t>
    </dgm:pt>
    <dgm:pt modelId="{02208A80-218D-44D5-97BD-4C044D98C6A8}">
      <dgm:prSet phldrT="[Text]"/>
      <dgm:spPr/>
      <dgm:t>
        <a:bodyPr/>
        <a:lstStyle/>
        <a:p>
          <a:r>
            <a:rPr lang="en-US"/>
            <a:t>RO</a:t>
          </a:r>
          <a:endParaRPr lang="ro-RO"/>
        </a:p>
      </dgm:t>
    </dgm:pt>
    <dgm:pt modelId="{7C674074-B70A-4416-97CD-6D95EDA3802A}" type="parTrans" cxnId="{87C0BE6C-E177-419F-A38A-AF5DDC95FA4B}">
      <dgm:prSet/>
      <dgm:spPr/>
      <dgm:t>
        <a:bodyPr/>
        <a:lstStyle/>
        <a:p>
          <a:endParaRPr lang="ro-RO"/>
        </a:p>
      </dgm:t>
    </dgm:pt>
    <dgm:pt modelId="{B96F1E6E-6EAE-454F-A137-2632C00FBD41}" type="sibTrans" cxnId="{87C0BE6C-E177-419F-A38A-AF5DDC95FA4B}">
      <dgm:prSet/>
      <dgm:spPr/>
      <dgm:t>
        <a:bodyPr/>
        <a:lstStyle/>
        <a:p>
          <a:endParaRPr lang="ro-RO"/>
        </a:p>
      </dgm:t>
    </dgm:pt>
    <dgm:pt modelId="{3879B39E-9520-4B19-92D4-1890DE747BA8}">
      <dgm:prSet phldrT="[Text]"/>
      <dgm:spPr/>
      <dgm:t>
        <a:bodyPr/>
        <a:lstStyle/>
        <a:p>
          <a:r>
            <a:rPr lang="en-US"/>
            <a:t>RU</a:t>
          </a:r>
          <a:endParaRPr lang="ro-RO"/>
        </a:p>
      </dgm:t>
    </dgm:pt>
    <dgm:pt modelId="{CED8D1EE-C15C-4BE0-904B-5D4A165E9501}" type="parTrans" cxnId="{72438197-43A2-43CE-B71F-1E53C7E71A62}">
      <dgm:prSet/>
      <dgm:spPr/>
      <dgm:t>
        <a:bodyPr/>
        <a:lstStyle/>
        <a:p>
          <a:endParaRPr lang="ro-RO"/>
        </a:p>
      </dgm:t>
    </dgm:pt>
    <dgm:pt modelId="{E4C19B34-DD9C-4F8F-98B4-B595B868BCD7}" type="sibTrans" cxnId="{72438197-43A2-43CE-B71F-1E53C7E71A62}">
      <dgm:prSet/>
      <dgm:spPr/>
      <dgm:t>
        <a:bodyPr/>
        <a:lstStyle/>
        <a:p>
          <a:endParaRPr lang="ro-RO"/>
        </a:p>
      </dgm:t>
    </dgm:pt>
    <dgm:pt modelId="{39A964F5-8C82-450E-94F0-3D525A2DA7E1}">
      <dgm:prSet phldrT="[Text]"/>
      <dgm:spPr/>
      <dgm:t>
        <a:bodyPr/>
        <a:lstStyle/>
        <a:p>
          <a:r>
            <a:rPr lang="en-US"/>
            <a:t>... +80 others</a:t>
          </a:r>
          <a:endParaRPr lang="ro-RO"/>
        </a:p>
      </dgm:t>
    </dgm:pt>
    <dgm:pt modelId="{1B4E7ABB-6AC7-48B5-B2E7-19319ED6777F}" type="parTrans" cxnId="{A0D8846C-F708-4791-8C19-C1E56D748E82}">
      <dgm:prSet/>
      <dgm:spPr/>
      <dgm:t>
        <a:bodyPr/>
        <a:lstStyle/>
        <a:p>
          <a:endParaRPr lang="ro-RO"/>
        </a:p>
      </dgm:t>
    </dgm:pt>
    <dgm:pt modelId="{7F36F952-A379-474A-93A6-3779466640D3}" type="sibTrans" cxnId="{A0D8846C-F708-4791-8C19-C1E56D748E82}">
      <dgm:prSet/>
      <dgm:spPr/>
      <dgm:t>
        <a:bodyPr/>
        <a:lstStyle/>
        <a:p>
          <a:endParaRPr lang="ro-RO"/>
        </a:p>
      </dgm:t>
    </dgm:pt>
    <dgm:pt modelId="{B0B188E4-35F1-423B-B947-3475BB145995}">
      <dgm:prSet phldrT="[Text]"/>
      <dgm:spPr/>
      <dgm:t>
        <a:bodyPr/>
        <a:lstStyle/>
        <a:p>
          <a:r>
            <a:rPr lang="en-US"/>
            <a:t>Standalone jurisdictions</a:t>
          </a:r>
          <a:endParaRPr lang="ro-RO"/>
        </a:p>
      </dgm:t>
    </dgm:pt>
    <dgm:pt modelId="{A7AA8B55-D68C-4CCE-895D-CE7E980FAEF1}" type="parTrans" cxnId="{BF74349C-4CA5-45CB-A03A-022042CB40C9}">
      <dgm:prSet/>
      <dgm:spPr/>
      <dgm:t>
        <a:bodyPr/>
        <a:lstStyle/>
        <a:p>
          <a:endParaRPr lang="ro-RO"/>
        </a:p>
      </dgm:t>
    </dgm:pt>
    <dgm:pt modelId="{40BA6F70-EE2B-4B8E-BA4E-58F3B43C5277}" type="sibTrans" cxnId="{BF74349C-4CA5-45CB-A03A-022042CB40C9}">
      <dgm:prSet/>
      <dgm:spPr/>
      <dgm:t>
        <a:bodyPr/>
        <a:lstStyle/>
        <a:p>
          <a:endParaRPr lang="ro-RO"/>
        </a:p>
      </dgm:t>
    </dgm:pt>
    <dgm:pt modelId="{51121BB1-4BA0-4F02-B075-FCF0211203FE}">
      <dgm:prSet phldrT="[Text]"/>
      <dgm:spPr/>
      <dgm:t>
        <a:bodyPr/>
        <a:lstStyle/>
        <a:p>
          <a:r>
            <a:rPr lang="en-US"/>
            <a:t>US</a:t>
          </a:r>
          <a:endParaRPr lang="ro-RO"/>
        </a:p>
      </dgm:t>
    </dgm:pt>
    <dgm:pt modelId="{6E3FEF07-E3AB-4012-BB0F-303466A83B23}" type="parTrans" cxnId="{999C4500-B79E-4572-A817-C91B9138BF03}">
      <dgm:prSet/>
      <dgm:spPr/>
      <dgm:t>
        <a:bodyPr/>
        <a:lstStyle/>
        <a:p>
          <a:endParaRPr lang="ro-RO"/>
        </a:p>
      </dgm:t>
    </dgm:pt>
    <dgm:pt modelId="{7C159EAF-04A2-423F-83EC-906A1FA43C70}" type="sibTrans" cxnId="{999C4500-B79E-4572-A817-C91B9138BF03}">
      <dgm:prSet/>
      <dgm:spPr/>
      <dgm:t>
        <a:bodyPr/>
        <a:lstStyle/>
        <a:p>
          <a:endParaRPr lang="ro-RO"/>
        </a:p>
      </dgm:t>
    </dgm:pt>
    <dgm:pt modelId="{0A4CDBBC-5BB2-4789-A2B9-D77D9DD1DDA6}">
      <dgm:prSet phldrT="[Text]"/>
      <dgm:spPr/>
      <dgm:t>
        <a:bodyPr/>
        <a:lstStyle/>
        <a:p>
          <a:r>
            <a:rPr lang="en-US"/>
            <a:t>JP</a:t>
          </a:r>
          <a:endParaRPr lang="ro-RO"/>
        </a:p>
      </dgm:t>
    </dgm:pt>
    <dgm:pt modelId="{672FEFD6-842B-44C2-BB3F-D82FBB2BD026}" type="parTrans" cxnId="{938B1ACA-7CD8-4C84-B776-CB48A5BE8FA9}">
      <dgm:prSet/>
      <dgm:spPr/>
      <dgm:t>
        <a:bodyPr/>
        <a:lstStyle/>
        <a:p>
          <a:endParaRPr lang="ro-RO"/>
        </a:p>
      </dgm:t>
    </dgm:pt>
    <dgm:pt modelId="{65AC737F-0AE6-4460-B1F0-58A0795612AE}" type="sibTrans" cxnId="{938B1ACA-7CD8-4C84-B776-CB48A5BE8FA9}">
      <dgm:prSet/>
      <dgm:spPr/>
      <dgm:t>
        <a:bodyPr/>
        <a:lstStyle/>
        <a:p>
          <a:endParaRPr lang="ro-RO"/>
        </a:p>
      </dgm:t>
    </dgm:pt>
    <dgm:pt modelId="{B0011A78-2EC6-45BF-AA12-2E63F53A3D00}">
      <dgm:prSet phldrT="[Text]"/>
      <dgm:spPr/>
      <dgm:t>
        <a:bodyPr/>
        <a:lstStyle/>
        <a:p>
          <a:r>
            <a:rPr lang="en-US"/>
            <a:t>CN</a:t>
          </a:r>
          <a:endParaRPr lang="ro-RO"/>
        </a:p>
      </dgm:t>
    </dgm:pt>
    <dgm:pt modelId="{F364B376-A956-4667-9327-7F191508B5A2}" type="parTrans" cxnId="{30CABC6C-4BC8-424A-A35C-92F44C3C3DA9}">
      <dgm:prSet/>
      <dgm:spPr/>
      <dgm:t>
        <a:bodyPr/>
        <a:lstStyle/>
        <a:p>
          <a:endParaRPr lang="ro-RO"/>
        </a:p>
      </dgm:t>
    </dgm:pt>
    <dgm:pt modelId="{693B8598-2C10-4438-946C-5FEAD1C7906F}" type="sibTrans" cxnId="{30CABC6C-4BC8-424A-A35C-92F44C3C3DA9}">
      <dgm:prSet/>
      <dgm:spPr/>
      <dgm:t>
        <a:bodyPr/>
        <a:lstStyle/>
        <a:p>
          <a:endParaRPr lang="ro-RO"/>
        </a:p>
      </dgm:t>
    </dgm:pt>
    <dgm:pt modelId="{04A85EFC-E162-49B5-A64E-8FA4B14F48F4}">
      <dgm:prSet phldrT="[Text]"/>
      <dgm:spPr/>
      <dgm:t>
        <a:bodyPr/>
        <a:lstStyle/>
        <a:p>
          <a:r>
            <a:rPr lang="en-US"/>
            <a:t>KR</a:t>
          </a:r>
          <a:endParaRPr lang="ro-RO"/>
        </a:p>
      </dgm:t>
    </dgm:pt>
    <dgm:pt modelId="{BD7C64BE-010E-4080-8F36-3941429380B6}" type="parTrans" cxnId="{B3BB7DAC-F098-40CA-92B1-0D0FA439A9D2}">
      <dgm:prSet/>
      <dgm:spPr/>
      <dgm:t>
        <a:bodyPr/>
        <a:lstStyle/>
        <a:p>
          <a:endParaRPr lang="ro-RO"/>
        </a:p>
      </dgm:t>
    </dgm:pt>
    <dgm:pt modelId="{CA1A5D60-AED7-4ECA-BECB-333E0A6B0C40}" type="sibTrans" cxnId="{B3BB7DAC-F098-40CA-92B1-0D0FA439A9D2}">
      <dgm:prSet/>
      <dgm:spPr/>
      <dgm:t>
        <a:bodyPr/>
        <a:lstStyle/>
        <a:p>
          <a:endParaRPr lang="ro-RO"/>
        </a:p>
      </dgm:t>
    </dgm:pt>
    <dgm:pt modelId="{89C6F7B3-BAD8-4913-8C6E-C6C603A4EEBE}">
      <dgm:prSet phldrT="[Text]"/>
      <dgm:spPr/>
      <dgm:t>
        <a:bodyPr/>
        <a:lstStyle/>
        <a:p>
          <a:r>
            <a:rPr lang="en-US"/>
            <a:t>... +30 others</a:t>
          </a:r>
          <a:endParaRPr lang="ro-RO"/>
        </a:p>
      </dgm:t>
    </dgm:pt>
    <dgm:pt modelId="{019DC3C1-533C-45E4-AABA-734138C677DB}" type="parTrans" cxnId="{678740D7-68D0-4D78-91CE-5235FB0EE422}">
      <dgm:prSet/>
      <dgm:spPr/>
      <dgm:t>
        <a:bodyPr/>
        <a:lstStyle/>
        <a:p>
          <a:endParaRPr lang="ro-RO"/>
        </a:p>
      </dgm:t>
    </dgm:pt>
    <dgm:pt modelId="{7F3866E3-6031-4C07-9789-8957AEBA5998}" type="sibTrans" cxnId="{678740D7-68D0-4D78-91CE-5235FB0EE422}">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2"/>
      <dgm:spPr/>
    </dgm:pt>
    <dgm:pt modelId="{E0CB718A-025B-478E-99CE-A425FA597C19}" type="pres">
      <dgm:prSet presAssocID="{A0B71AEC-B7AB-477E-BC0A-E9AC47D35701}" presName="text" presStyleLbl="fgAcc0" presStyleIdx="0" presStyleCnt="2">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10"/>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10"/>
      <dgm:spPr/>
    </dgm:pt>
    <dgm:pt modelId="{6B788632-D491-4B86-894E-B0EF0B0030A0}" type="pres">
      <dgm:prSet presAssocID="{B0FEF7B5-F1C1-47BC-A03A-138A9504FDD6}" presName="text2" presStyleLbl="fgAcc2" presStyleIdx="0" presStyleCnt="10">
        <dgm:presLayoutVars>
          <dgm:chPref val="3"/>
        </dgm:presLayoutVars>
      </dgm:prSet>
      <dgm:spPr/>
    </dgm:pt>
    <dgm:pt modelId="{DFCC5A91-E615-4442-8218-7A9C3A4C7D95}" type="pres">
      <dgm:prSet presAssocID="{B0FEF7B5-F1C1-47BC-A03A-138A9504FDD6}" presName="hierChild3" presStyleCnt="0"/>
      <dgm:spPr/>
    </dgm:pt>
    <dgm:pt modelId="{82A5286C-7035-4020-8E13-F6547E10BE42}" type="pres">
      <dgm:prSet presAssocID="{877A1A7A-C497-4660-B184-4B662CD80A9E}" presName="Name10" presStyleLbl="parChTrans1D2" presStyleIdx="1" presStyleCnt="10"/>
      <dgm:spPr/>
    </dgm:pt>
    <dgm:pt modelId="{D8166318-93AB-432D-B62C-97F7CA3DDC77}" type="pres">
      <dgm:prSet presAssocID="{5FC3D3BB-2E2F-4254-A2BE-26D3C8F3A2CD}" presName="hierRoot2" presStyleCnt="0"/>
      <dgm:spPr/>
    </dgm:pt>
    <dgm:pt modelId="{8C8FC95D-7AB4-4C46-97B2-E9DEFFCDE2D1}" type="pres">
      <dgm:prSet presAssocID="{5FC3D3BB-2E2F-4254-A2BE-26D3C8F3A2CD}" presName="composite2" presStyleCnt="0"/>
      <dgm:spPr/>
    </dgm:pt>
    <dgm:pt modelId="{37B8AFDB-E27A-4DA2-AF49-685525508CAF}" type="pres">
      <dgm:prSet presAssocID="{5FC3D3BB-2E2F-4254-A2BE-26D3C8F3A2CD}" presName="background2" presStyleLbl="node2" presStyleIdx="1" presStyleCnt="10"/>
      <dgm:spPr/>
    </dgm:pt>
    <dgm:pt modelId="{8C711C75-93DE-4F71-BBA7-A883FA67A0C3}" type="pres">
      <dgm:prSet presAssocID="{5FC3D3BB-2E2F-4254-A2BE-26D3C8F3A2CD}" presName="text2" presStyleLbl="fgAcc2" presStyleIdx="1" presStyleCnt="10">
        <dgm:presLayoutVars>
          <dgm:chPref val="3"/>
        </dgm:presLayoutVars>
      </dgm:prSet>
      <dgm:spPr/>
    </dgm:pt>
    <dgm:pt modelId="{EE86FF43-416F-493F-A28F-24103483614E}" type="pres">
      <dgm:prSet presAssocID="{5FC3D3BB-2E2F-4254-A2BE-26D3C8F3A2CD}" presName="hierChild3" presStyleCnt="0"/>
      <dgm:spPr/>
    </dgm:pt>
    <dgm:pt modelId="{A1127D81-1B3C-4FF4-862E-8CCA2CC7CB53}" type="pres">
      <dgm:prSet presAssocID="{7C674074-B70A-4416-97CD-6D95EDA3802A}" presName="Name10" presStyleLbl="parChTrans1D2" presStyleIdx="2" presStyleCnt="10"/>
      <dgm:spPr/>
    </dgm:pt>
    <dgm:pt modelId="{1F90326A-25B6-4386-B3D6-70128586390D}" type="pres">
      <dgm:prSet presAssocID="{02208A80-218D-44D5-97BD-4C044D98C6A8}" presName="hierRoot2" presStyleCnt="0"/>
      <dgm:spPr/>
    </dgm:pt>
    <dgm:pt modelId="{A8AE36FA-8B73-4C87-9C24-A38D28DEC292}" type="pres">
      <dgm:prSet presAssocID="{02208A80-218D-44D5-97BD-4C044D98C6A8}" presName="composite2" presStyleCnt="0"/>
      <dgm:spPr/>
    </dgm:pt>
    <dgm:pt modelId="{65D253CF-B107-49C6-A0BE-1D1EE60DC189}" type="pres">
      <dgm:prSet presAssocID="{02208A80-218D-44D5-97BD-4C044D98C6A8}" presName="background2" presStyleLbl="node2" presStyleIdx="2" presStyleCnt="10"/>
      <dgm:spPr/>
    </dgm:pt>
    <dgm:pt modelId="{6E207EEA-00B5-4766-9112-C8F8402FEC68}" type="pres">
      <dgm:prSet presAssocID="{02208A80-218D-44D5-97BD-4C044D98C6A8}" presName="text2" presStyleLbl="fgAcc2" presStyleIdx="2" presStyleCnt="10">
        <dgm:presLayoutVars>
          <dgm:chPref val="3"/>
        </dgm:presLayoutVars>
      </dgm:prSet>
      <dgm:spPr/>
    </dgm:pt>
    <dgm:pt modelId="{1292C75A-C3C1-4AFB-9BA8-167E2CFE43BB}" type="pres">
      <dgm:prSet presAssocID="{02208A80-218D-44D5-97BD-4C044D98C6A8}" presName="hierChild3" presStyleCnt="0"/>
      <dgm:spPr/>
    </dgm:pt>
    <dgm:pt modelId="{BDF4FC52-7606-427C-98AA-0246ADC3C75C}" type="pres">
      <dgm:prSet presAssocID="{CED8D1EE-C15C-4BE0-904B-5D4A165E9501}" presName="Name10" presStyleLbl="parChTrans1D2" presStyleIdx="3" presStyleCnt="10"/>
      <dgm:spPr/>
    </dgm:pt>
    <dgm:pt modelId="{B137D2D4-72DE-4688-B111-26302F07D529}" type="pres">
      <dgm:prSet presAssocID="{3879B39E-9520-4B19-92D4-1890DE747BA8}" presName="hierRoot2" presStyleCnt="0"/>
      <dgm:spPr/>
    </dgm:pt>
    <dgm:pt modelId="{05677C6F-5D62-43FB-83C8-6D52E779964A}" type="pres">
      <dgm:prSet presAssocID="{3879B39E-9520-4B19-92D4-1890DE747BA8}" presName="composite2" presStyleCnt="0"/>
      <dgm:spPr/>
    </dgm:pt>
    <dgm:pt modelId="{C08C9B73-1B4C-45DF-8CDF-66A4E6A5D7A8}" type="pres">
      <dgm:prSet presAssocID="{3879B39E-9520-4B19-92D4-1890DE747BA8}" presName="background2" presStyleLbl="node2" presStyleIdx="3" presStyleCnt="10"/>
      <dgm:spPr/>
    </dgm:pt>
    <dgm:pt modelId="{B37C5B7F-EC16-437A-B344-8AAE401678A0}" type="pres">
      <dgm:prSet presAssocID="{3879B39E-9520-4B19-92D4-1890DE747BA8}" presName="text2" presStyleLbl="fgAcc2" presStyleIdx="3" presStyleCnt="10">
        <dgm:presLayoutVars>
          <dgm:chPref val="3"/>
        </dgm:presLayoutVars>
      </dgm:prSet>
      <dgm:spPr/>
    </dgm:pt>
    <dgm:pt modelId="{D5289879-BBB7-4C2A-87A8-C5A96911720A}" type="pres">
      <dgm:prSet presAssocID="{3879B39E-9520-4B19-92D4-1890DE747BA8}" presName="hierChild3" presStyleCnt="0"/>
      <dgm:spPr/>
    </dgm:pt>
    <dgm:pt modelId="{84352E2B-7ECE-4FCF-B6DB-6C8DB67085DF}" type="pres">
      <dgm:prSet presAssocID="{1B4E7ABB-6AC7-48B5-B2E7-19319ED6777F}" presName="Name10" presStyleLbl="parChTrans1D2" presStyleIdx="4" presStyleCnt="10"/>
      <dgm:spPr/>
    </dgm:pt>
    <dgm:pt modelId="{A65D619F-553C-4954-A085-20F774092718}" type="pres">
      <dgm:prSet presAssocID="{39A964F5-8C82-450E-94F0-3D525A2DA7E1}" presName="hierRoot2" presStyleCnt="0"/>
      <dgm:spPr/>
    </dgm:pt>
    <dgm:pt modelId="{504770E0-364E-4112-B3E8-0979DA91610B}" type="pres">
      <dgm:prSet presAssocID="{39A964F5-8C82-450E-94F0-3D525A2DA7E1}" presName="composite2" presStyleCnt="0"/>
      <dgm:spPr/>
    </dgm:pt>
    <dgm:pt modelId="{E9057711-916D-4418-95A7-C850BCA2B7A3}" type="pres">
      <dgm:prSet presAssocID="{39A964F5-8C82-450E-94F0-3D525A2DA7E1}" presName="background2" presStyleLbl="node2" presStyleIdx="4" presStyleCnt="10"/>
      <dgm:spPr/>
    </dgm:pt>
    <dgm:pt modelId="{45AD4701-4CA5-4FC2-BD6E-EA083F93E99F}" type="pres">
      <dgm:prSet presAssocID="{39A964F5-8C82-450E-94F0-3D525A2DA7E1}" presName="text2" presStyleLbl="fgAcc2" presStyleIdx="4" presStyleCnt="10">
        <dgm:presLayoutVars>
          <dgm:chPref val="3"/>
        </dgm:presLayoutVars>
      </dgm:prSet>
      <dgm:spPr/>
    </dgm:pt>
    <dgm:pt modelId="{A4F5B9D1-58B5-4682-9749-2CA63DDFF9BC}" type="pres">
      <dgm:prSet presAssocID="{39A964F5-8C82-450E-94F0-3D525A2DA7E1}" presName="hierChild3" presStyleCnt="0"/>
      <dgm:spPr/>
    </dgm:pt>
    <dgm:pt modelId="{7090B55C-79C2-4F20-B5E4-332BC80B6076}" type="pres">
      <dgm:prSet presAssocID="{B0B188E4-35F1-423B-B947-3475BB145995}" presName="hierRoot1" presStyleCnt="0"/>
      <dgm:spPr/>
    </dgm:pt>
    <dgm:pt modelId="{D5A3C693-34AE-41AF-A825-FF3F33367906}" type="pres">
      <dgm:prSet presAssocID="{B0B188E4-35F1-423B-B947-3475BB145995}" presName="composite" presStyleCnt="0"/>
      <dgm:spPr/>
    </dgm:pt>
    <dgm:pt modelId="{3007B737-7FD1-49F8-825C-CE4C3CBA8A8A}" type="pres">
      <dgm:prSet presAssocID="{B0B188E4-35F1-423B-B947-3475BB145995}" presName="background" presStyleLbl="node0" presStyleIdx="1" presStyleCnt="2"/>
      <dgm:spPr/>
    </dgm:pt>
    <dgm:pt modelId="{FCB1282F-BBBE-40D3-8584-F978F1365840}" type="pres">
      <dgm:prSet presAssocID="{B0B188E4-35F1-423B-B947-3475BB145995}" presName="text" presStyleLbl="fgAcc0" presStyleIdx="1" presStyleCnt="2">
        <dgm:presLayoutVars>
          <dgm:chPref val="3"/>
        </dgm:presLayoutVars>
      </dgm:prSet>
      <dgm:spPr/>
    </dgm:pt>
    <dgm:pt modelId="{F81891B7-50DF-4B58-BFE2-A22FC4C5109B}" type="pres">
      <dgm:prSet presAssocID="{B0B188E4-35F1-423B-B947-3475BB145995}" presName="hierChild2" presStyleCnt="0"/>
      <dgm:spPr/>
    </dgm:pt>
    <dgm:pt modelId="{AE935BF4-7BA9-4FFB-8267-422774B55B4D}" type="pres">
      <dgm:prSet presAssocID="{6E3FEF07-E3AB-4012-BB0F-303466A83B23}" presName="Name10" presStyleLbl="parChTrans1D2" presStyleIdx="5" presStyleCnt="10"/>
      <dgm:spPr/>
    </dgm:pt>
    <dgm:pt modelId="{372BEBA8-FB77-4E28-8A4D-001A4F4B5C08}" type="pres">
      <dgm:prSet presAssocID="{51121BB1-4BA0-4F02-B075-FCF0211203FE}" presName="hierRoot2" presStyleCnt="0"/>
      <dgm:spPr/>
    </dgm:pt>
    <dgm:pt modelId="{E0E828A3-11C3-49BC-A123-157F88E45D9D}" type="pres">
      <dgm:prSet presAssocID="{51121BB1-4BA0-4F02-B075-FCF0211203FE}" presName="composite2" presStyleCnt="0"/>
      <dgm:spPr/>
    </dgm:pt>
    <dgm:pt modelId="{1E6EF6B0-F36C-4516-8099-9B35050CC7C8}" type="pres">
      <dgm:prSet presAssocID="{51121BB1-4BA0-4F02-B075-FCF0211203FE}" presName="background2" presStyleLbl="node2" presStyleIdx="5" presStyleCnt="10"/>
      <dgm:spPr/>
    </dgm:pt>
    <dgm:pt modelId="{7B10D921-5950-4740-9FBA-A3A7A6F8F9AA}" type="pres">
      <dgm:prSet presAssocID="{51121BB1-4BA0-4F02-B075-FCF0211203FE}" presName="text2" presStyleLbl="fgAcc2" presStyleIdx="5" presStyleCnt="10">
        <dgm:presLayoutVars>
          <dgm:chPref val="3"/>
        </dgm:presLayoutVars>
      </dgm:prSet>
      <dgm:spPr/>
    </dgm:pt>
    <dgm:pt modelId="{D8F148AC-1846-46D3-91DD-B82A080C9633}" type="pres">
      <dgm:prSet presAssocID="{51121BB1-4BA0-4F02-B075-FCF0211203FE}" presName="hierChild3" presStyleCnt="0"/>
      <dgm:spPr/>
    </dgm:pt>
    <dgm:pt modelId="{EB2037A6-B0F6-4C68-86AE-51376AEB5BCC}" type="pres">
      <dgm:prSet presAssocID="{672FEFD6-842B-44C2-BB3F-D82FBB2BD026}" presName="Name10" presStyleLbl="parChTrans1D2" presStyleIdx="6" presStyleCnt="10"/>
      <dgm:spPr/>
    </dgm:pt>
    <dgm:pt modelId="{B3FFB67C-1DFB-46FD-B95D-56E6DC28E19F}" type="pres">
      <dgm:prSet presAssocID="{0A4CDBBC-5BB2-4789-A2B9-D77D9DD1DDA6}" presName="hierRoot2" presStyleCnt="0"/>
      <dgm:spPr/>
    </dgm:pt>
    <dgm:pt modelId="{4120CB93-9379-4F0F-BA12-B03A2A3B1D46}" type="pres">
      <dgm:prSet presAssocID="{0A4CDBBC-5BB2-4789-A2B9-D77D9DD1DDA6}" presName="composite2" presStyleCnt="0"/>
      <dgm:spPr/>
    </dgm:pt>
    <dgm:pt modelId="{5CE25BD2-D6FA-4C5E-826F-0F402EFA0081}" type="pres">
      <dgm:prSet presAssocID="{0A4CDBBC-5BB2-4789-A2B9-D77D9DD1DDA6}" presName="background2" presStyleLbl="node2" presStyleIdx="6" presStyleCnt="10"/>
      <dgm:spPr/>
    </dgm:pt>
    <dgm:pt modelId="{3213356D-09BA-4634-B5E7-8B67B0D8BCB6}" type="pres">
      <dgm:prSet presAssocID="{0A4CDBBC-5BB2-4789-A2B9-D77D9DD1DDA6}" presName="text2" presStyleLbl="fgAcc2" presStyleIdx="6" presStyleCnt="10">
        <dgm:presLayoutVars>
          <dgm:chPref val="3"/>
        </dgm:presLayoutVars>
      </dgm:prSet>
      <dgm:spPr/>
    </dgm:pt>
    <dgm:pt modelId="{EDF1A351-CB6D-47A7-B279-51E61EDC47DF}" type="pres">
      <dgm:prSet presAssocID="{0A4CDBBC-5BB2-4789-A2B9-D77D9DD1DDA6}" presName="hierChild3" presStyleCnt="0"/>
      <dgm:spPr/>
    </dgm:pt>
    <dgm:pt modelId="{2FF69145-2061-41DA-867C-B10B254472E9}" type="pres">
      <dgm:prSet presAssocID="{F364B376-A956-4667-9327-7F191508B5A2}" presName="Name10" presStyleLbl="parChTrans1D2" presStyleIdx="7" presStyleCnt="10"/>
      <dgm:spPr/>
    </dgm:pt>
    <dgm:pt modelId="{F5CE14D5-08E6-44BB-A453-40CB894A77E8}" type="pres">
      <dgm:prSet presAssocID="{B0011A78-2EC6-45BF-AA12-2E63F53A3D00}" presName="hierRoot2" presStyleCnt="0"/>
      <dgm:spPr/>
    </dgm:pt>
    <dgm:pt modelId="{D38576F4-7820-4A44-BC6E-C5CB59395A09}" type="pres">
      <dgm:prSet presAssocID="{B0011A78-2EC6-45BF-AA12-2E63F53A3D00}" presName="composite2" presStyleCnt="0"/>
      <dgm:spPr/>
    </dgm:pt>
    <dgm:pt modelId="{2DCBF2A7-3121-4F32-BFA3-F506CA9445B3}" type="pres">
      <dgm:prSet presAssocID="{B0011A78-2EC6-45BF-AA12-2E63F53A3D00}" presName="background2" presStyleLbl="node2" presStyleIdx="7" presStyleCnt="10"/>
      <dgm:spPr/>
    </dgm:pt>
    <dgm:pt modelId="{6A30382B-A7CD-4C12-9431-905B220C9126}" type="pres">
      <dgm:prSet presAssocID="{B0011A78-2EC6-45BF-AA12-2E63F53A3D00}" presName="text2" presStyleLbl="fgAcc2" presStyleIdx="7" presStyleCnt="10">
        <dgm:presLayoutVars>
          <dgm:chPref val="3"/>
        </dgm:presLayoutVars>
      </dgm:prSet>
      <dgm:spPr/>
    </dgm:pt>
    <dgm:pt modelId="{2907AB5F-4FCF-44D5-BA22-992187055F06}" type="pres">
      <dgm:prSet presAssocID="{B0011A78-2EC6-45BF-AA12-2E63F53A3D00}" presName="hierChild3" presStyleCnt="0"/>
      <dgm:spPr/>
    </dgm:pt>
    <dgm:pt modelId="{9DE93249-292C-4BC8-AFE3-91CCF3B278C8}" type="pres">
      <dgm:prSet presAssocID="{BD7C64BE-010E-4080-8F36-3941429380B6}" presName="Name10" presStyleLbl="parChTrans1D2" presStyleIdx="8" presStyleCnt="10"/>
      <dgm:spPr/>
    </dgm:pt>
    <dgm:pt modelId="{009DA8C7-B8BB-4A28-9C98-6BDC1363616C}" type="pres">
      <dgm:prSet presAssocID="{04A85EFC-E162-49B5-A64E-8FA4B14F48F4}" presName="hierRoot2" presStyleCnt="0"/>
      <dgm:spPr/>
    </dgm:pt>
    <dgm:pt modelId="{804CBFF9-AA08-4CE5-B1E4-E1E0975C7655}" type="pres">
      <dgm:prSet presAssocID="{04A85EFC-E162-49B5-A64E-8FA4B14F48F4}" presName="composite2" presStyleCnt="0"/>
      <dgm:spPr/>
    </dgm:pt>
    <dgm:pt modelId="{61C118A6-C5B5-46EE-8201-71924792BB49}" type="pres">
      <dgm:prSet presAssocID="{04A85EFC-E162-49B5-A64E-8FA4B14F48F4}" presName="background2" presStyleLbl="node2" presStyleIdx="8" presStyleCnt="10"/>
      <dgm:spPr/>
    </dgm:pt>
    <dgm:pt modelId="{9A9E4C6D-DF8F-44BD-BF40-6B4F5C8C90D7}" type="pres">
      <dgm:prSet presAssocID="{04A85EFC-E162-49B5-A64E-8FA4B14F48F4}" presName="text2" presStyleLbl="fgAcc2" presStyleIdx="8" presStyleCnt="10">
        <dgm:presLayoutVars>
          <dgm:chPref val="3"/>
        </dgm:presLayoutVars>
      </dgm:prSet>
      <dgm:spPr/>
    </dgm:pt>
    <dgm:pt modelId="{46EEC33F-9509-483B-9152-B89A8A4C8ED6}" type="pres">
      <dgm:prSet presAssocID="{04A85EFC-E162-49B5-A64E-8FA4B14F48F4}" presName="hierChild3" presStyleCnt="0"/>
      <dgm:spPr/>
    </dgm:pt>
    <dgm:pt modelId="{833FCDE7-95D1-4ED2-BC27-9DBA434FF78B}" type="pres">
      <dgm:prSet presAssocID="{019DC3C1-533C-45E4-AABA-734138C677DB}" presName="Name10" presStyleLbl="parChTrans1D2" presStyleIdx="9" presStyleCnt="10"/>
      <dgm:spPr/>
    </dgm:pt>
    <dgm:pt modelId="{65AE61EB-12C8-4013-83A7-3582E2CD12A0}" type="pres">
      <dgm:prSet presAssocID="{89C6F7B3-BAD8-4913-8C6E-C6C603A4EEBE}" presName="hierRoot2" presStyleCnt="0"/>
      <dgm:spPr/>
    </dgm:pt>
    <dgm:pt modelId="{E9626FCE-2B81-4786-A6E7-8547D13CB9C9}" type="pres">
      <dgm:prSet presAssocID="{89C6F7B3-BAD8-4913-8C6E-C6C603A4EEBE}" presName="composite2" presStyleCnt="0"/>
      <dgm:spPr/>
    </dgm:pt>
    <dgm:pt modelId="{EF7EF9E4-9C15-4DEB-8C16-7C2839C73D5D}" type="pres">
      <dgm:prSet presAssocID="{89C6F7B3-BAD8-4913-8C6E-C6C603A4EEBE}" presName="background2" presStyleLbl="node2" presStyleIdx="9" presStyleCnt="10"/>
      <dgm:spPr/>
    </dgm:pt>
    <dgm:pt modelId="{319248ED-300B-4FA8-A75F-0677C8AAB07E}" type="pres">
      <dgm:prSet presAssocID="{89C6F7B3-BAD8-4913-8C6E-C6C603A4EEBE}" presName="text2" presStyleLbl="fgAcc2" presStyleIdx="9" presStyleCnt="10">
        <dgm:presLayoutVars>
          <dgm:chPref val="3"/>
        </dgm:presLayoutVars>
      </dgm:prSet>
      <dgm:spPr/>
    </dgm:pt>
    <dgm:pt modelId="{8D0EF72F-1884-4FF1-A858-1D4293A54DDC}" type="pres">
      <dgm:prSet presAssocID="{89C6F7B3-BAD8-4913-8C6E-C6C603A4EEBE}" presName="hierChild3" presStyleCnt="0"/>
      <dgm:spPr/>
    </dgm:pt>
  </dgm:ptLst>
  <dgm:cxnLst>
    <dgm:cxn modelId="{999C4500-B79E-4572-A817-C91B9138BF03}" srcId="{B0B188E4-35F1-423B-B947-3475BB145995}" destId="{51121BB1-4BA0-4F02-B075-FCF0211203FE}" srcOrd="0" destOrd="0" parTransId="{6E3FEF07-E3AB-4012-BB0F-303466A83B23}" sibTransId="{7C159EAF-04A2-423F-83EC-906A1FA43C70}"/>
    <dgm:cxn modelId="{1E7C9406-04F1-4322-9665-A7621BA2E7B6}" srcId="{A0B71AEC-B7AB-477E-BC0A-E9AC47D35701}" destId="{B0FEF7B5-F1C1-47BC-A03A-138A9504FDD6}" srcOrd="0" destOrd="0" parTransId="{E4D5A858-86E6-404E-8FC9-6B9D05A01F73}" sibTransId="{F7596F82-5ECD-45F2-AEEE-D7934D6C2184}"/>
    <dgm:cxn modelId="{210CFD0A-0ECC-452A-9619-4981212F24FC}" type="presOf" srcId="{B0011A78-2EC6-45BF-AA12-2E63F53A3D00}" destId="{6A30382B-A7CD-4C12-9431-905B220C9126}" srcOrd="0" destOrd="0" presId="urn:microsoft.com/office/officeart/2005/8/layout/hierarchy1"/>
    <dgm:cxn modelId="{DF820918-D117-4418-862E-7FC9E93B42D3}" type="presOf" srcId="{019DC3C1-533C-45E4-AABA-734138C677DB}" destId="{833FCDE7-95D1-4ED2-BC27-9DBA434FF78B}" srcOrd="0" destOrd="0" presId="urn:microsoft.com/office/officeart/2005/8/layout/hierarchy1"/>
    <dgm:cxn modelId="{251A9525-AB5B-4675-B9DF-404D03AC5AC8}" type="presOf" srcId="{1B4E7ABB-6AC7-48B5-B2E7-19319ED6777F}" destId="{84352E2B-7ECE-4FCF-B6DB-6C8DB67085DF}" srcOrd="0" destOrd="0" presId="urn:microsoft.com/office/officeart/2005/8/layout/hierarchy1"/>
    <dgm:cxn modelId="{B193F626-D98D-4F9E-A20F-D4850CEE0118}" type="presOf" srcId="{A0B71AEC-B7AB-477E-BC0A-E9AC47D35701}" destId="{E0CB718A-025B-478E-99CE-A425FA597C19}" srcOrd="0" destOrd="0" presId="urn:microsoft.com/office/officeart/2005/8/layout/hierarchy1"/>
    <dgm:cxn modelId="{26C89137-A18B-4D1F-BEBF-9BC46C6D5E0B}" type="presOf" srcId="{02208A80-218D-44D5-97BD-4C044D98C6A8}" destId="{6E207EEA-00B5-4766-9112-C8F8402FEC68}"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50D2A245-45ED-4DC9-A9CD-D94DB580C743}" type="presOf" srcId="{04A85EFC-E162-49B5-A64E-8FA4B14F48F4}" destId="{9A9E4C6D-DF8F-44BD-BF40-6B4F5C8C90D7}" srcOrd="0" destOrd="0" presId="urn:microsoft.com/office/officeart/2005/8/layout/hierarchy1"/>
    <dgm:cxn modelId="{67EB0668-A23C-4029-9168-AA9F28C3132D}" type="presOf" srcId="{3879B39E-9520-4B19-92D4-1890DE747BA8}" destId="{B37C5B7F-EC16-437A-B344-8AAE401678A0}" srcOrd="0" destOrd="0" presId="urn:microsoft.com/office/officeart/2005/8/layout/hierarchy1"/>
    <dgm:cxn modelId="{71AE856A-2517-41A9-B401-8D000D6A1730}" type="presOf" srcId="{7C674074-B70A-4416-97CD-6D95EDA3802A}" destId="{A1127D81-1B3C-4FF4-862E-8CCA2CC7CB53}" srcOrd="0" destOrd="0" presId="urn:microsoft.com/office/officeart/2005/8/layout/hierarchy1"/>
    <dgm:cxn modelId="{A0D8846C-F708-4791-8C19-C1E56D748E82}" srcId="{A0B71AEC-B7AB-477E-BC0A-E9AC47D35701}" destId="{39A964F5-8C82-450E-94F0-3D525A2DA7E1}" srcOrd="4" destOrd="0" parTransId="{1B4E7ABB-6AC7-48B5-B2E7-19319ED6777F}" sibTransId="{7F36F952-A379-474A-93A6-3779466640D3}"/>
    <dgm:cxn modelId="{30CABC6C-4BC8-424A-A35C-92F44C3C3DA9}" srcId="{B0B188E4-35F1-423B-B947-3475BB145995}" destId="{B0011A78-2EC6-45BF-AA12-2E63F53A3D00}" srcOrd="2" destOrd="0" parTransId="{F364B376-A956-4667-9327-7F191508B5A2}" sibTransId="{693B8598-2C10-4438-946C-5FEAD1C7906F}"/>
    <dgm:cxn modelId="{87C0BE6C-E177-419F-A38A-AF5DDC95FA4B}" srcId="{A0B71AEC-B7AB-477E-BC0A-E9AC47D35701}" destId="{02208A80-218D-44D5-97BD-4C044D98C6A8}" srcOrd="2" destOrd="0" parTransId="{7C674074-B70A-4416-97CD-6D95EDA3802A}" sibTransId="{B96F1E6E-6EAE-454F-A137-2632C00FBD41}"/>
    <dgm:cxn modelId="{2DAC1B4E-BE71-4307-B9F0-20FF62671572}" type="presOf" srcId="{51121BB1-4BA0-4F02-B075-FCF0211203FE}" destId="{7B10D921-5950-4740-9FBA-A3A7A6F8F9AA}"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4E4D7070-D5B7-457A-8F87-7C984FC95327}" type="presOf" srcId="{B0B188E4-35F1-423B-B947-3475BB145995}" destId="{FCB1282F-BBBE-40D3-8584-F978F1365840}" srcOrd="0" destOrd="0" presId="urn:microsoft.com/office/officeart/2005/8/layout/hierarchy1"/>
    <dgm:cxn modelId="{F071ED50-D4EF-474E-A109-FDB4A86C23C0}" type="presOf" srcId="{5FC3D3BB-2E2F-4254-A2BE-26D3C8F3A2CD}" destId="{8C711C75-93DE-4F71-BBA7-A883FA67A0C3}" srcOrd="0" destOrd="0" presId="urn:microsoft.com/office/officeart/2005/8/layout/hierarchy1"/>
    <dgm:cxn modelId="{0B15D97A-AC57-4424-86B5-30D1E30A5F18}" type="presOf" srcId="{0A4CDBBC-5BB2-4789-A2B9-D77D9DD1DDA6}" destId="{3213356D-09BA-4634-B5E7-8B67B0D8BCB6}" srcOrd="0" destOrd="0" presId="urn:microsoft.com/office/officeart/2005/8/layout/hierarchy1"/>
    <dgm:cxn modelId="{DFAB107B-8A67-4A19-90F5-9DE2DD48A861}" type="presOf" srcId="{89C6F7B3-BAD8-4913-8C6E-C6C603A4EEBE}" destId="{319248ED-300B-4FA8-A75F-0677C8AAB07E}" srcOrd="0" destOrd="0" presId="urn:microsoft.com/office/officeart/2005/8/layout/hierarchy1"/>
    <dgm:cxn modelId="{72438197-43A2-43CE-B71F-1E53C7E71A62}" srcId="{A0B71AEC-B7AB-477E-BC0A-E9AC47D35701}" destId="{3879B39E-9520-4B19-92D4-1890DE747BA8}" srcOrd="3" destOrd="0" parTransId="{CED8D1EE-C15C-4BE0-904B-5D4A165E9501}" sibTransId="{E4C19B34-DD9C-4F8F-98B4-B595B868BCD7}"/>
    <dgm:cxn modelId="{6B0CF19A-2027-4CFF-B9F7-EAB5454FBBFB}" type="presOf" srcId="{672FEFD6-842B-44C2-BB3F-D82FBB2BD026}" destId="{EB2037A6-B0F6-4C68-86AE-51376AEB5BCC}"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BF74349C-4CA5-45CB-A03A-022042CB40C9}" srcId="{D638658B-6705-4460-844F-D619AF7E2B24}" destId="{B0B188E4-35F1-423B-B947-3475BB145995}" srcOrd="1" destOrd="0" parTransId="{A7AA8B55-D68C-4CCE-895D-CE7E980FAEF1}" sibTransId="{40BA6F70-EE2B-4B8E-BA4E-58F3B43C5277}"/>
    <dgm:cxn modelId="{F70692A7-4034-4C38-A2EB-3090FD729D8D}" type="presOf" srcId="{39A964F5-8C82-450E-94F0-3D525A2DA7E1}" destId="{45AD4701-4CA5-4FC2-BD6E-EA083F93E99F}" srcOrd="0" destOrd="0" presId="urn:microsoft.com/office/officeart/2005/8/layout/hierarchy1"/>
    <dgm:cxn modelId="{B3BB7DAC-F098-40CA-92B1-0D0FA439A9D2}" srcId="{B0B188E4-35F1-423B-B947-3475BB145995}" destId="{04A85EFC-E162-49B5-A64E-8FA4B14F48F4}" srcOrd="3" destOrd="0" parTransId="{BD7C64BE-010E-4080-8F36-3941429380B6}" sibTransId="{CA1A5D60-AED7-4ECA-BECB-333E0A6B0C40}"/>
    <dgm:cxn modelId="{938B1ACA-7CD8-4C84-B776-CB48A5BE8FA9}" srcId="{B0B188E4-35F1-423B-B947-3475BB145995}" destId="{0A4CDBBC-5BB2-4789-A2B9-D77D9DD1DDA6}" srcOrd="1" destOrd="0" parTransId="{672FEFD6-842B-44C2-BB3F-D82FBB2BD026}" sibTransId="{65AC737F-0AE6-4460-B1F0-58A0795612AE}"/>
    <dgm:cxn modelId="{27DAB9D2-DF94-40CC-B7BD-2B95C731CB9C}" type="presOf" srcId="{BD7C64BE-010E-4080-8F36-3941429380B6}" destId="{9DE93249-292C-4BC8-AFE3-91CCF3B278C8}" srcOrd="0" destOrd="0" presId="urn:microsoft.com/office/officeart/2005/8/layout/hierarchy1"/>
    <dgm:cxn modelId="{678740D7-68D0-4D78-91CE-5235FB0EE422}" srcId="{B0B188E4-35F1-423B-B947-3475BB145995}" destId="{89C6F7B3-BAD8-4913-8C6E-C6C603A4EEBE}" srcOrd="4" destOrd="0" parTransId="{019DC3C1-533C-45E4-AABA-734138C677DB}" sibTransId="{7F3866E3-6031-4C07-9789-8957AEBA5998}"/>
    <dgm:cxn modelId="{C37301E2-56AE-40A4-840A-A30A815B0FAF}" type="presOf" srcId="{F364B376-A956-4667-9327-7F191508B5A2}" destId="{2FF69145-2061-41DA-867C-B10B254472E9}" srcOrd="0" destOrd="0" presId="urn:microsoft.com/office/officeart/2005/8/layout/hierarchy1"/>
    <dgm:cxn modelId="{47689DEF-34A4-44B8-BD97-941FC95174AB}" srcId="{A0B71AEC-B7AB-477E-BC0A-E9AC47D35701}" destId="{5FC3D3BB-2E2F-4254-A2BE-26D3C8F3A2CD}" srcOrd="1" destOrd="0" parTransId="{877A1A7A-C497-4660-B184-4B662CD80A9E}" sibTransId="{8D247621-10FB-4ADE-B3DF-25C343E28717}"/>
    <dgm:cxn modelId="{F33E79F8-E3D7-4141-8051-2042F5B0B572}" type="presOf" srcId="{877A1A7A-C497-4660-B184-4B662CD80A9E}" destId="{82A5286C-7035-4020-8E13-F6547E10BE42}"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DD37BCFC-1AC7-48BB-9AD7-1DE3FE746690}" type="presOf" srcId="{6E3FEF07-E3AB-4012-BB0F-303466A83B23}" destId="{AE935BF4-7BA9-4FFB-8267-422774B55B4D}" srcOrd="0" destOrd="0" presId="urn:microsoft.com/office/officeart/2005/8/layout/hierarchy1"/>
    <dgm:cxn modelId="{1D7344FF-8E27-4674-80DB-336DF4752C5D}" type="presOf" srcId="{CED8D1EE-C15C-4BE0-904B-5D4A165E9501}" destId="{BDF4FC52-7606-427C-98AA-0246ADC3C75C}"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2E47E71C-3208-45B9-8970-03238EEA4455}" type="presParOf" srcId="{1D594DBA-7FB8-4164-999A-FA9E63D28550}" destId="{82A5286C-7035-4020-8E13-F6547E10BE42}" srcOrd="2" destOrd="0" presId="urn:microsoft.com/office/officeart/2005/8/layout/hierarchy1"/>
    <dgm:cxn modelId="{B70926D5-13E8-485C-9DFA-FB2B265B0758}" type="presParOf" srcId="{1D594DBA-7FB8-4164-999A-FA9E63D28550}" destId="{D8166318-93AB-432D-B62C-97F7CA3DDC77}" srcOrd="3" destOrd="0" presId="urn:microsoft.com/office/officeart/2005/8/layout/hierarchy1"/>
    <dgm:cxn modelId="{B9379EA5-BFE2-4F97-B3FF-11940AA4818F}" type="presParOf" srcId="{D8166318-93AB-432D-B62C-97F7CA3DDC77}" destId="{8C8FC95D-7AB4-4C46-97B2-E9DEFFCDE2D1}" srcOrd="0" destOrd="0" presId="urn:microsoft.com/office/officeart/2005/8/layout/hierarchy1"/>
    <dgm:cxn modelId="{4A67F998-2EB6-4971-B001-243D614B330C}" type="presParOf" srcId="{8C8FC95D-7AB4-4C46-97B2-E9DEFFCDE2D1}" destId="{37B8AFDB-E27A-4DA2-AF49-685525508CAF}" srcOrd="0" destOrd="0" presId="urn:microsoft.com/office/officeart/2005/8/layout/hierarchy1"/>
    <dgm:cxn modelId="{6758F846-C667-4B42-BA68-276775B93D90}" type="presParOf" srcId="{8C8FC95D-7AB4-4C46-97B2-E9DEFFCDE2D1}" destId="{8C711C75-93DE-4F71-BBA7-A883FA67A0C3}" srcOrd="1" destOrd="0" presId="urn:microsoft.com/office/officeart/2005/8/layout/hierarchy1"/>
    <dgm:cxn modelId="{AF8C16C0-B237-4002-9018-05A36494657B}" type="presParOf" srcId="{D8166318-93AB-432D-B62C-97F7CA3DDC77}" destId="{EE86FF43-416F-493F-A28F-24103483614E}" srcOrd="1" destOrd="0" presId="urn:microsoft.com/office/officeart/2005/8/layout/hierarchy1"/>
    <dgm:cxn modelId="{FFAAC836-7F3A-43BA-B616-A752E45F77E1}" type="presParOf" srcId="{1D594DBA-7FB8-4164-999A-FA9E63D28550}" destId="{A1127D81-1B3C-4FF4-862E-8CCA2CC7CB53}" srcOrd="4" destOrd="0" presId="urn:microsoft.com/office/officeart/2005/8/layout/hierarchy1"/>
    <dgm:cxn modelId="{080B8FCF-A004-490C-9519-3FDC3FBD38AC}" type="presParOf" srcId="{1D594DBA-7FB8-4164-999A-FA9E63D28550}" destId="{1F90326A-25B6-4386-B3D6-70128586390D}" srcOrd="5" destOrd="0" presId="urn:microsoft.com/office/officeart/2005/8/layout/hierarchy1"/>
    <dgm:cxn modelId="{C833D3D4-7A3B-473C-8090-E6B79AAB7494}" type="presParOf" srcId="{1F90326A-25B6-4386-B3D6-70128586390D}" destId="{A8AE36FA-8B73-4C87-9C24-A38D28DEC292}" srcOrd="0" destOrd="0" presId="urn:microsoft.com/office/officeart/2005/8/layout/hierarchy1"/>
    <dgm:cxn modelId="{8FCA8C50-EE20-4930-8958-C4109E843529}" type="presParOf" srcId="{A8AE36FA-8B73-4C87-9C24-A38D28DEC292}" destId="{65D253CF-B107-49C6-A0BE-1D1EE60DC189}" srcOrd="0" destOrd="0" presId="urn:microsoft.com/office/officeart/2005/8/layout/hierarchy1"/>
    <dgm:cxn modelId="{830D6D9C-A4D5-403F-9EF7-236F435387C8}" type="presParOf" srcId="{A8AE36FA-8B73-4C87-9C24-A38D28DEC292}" destId="{6E207EEA-00B5-4766-9112-C8F8402FEC68}" srcOrd="1" destOrd="0" presId="urn:microsoft.com/office/officeart/2005/8/layout/hierarchy1"/>
    <dgm:cxn modelId="{D24A6534-8B78-4ABF-81A9-6A7949868C72}" type="presParOf" srcId="{1F90326A-25B6-4386-B3D6-70128586390D}" destId="{1292C75A-C3C1-4AFB-9BA8-167E2CFE43BB}" srcOrd="1" destOrd="0" presId="urn:microsoft.com/office/officeart/2005/8/layout/hierarchy1"/>
    <dgm:cxn modelId="{411D77AD-F4E4-49B0-BF3E-5CA4421414A6}" type="presParOf" srcId="{1D594DBA-7FB8-4164-999A-FA9E63D28550}" destId="{BDF4FC52-7606-427C-98AA-0246ADC3C75C}" srcOrd="6" destOrd="0" presId="urn:microsoft.com/office/officeart/2005/8/layout/hierarchy1"/>
    <dgm:cxn modelId="{C149CC76-4E95-49BA-A592-F6D5761600A9}" type="presParOf" srcId="{1D594DBA-7FB8-4164-999A-FA9E63D28550}" destId="{B137D2D4-72DE-4688-B111-26302F07D529}" srcOrd="7" destOrd="0" presId="urn:microsoft.com/office/officeart/2005/8/layout/hierarchy1"/>
    <dgm:cxn modelId="{FF2ABD75-1C4A-4CC2-98FE-32369D5A77A4}" type="presParOf" srcId="{B137D2D4-72DE-4688-B111-26302F07D529}" destId="{05677C6F-5D62-43FB-83C8-6D52E779964A}" srcOrd="0" destOrd="0" presId="urn:microsoft.com/office/officeart/2005/8/layout/hierarchy1"/>
    <dgm:cxn modelId="{A1679C48-C8B8-49E0-95DE-7561045273A3}" type="presParOf" srcId="{05677C6F-5D62-43FB-83C8-6D52E779964A}" destId="{C08C9B73-1B4C-45DF-8CDF-66A4E6A5D7A8}" srcOrd="0" destOrd="0" presId="urn:microsoft.com/office/officeart/2005/8/layout/hierarchy1"/>
    <dgm:cxn modelId="{8539F03B-3C53-44D7-A6E7-DCC353BF09BB}" type="presParOf" srcId="{05677C6F-5D62-43FB-83C8-6D52E779964A}" destId="{B37C5B7F-EC16-437A-B344-8AAE401678A0}" srcOrd="1" destOrd="0" presId="urn:microsoft.com/office/officeart/2005/8/layout/hierarchy1"/>
    <dgm:cxn modelId="{7F03A0A7-9946-4C00-A3A9-D1CF528D76F4}" type="presParOf" srcId="{B137D2D4-72DE-4688-B111-26302F07D529}" destId="{D5289879-BBB7-4C2A-87A8-C5A96911720A}" srcOrd="1" destOrd="0" presId="urn:microsoft.com/office/officeart/2005/8/layout/hierarchy1"/>
    <dgm:cxn modelId="{674CFFB7-1AEE-447B-A788-1810EF35CE5B}" type="presParOf" srcId="{1D594DBA-7FB8-4164-999A-FA9E63D28550}" destId="{84352E2B-7ECE-4FCF-B6DB-6C8DB67085DF}" srcOrd="8" destOrd="0" presId="urn:microsoft.com/office/officeart/2005/8/layout/hierarchy1"/>
    <dgm:cxn modelId="{4391C49D-D578-438F-A889-DDFB843FEA78}" type="presParOf" srcId="{1D594DBA-7FB8-4164-999A-FA9E63D28550}" destId="{A65D619F-553C-4954-A085-20F774092718}" srcOrd="9" destOrd="0" presId="urn:microsoft.com/office/officeart/2005/8/layout/hierarchy1"/>
    <dgm:cxn modelId="{9CF37114-DD30-42F1-B3BC-68D7601E585A}" type="presParOf" srcId="{A65D619F-553C-4954-A085-20F774092718}" destId="{504770E0-364E-4112-B3E8-0979DA91610B}" srcOrd="0" destOrd="0" presId="urn:microsoft.com/office/officeart/2005/8/layout/hierarchy1"/>
    <dgm:cxn modelId="{AD6937FC-1DA3-4939-8168-5A70621ED496}" type="presParOf" srcId="{504770E0-364E-4112-B3E8-0979DA91610B}" destId="{E9057711-916D-4418-95A7-C850BCA2B7A3}" srcOrd="0" destOrd="0" presId="urn:microsoft.com/office/officeart/2005/8/layout/hierarchy1"/>
    <dgm:cxn modelId="{CA28F9D7-1777-48FC-8E7F-D5EF148DF79B}" type="presParOf" srcId="{504770E0-364E-4112-B3E8-0979DA91610B}" destId="{45AD4701-4CA5-4FC2-BD6E-EA083F93E99F}" srcOrd="1" destOrd="0" presId="urn:microsoft.com/office/officeart/2005/8/layout/hierarchy1"/>
    <dgm:cxn modelId="{8378F172-3E38-473C-AC93-E53D67C1887E}" type="presParOf" srcId="{A65D619F-553C-4954-A085-20F774092718}" destId="{A4F5B9D1-58B5-4682-9749-2CA63DDFF9BC}" srcOrd="1" destOrd="0" presId="urn:microsoft.com/office/officeart/2005/8/layout/hierarchy1"/>
    <dgm:cxn modelId="{B79B6326-CE76-4ECC-BAF6-8E9AEDD38FCB}" type="presParOf" srcId="{7132B58D-797A-4636-8461-9C8BC2B58394}" destId="{7090B55C-79C2-4F20-B5E4-332BC80B6076}" srcOrd="1" destOrd="0" presId="urn:microsoft.com/office/officeart/2005/8/layout/hierarchy1"/>
    <dgm:cxn modelId="{E146F4E4-39BC-4F69-8EF6-B07534D389D5}" type="presParOf" srcId="{7090B55C-79C2-4F20-B5E4-332BC80B6076}" destId="{D5A3C693-34AE-41AF-A825-FF3F33367906}" srcOrd="0" destOrd="0" presId="urn:microsoft.com/office/officeart/2005/8/layout/hierarchy1"/>
    <dgm:cxn modelId="{6D6BC03D-C133-4DB6-B682-BF7580E60E58}" type="presParOf" srcId="{D5A3C693-34AE-41AF-A825-FF3F33367906}" destId="{3007B737-7FD1-49F8-825C-CE4C3CBA8A8A}" srcOrd="0" destOrd="0" presId="urn:microsoft.com/office/officeart/2005/8/layout/hierarchy1"/>
    <dgm:cxn modelId="{13F3410C-2B47-4C6E-8482-7464569CD526}" type="presParOf" srcId="{D5A3C693-34AE-41AF-A825-FF3F33367906}" destId="{FCB1282F-BBBE-40D3-8584-F978F1365840}" srcOrd="1" destOrd="0" presId="urn:microsoft.com/office/officeart/2005/8/layout/hierarchy1"/>
    <dgm:cxn modelId="{D59F06E9-4A7C-4EB3-976E-EA410C89B60C}" type="presParOf" srcId="{7090B55C-79C2-4F20-B5E4-332BC80B6076}" destId="{F81891B7-50DF-4B58-BFE2-A22FC4C5109B}" srcOrd="1" destOrd="0" presId="urn:microsoft.com/office/officeart/2005/8/layout/hierarchy1"/>
    <dgm:cxn modelId="{0FCE868D-A2CE-44D5-A147-271B25E3A879}" type="presParOf" srcId="{F81891B7-50DF-4B58-BFE2-A22FC4C5109B}" destId="{AE935BF4-7BA9-4FFB-8267-422774B55B4D}" srcOrd="0" destOrd="0" presId="urn:microsoft.com/office/officeart/2005/8/layout/hierarchy1"/>
    <dgm:cxn modelId="{CEB50E65-87EB-40CC-838F-52B760FEAD13}" type="presParOf" srcId="{F81891B7-50DF-4B58-BFE2-A22FC4C5109B}" destId="{372BEBA8-FB77-4E28-8A4D-001A4F4B5C08}" srcOrd="1" destOrd="0" presId="urn:microsoft.com/office/officeart/2005/8/layout/hierarchy1"/>
    <dgm:cxn modelId="{EB7F95AE-4C1A-4FD3-9665-94C02611A2F9}" type="presParOf" srcId="{372BEBA8-FB77-4E28-8A4D-001A4F4B5C08}" destId="{E0E828A3-11C3-49BC-A123-157F88E45D9D}" srcOrd="0" destOrd="0" presId="urn:microsoft.com/office/officeart/2005/8/layout/hierarchy1"/>
    <dgm:cxn modelId="{6F4A7CE0-4E14-45F9-B0EE-326308FA7F74}" type="presParOf" srcId="{E0E828A3-11C3-49BC-A123-157F88E45D9D}" destId="{1E6EF6B0-F36C-4516-8099-9B35050CC7C8}" srcOrd="0" destOrd="0" presId="urn:microsoft.com/office/officeart/2005/8/layout/hierarchy1"/>
    <dgm:cxn modelId="{90B5DF50-50D0-4DA5-B9A3-D2FE2F3D9917}" type="presParOf" srcId="{E0E828A3-11C3-49BC-A123-157F88E45D9D}" destId="{7B10D921-5950-4740-9FBA-A3A7A6F8F9AA}" srcOrd="1" destOrd="0" presId="urn:microsoft.com/office/officeart/2005/8/layout/hierarchy1"/>
    <dgm:cxn modelId="{45656D47-8B2E-48CE-8961-708A152C7AAC}" type="presParOf" srcId="{372BEBA8-FB77-4E28-8A4D-001A4F4B5C08}" destId="{D8F148AC-1846-46D3-91DD-B82A080C9633}" srcOrd="1" destOrd="0" presId="urn:microsoft.com/office/officeart/2005/8/layout/hierarchy1"/>
    <dgm:cxn modelId="{CD3198FE-4732-4006-A43C-73BE1EF5DC3F}" type="presParOf" srcId="{F81891B7-50DF-4B58-BFE2-A22FC4C5109B}" destId="{EB2037A6-B0F6-4C68-86AE-51376AEB5BCC}" srcOrd="2" destOrd="0" presId="urn:microsoft.com/office/officeart/2005/8/layout/hierarchy1"/>
    <dgm:cxn modelId="{2C21D16B-D00D-4D5E-A1A7-A71F441EC780}" type="presParOf" srcId="{F81891B7-50DF-4B58-BFE2-A22FC4C5109B}" destId="{B3FFB67C-1DFB-46FD-B95D-56E6DC28E19F}" srcOrd="3" destOrd="0" presId="urn:microsoft.com/office/officeart/2005/8/layout/hierarchy1"/>
    <dgm:cxn modelId="{FF4F90BE-287C-4BD2-9499-4209670F660F}" type="presParOf" srcId="{B3FFB67C-1DFB-46FD-B95D-56E6DC28E19F}" destId="{4120CB93-9379-4F0F-BA12-B03A2A3B1D46}" srcOrd="0" destOrd="0" presId="urn:microsoft.com/office/officeart/2005/8/layout/hierarchy1"/>
    <dgm:cxn modelId="{69EED7A6-DE3A-4201-A385-C2866D8A5909}" type="presParOf" srcId="{4120CB93-9379-4F0F-BA12-B03A2A3B1D46}" destId="{5CE25BD2-D6FA-4C5E-826F-0F402EFA0081}" srcOrd="0" destOrd="0" presId="urn:microsoft.com/office/officeart/2005/8/layout/hierarchy1"/>
    <dgm:cxn modelId="{F5AE2DCB-D3D7-4C62-9BE6-C900C8042429}" type="presParOf" srcId="{4120CB93-9379-4F0F-BA12-B03A2A3B1D46}" destId="{3213356D-09BA-4634-B5E7-8B67B0D8BCB6}" srcOrd="1" destOrd="0" presId="urn:microsoft.com/office/officeart/2005/8/layout/hierarchy1"/>
    <dgm:cxn modelId="{73DA4F5D-74CB-4B8B-9682-1B97D156F6CB}" type="presParOf" srcId="{B3FFB67C-1DFB-46FD-B95D-56E6DC28E19F}" destId="{EDF1A351-CB6D-47A7-B279-51E61EDC47DF}" srcOrd="1" destOrd="0" presId="urn:microsoft.com/office/officeart/2005/8/layout/hierarchy1"/>
    <dgm:cxn modelId="{5C066FC7-D7F8-43E1-BC00-E3A334A222EF}" type="presParOf" srcId="{F81891B7-50DF-4B58-BFE2-A22FC4C5109B}" destId="{2FF69145-2061-41DA-867C-B10B254472E9}" srcOrd="4" destOrd="0" presId="urn:microsoft.com/office/officeart/2005/8/layout/hierarchy1"/>
    <dgm:cxn modelId="{068AD902-43CE-4AA3-9CF6-0F80CC17A704}" type="presParOf" srcId="{F81891B7-50DF-4B58-BFE2-A22FC4C5109B}" destId="{F5CE14D5-08E6-44BB-A453-40CB894A77E8}" srcOrd="5" destOrd="0" presId="urn:microsoft.com/office/officeart/2005/8/layout/hierarchy1"/>
    <dgm:cxn modelId="{295E944A-BD55-40FF-A433-D7F92EFF2400}" type="presParOf" srcId="{F5CE14D5-08E6-44BB-A453-40CB894A77E8}" destId="{D38576F4-7820-4A44-BC6E-C5CB59395A09}" srcOrd="0" destOrd="0" presId="urn:microsoft.com/office/officeart/2005/8/layout/hierarchy1"/>
    <dgm:cxn modelId="{7CEFAB24-B1A0-4504-9FB6-42D641ACA684}" type="presParOf" srcId="{D38576F4-7820-4A44-BC6E-C5CB59395A09}" destId="{2DCBF2A7-3121-4F32-BFA3-F506CA9445B3}" srcOrd="0" destOrd="0" presId="urn:microsoft.com/office/officeart/2005/8/layout/hierarchy1"/>
    <dgm:cxn modelId="{DF716F2B-BF33-47D0-9E88-8B2CB5F49EA0}" type="presParOf" srcId="{D38576F4-7820-4A44-BC6E-C5CB59395A09}" destId="{6A30382B-A7CD-4C12-9431-905B220C9126}" srcOrd="1" destOrd="0" presId="urn:microsoft.com/office/officeart/2005/8/layout/hierarchy1"/>
    <dgm:cxn modelId="{AC0540D8-44AE-479C-838A-18E4AF7F585C}" type="presParOf" srcId="{F5CE14D5-08E6-44BB-A453-40CB894A77E8}" destId="{2907AB5F-4FCF-44D5-BA22-992187055F06}" srcOrd="1" destOrd="0" presId="urn:microsoft.com/office/officeart/2005/8/layout/hierarchy1"/>
    <dgm:cxn modelId="{C411B3D9-FE50-4CAA-AE88-5736B6B175FA}" type="presParOf" srcId="{F81891B7-50DF-4B58-BFE2-A22FC4C5109B}" destId="{9DE93249-292C-4BC8-AFE3-91CCF3B278C8}" srcOrd="6" destOrd="0" presId="urn:microsoft.com/office/officeart/2005/8/layout/hierarchy1"/>
    <dgm:cxn modelId="{E2283FEB-D0F2-4760-80C4-B67E7E5B96B9}" type="presParOf" srcId="{F81891B7-50DF-4B58-BFE2-A22FC4C5109B}" destId="{009DA8C7-B8BB-4A28-9C98-6BDC1363616C}" srcOrd="7" destOrd="0" presId="urn:microsoft.com/office/officeart/2005/8/layout/hierarchy1"/>
    <dgm:cxn modelId="{610A2A9A-86C1-43DD-B0C0-55332EA9565F}" type="presParOf" srcId="{009DA8C7-B8BB-4A28-9C98-6BDC1363616C}" destId="{804CBFF9-AA08-4CE5-B1E4-E1E0975C7655}" srcOrd="0" destOrd="0" presId="urn:microsoft.com/office/officeart/2005/8/layout/hierarchy1"/>
    <dgm:cxn modelId="{5E082338-9DEE-4638-8793-9B312A667163}" type="presParOf" srcId="{804CBFF9-AA08-4CE5-B1E4-E1E0975C7655}" destId="{61C118A6-C5B5-46EE-8201-71924792BB49}" srcOrd="0" destOrd="0" presId="urn:microsoft.com/office/officeart/2005/8/layout/hierarchy1"/>
    <dgm:cxn modelId="{2AF6E6FB-FAAC-4D87-ADCC-FDD921F287E3}" type="presParOf" srcId="{804CBFF9-AA08-4CE5-B1E4-E1E0975C7655}" destId="{9A9E4C6D-DF8F-44BD-BF40-6B4F5C8C90D7}" srcOrd="1" destOrd="0" presId="urn:microsoft.com/office/officeart/2005/8/layout/hierarchy1"/>
    <dgm:cxn modelId="{052EA6EB-0BF9-4A18-896D-3A506BD18E42}" type="presParOf" srcId="{009DA8C7-B8BB-4A28-9C98-6BDC1363616C}" destId="{46EEC33F-9509-483B-9152-B89A8A4C8ED6}" srcOrd="1" destOrd="0" presId="urn:microsoft.com/office/officeart/2005/8/layout/hierarchy1"/>
    <dgm:cxn modelId="{0B75FFCA-9B45-4874-941D-B96E8BD65759}" type="presParOf" srcId="{F81891B7-50DF-4B58-BFE2-A22FC4C5109B}" destId="{833FCDE7-95D1-4ED2-BC27-9DBA434FF78B}" srcOrd="8" destOrd="0" presId="urn:microsoft.com/office/officeart/2005/8/layout/hierarchy1"/>
    <dgm:cxn modelId="{47ED9903-B507-45BF-B2FE-02BD7E7095B9}" type="presParOf" srcId="{F81891B7-50DF-4B58-BFE2-A22FC4C5109B}" destId="{65AE61EB-12C8-4013-83A7-3582E2CD12A0}" srcOrd="9" destOrd="0" presId="urn:microsoft.com/office/officeart/2005/8/layout/hierarchy1"/>
    <dgm:cxn modelId="{8224A5F5-2E30-43C3-90B8-802BF5C694BD}" type="presParOf" srcId="{65AE61EB-12C8-4013-83A7-3582E2CD12A0}" destId="{E9626FCE-2B81-4786-A6E7-8547D13CB9C9}" srcOrd="0" destOrd="0" presId="urn:microsoft.com/office/officeart/2005/8/layout/hierarchy1"/>
    <dgm:cxn modelId="{89206292-D58D-4EAA-9439-8FBFB0D8F409}" type="presParOf" srcId="{E9626FCE-2B81-4786-A6E7-8547D13CB9C9}" destId="{EF7EF9E4-9C15-4DEB-8C16-7C2839C73D5D}" srcOrd="0" destOrd="0" presId="urn:microsoft.com/office/officeart/2005/8/layout/hierarchy1"/>
    <dgm:cxn modelId="{1F5580C4-A488-4546-ACE3-D64BCD140DD3}" type="presParOf" srcId="{E9626FCE-2B81-4786-A6E7-8547D13CB9C9}" destId="{319248ED-300B-4FA8-A75F-0677C8AAB07E}" srcOrd="1" destOrd="0" presId="urn:microsoft.com/office/officeart/2005/8/layout/hierarchy1"/>
    <dgm:cxn modelId="{1C67B516-71D9-4C23-BEB8-10DADB260DD1}" type="presParOf" srcId="{65AE61EB-12C8-4013-83A7-3582E2CD12A0}" destId="{8D0EF72F-1884-4FF1-A858-1D4293A54DDC}"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A1B26-E71F-4FB2-A5DD-F14C7DCB7FF3}">
      <dsp:nvSpPr>
        <dsp:cNvPr id="0" name=""/>
        <dsp:cNvSpPr/>
      </dsp:nvSpPr>
      <dsp:spPr>
        <a:xfrm>
          <a:off x="66"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VERSION</a:t>
          </a:r>
          <a:r>
            <a:rPr lang="ro-RO" sz="1000" kern="1200"/>
            <a:t> Declaration (optional)</a:t>
          </a:r>
        </a:p>
      </dsp:txBody>
      <dsp:txXfrm>
        <a:off x="66" y="928743"/>
        <a:ext cx="892075" cy="928743"/>
      </dsp:txXfrm>
    </dsp:sp>
    <dsp:sp modelId="{830D70F4-6301-41B1-BD5C-09C51FBF4443}">
      <dsp:nvSpPr>
        <dsp:cNvPr id="0" name=""/>
        <dsp:cNvSpPr/>
      </dsp:nvSpPr>
      <dsp:spPr>
        <a:xfrm>
          <a:off x="59515" y="139311"/>
          <a:ext cx="773179" cy="773179"/>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F77AB94-60C8-4DBB-9454-FE1EAD168D71}">
      <dsp:nvSpPr>
        <dsp:cNvPr id="0" name=""/>
        <dsp:cNvSpPr/>
      </dsp:nvSpPr>
      <dsp:spPr>
        <a:xfrm>
          <a:off x="918905" y="0"/>
          <a:ext cx="892075" cy="232185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Group Definitions</a:t>
          </a:r>
          <a:r>
            <a:rPr lang="ro-RO" sz="1000" kern="1200"/>
            <a:t> (optional)</a:t>
          </a:r>
        </a:p>
      </dsp:txBody>
      <dsp:txXfrm>
        <a:off x="918905" y="928743"/>
        <a:ext cx="892075" cy="928743"/>
      </dsp:txXfrm>
    </dsp:sp>
    <dsp:sp modelId="{2AE2D1C0-A645-4744-B068-58E346CB4B00}">
      <dsp:nvSpPr>
        <dsp:cNvPr id="0" name=""/>
        <dsp:cNvSpPr/>
      </dsp:nvSpPr>
      <dsp:spPr>
        <a:xfrm>
          <a:off x="978353" y="139311"/>
          <a:ext cx="773179" cy="773179"/>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C4A98B-6472-4E69-895E-7C230EA9161C}">
      <dsp:nvSpPr>
        <dsp:cNvPr id="0" name=""/>
        <dsp:cNvSpPr/>
      </dsp:nvSpPr>
      <dsp:spPr>
        <a:xfrm>
          <a:off x="1837743" y="0"/>
          <a:ext cx="892075" cy="232185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Inputs</a:t>
          </a:r>
          <a:br>
            <a:rPr lang="ro-RO" sz="1000" kern="1200"/>
          </a:br>
          <a:r>
            <a:rPr lang="ro-RO" sz="600" kern="1200"/>
            <a:t>LIST (single choice)</a:t>
          </a:r>
        </a:p>
        <a:p>
          <a:pPr marL="0" lvl="0" indent="0" algn="ctr" defTabSz="444500">
            <a:lnSpc>
              <a:spcPct val="90000"/>
            </a:lnSpc>
            <a:spcBef>
              <a:spcPct val="0"/>
            </a:spcBef>
            <a:spcAft>
              <a:spcPct val="35000"/>
            </a:spcAft>
            <a:buNone/>
          </a:pPr>
          <a:r>
            <a:rPr lang="ro-RO" sz="600" kern="1200"/>
            <a:t>MULTILIST (multichoice)</a:t>
          </a:r>
        </a:p>
        <a:p>
          <a:pPr marL="0" lvl="0" indent="0" algn="ctr" defTabSz="444500">
            <a:lnSpc>
              <a:spcPct val="90000"/>
            </a:lnSpc>
            <a:spcBef>
              <a:spcPct val="0"/>
            </a:spcBef>
            <a:spcAft>
              <a:spcPct val="35000"/>
            </a:spcAft>
            <a:buNone/>
          </a:pPr>
          <a:r>
            <a:rPr lang="ro-RO" sz="600" kern="1200"/>
            <a:t>NUMBER (constrained)</a:t>
          </a:r>
        </a:p>
        <a:p>
          <a:pPr marL="0" lvl="0" indent="0" algn="ctr" defTabSz="444500">
            <a:lnSpc>
              <a:spcPct val="90000"/>
            </a:lnSpc>
            <a:spcBef>
              <a:spcPct val="0"/>
            </a:spcBef>
            <a:spcAft>
              <a:spcPct val="35000"/>
            </a:spcAft>
            <a:buNone/>
          </a:pPr>
          <a:r>
            <a:rPr lang="ro-RO" sz="600" kern="1200"/>
            <a:t>BOOLEAN(yes/no)</a:t>
          </a:r>
        </a:p>
        <a:p>
          <a:pPr marL="0" lvl="0" indent="0" algn="ctr" defTabSz="444500">
            <a:lnSpc>
              <a:spcPct val="90000"/>
            </a:lnSpc>
            <a:spcBef>
              <a:spcPct val="0"/>
            </a:spcBef>
            <a:spcAft>
              <a:spcPct val="35000"/>
            </a:spcAft>
            <a:buNone/>
          </a:pPr>
          <a:r>
            <a:rPr lang="ro-RO" sz="600" kern="1200"/>
            <a:t>DATE (temporal)</a:t>
          </a:r>
        </a:p>
        <a:p>
          <a:pPr marL="0" lvl="0" indent="0" algn="ctr" defTabSz="444500">
            <a:lnSpc>
              <a:spcPct val="90000"/>
            </a:lnSpc>
            <a:spcBef>
              <a:spcPct val="0"/>
            </a:spcBef>
            <a:spcAft>
              <a:spcPct val="35000"/>
            </a:spcAft>
            <a:buNone/>
          </a:pPr>
          <a:r>
            <a:rPr lang="ro-RO" sz="600" kern="1200"/>
            <a:t>AMOUNT</a:t>
          </a:r>
        </a:p>
      </dsp:txBody>
      <dsp:txXfrm>
        <a:off x="1837743" y="928743"/>
        <a:ext cx="892075" cy="928743"/>
      </dsp:txXfrm>
    </dsp:sp>
    <dsp:sp modelId="{0A80C0DD-4903-4031-9754-FAA63F9E4F0C}">
      <dsp:nvSpPr>
        <dsp:cNvPr id="0" name=""/>
        <dsp:cNvSpPr/>
      </dsp:nvSpPr>
      <dsp:spPr>
        <a:xfrm>
          <a:off x="1897191" y="139311"/>
          <a:ext cx="773179" cy="773179"/>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D93F6F-E885-4CFA-870E-95F6AFB929C9}">
      <dsp:nvSpPr>
        <dsp:cNvPr id="0" name=""/>
        <dsp:cNvSpPr/>
      </dsp:nvSpPr>
      <dsp:spPr>
        <a:xfrm>
          <a:off x="2756581" y="0"/>
          <a:ext cx="892075" cy="23218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Fees</a:t>
          </a:r>
        </a:p>
        <a:p>
          <a:pPr marL="0" lvl="0" indent="0" algn="ctr" defTabSz="444500">
            <a:lnSpc>
              <a:spcPct val="90000"/>
            </a:lnSpc>
            <a:spcBef>
              <a:spcPct val="0"/>
            </a:spcBef>
            <a:spcAft>
              <a:spcPct val="35000"/>
            </a:spcAft>
            <a:buNone/>
          </a:pPr>
          <a:r>
            <a:rPr lang="ro-RO" sz="600" kern="1200"/>
            <a:t>COMPUTE FEE name</a:t>
          </a:r>
        </a:p>
        <a:p>
          <a:pPr marL="0" lvl="0" indent="0" algn="ctr" defTabSz="444500">
            <a:lnSpc>
              <a:spcPct val="90000"/>
            </a:lnSpc>
            <a:spcBef>
              <a:spcPct val="0"/>
            </a:spcBef>
            <a:spcAft>
              <a:spcPct val="35000"/>
            </a:spcAft>
            <a:buNone/>
          </a:pPr>
          <a:r>
            <a:rPr lang="ro-RO" sz="600" kern="1200"/>
            <a:t>LET var AS expr</a:t>
          </a:r>
        </a:p>
        <a:p>
          <a:pPr marL="0" lvl="0" indent="0" algn="ctr" defTabSz="444500">
            <a:lnSpc>
              <a:spcPct val="90000"/>
            </a:lnSpc>
            <a:spcBef>
              <a:spcPct val="0"/>
            </a:spcBef>
            <a:spcAft>
              <a:spcPct val="35000"/>
            </a:spcAft>
            <a:buNone/>
          </a:pPr>
          <a:r>
            <a:rPr lang="ro-RO" sz="600" kern="1200"/>
            <a:t>CASE condition AS</a:t>
          </a:r>
        </a:p>
        <a:p>
          <a:pPr marL="0" lvl="0" indent="0" algn="ctr" defTabSz="444500">
            <a:lnSpc>
              <a:spcPct val="90000"/>
            </a:lnSpc>
            <a:spcBef>
              <a:spcPct val="0"/>
            </a:spcBef>
            <a:spcAft>
              <a:spcPct val="35000"/>
            </a:spcAft>
            <a:buNone/>
          </a:pPr>
          <a:r>
            <a:rPr lang="ro-RO" sz="600" kern="1200"/>
            <a:t>YIELD expr</a:t>
          </a:r>
        </a:p>
        <a:p>
          <a:pPr marL="0" lvl="0" indent="0" algn="ctr" defTabSz="444500">
            <a:lnSpc>
              <a:spcPct val="90000"/>
            </a:lnSpc>
            <a:spcBef>
              <a:spcPct val="0"/>
            </a:spcBef>
            <a:spcAft>
              <a:spcPct val="35000"/>
            </a:spcAft>
            <a:buNone/>
          </a:pPr>
          <a:r>
            <a:rPr lang="ro-RO" sz="600" kern="1200"/>
            <a:t>ENDCASE</a:t>
          </a:r>
        </a:p>
        <a:p>
          <a:pPr marL="0" lvl="0" indent="0" algn="ctr" defTabSz="444500">
            <a:lnSpc>
              <a:spcPct val="90000"/>
            </a:lnSpc>
            <a:spcBef>
              <a:spcPct val="0"/>
            </a:spcBef>
            <a:spcAft>
              <a:spcPct val="35000"/>
            </a:spcAft>
            <a:buNone/>
          </a:pPr>
          <a:r>
            <a:rPr lang="ro-RO" sz="600" kern="1200"/>
            <a:t>YEILD expr IF cond</a:t>
          </a:r>
        </a:p>
        <a:p>
          <a:pPr marL="0" lvl="0" indent="0" algn="ctr" defTabSz="444500">
            <a:lnSpc>
              <a:spcPct val="90000"/>
            </a:lnSpc>
            <a:spcBef>
              <a:spcPct val="0"/>
            </a:spcBef>
            <a:spcAft>
              <a:spcPct val="35000"/>
            </a:spcAft>
            <a:buNone/>
          </a:pPr>
          <a:r>
            <a:rPr lang="ro-RO" sz="600" kern="1200"/>
            <a:t>ENDCOMPUTE</a:t>
          </a:r>
        </a:p>
      </dsp:txBody>
      <dsp:txXfrm>
        <a:off x="2756581" y="928743"/>
        <a:ext cx="892075" cy="928743"/>
      </dsp:txXfrm>
    </dsp:sp>
    <dsp:sp modelId="{2F51B1E1-C32E-4FE4-B283-0A0B1D0AF218}">
      <dsp:nvSpPr>
        <dsp:cNvPr id="0" name=""/>
        <dsp:cNvSpPr/>
      </dsp:nvSpPr>
      <dsp:spPr>
        <a:xfrm>
          <a:off x="2816029" y="139311"/>
          <a:ext cx="773179" cy="773179"/>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3E5778A-4E3C-4AF3-B93E-A694DBEE44D0}">
      <dsp:nvSpPr>
        <dsp:cNvPr id="0" name=""/>
        <dsp:cNvSpPr/>
      </dsp:nvSpPr>
      <dsp:spPr>
        <a:xfrm>
          <a:off x="3675419" y="0"/>
          <a:ext cx="892075" cy="232185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ro-RO" sz="1050" b="1" kern="1200"/>
            <a:t>Verifiy Directives </a:t>
          </a:r>
          <a:r>
            <a:rPr lang="ro-RO" sz="1050" kern="1200"/>
            <a:t>(optional)</a:t>
          </a:r>
        </a:p>
      </dsp:txBody>
      <dsp:txXfrm>
        <a:off x="3675419" y="928743"/>
        <a:ext cx="892075" cy="928743"/>
      </dsp:txXfrm>
    </dsp:sp>
    <dsp:sp modelId="{4DC2A4AB-D33E-4F6F-9A33-24F11B8C60DC}">
      <dsp:nvSpPr>
        <dsp:cNvPr id="0" name=""/>
        <dsp:cNvSpPr/>
      </dsp:nvSpPr>
      <dsp:spPr>
        <a:xfrm>
          <a:off x="3734867" y="139311"/>
          <a:ext cx="773179" cy="773179"/>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A8960FB-908E-47B3-82BA-AFBDEE077E8E}">
      <dsp:nvSpPr>
        <dsp:cNvPr id="0" name=""/>
        <dsp:cNvSpPr/>
      </dsp:nvSpPr>
      <dsp:spPr>
        <a:xfrm>
          <a:off x="4594257"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RETURN</a:t>
          </a:r>
          <a:r>
            <a:rPr lang="ro-RO" sz="1000" kern="1200"/>
            <a:t> Statements (optional)</a:t>
          </a:r>
        </a:p>
      </dsp:txBody>
      <dsp:txXfrm>
        <a:off x="4594257" y="928743"/>
        <a:ext cx="892075" cy="928743"/>
      </dsp:txXfrm>
    </dsp:sp>
    <dsp:sp modelId="{813D5726-4186-4F1F-B0A9-156B60A6C2D8}">
      <dsp:nvSpPr>
        <dsp:cNvPr id="0" name=""/>
        <dsp:cNvSpPr/>
      </dsp:nvSpPr>
      <dsp:spPr>
        <a:xfrm>
          <a:off x="4653705" y="139311"/>
          <a:ext cx="773179" cy="773179"/>
        </a:xfrm>
        <a:prstGeom prst="ellipse">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1B6E5A-AE8B-4F01-A639-9101C9B83068}">
      <dsp:nvSpPr>
        <dsp:cNvPr id="0" name=""/>
        <dsp:cNvSpPr/>
      </dsp:nvSpPr>
      <dsp:spPr>
        <a:xfrm>
          <a:off x="219456" y="1857487"/>
          <a:ext cx="5047488" cy="348278"/>
        </a:xfrm>
        <a:prstGeom prst="leftRightArrow">
          <a:avLst/>
        </a:prstGeom>
        <a:solidFill>
          <a:schemeClr val="accent2">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102CB7-4A90-4D03-A418-1043E7100AD2}">
      <dsp:nvSpPr>
        <dsp:cNvPr id="0" name=""/>
        <dsp:cNvSpPr/>
      </dsp:nvSpPr>
      <dsp:spPr>
        <a:xfrm>
          <a:off x="2224580" y="456403"/>
          <a:ext cx="1955936" cy="155141"/>
        </a:xfrm>
        <a:custGeom>
          <a:avLst/>
          <a:gdLst/>
          <a:ahLst/>
          <a:cxnLst/>
          <a:rect l="0" t="0" r="0" b="0"/>
          <a:pathLst>
            <a:path>
              <a:moveTo>
                <a:pt x="0" y="0"/>
              </a:moveTo>
              <a:lnTo>
                <a:pt x="0" y="105724"/>
              </a:lnTo>
              <a:lnTo>
                <a:pt x="1955936" y="105724"/>
              </a:lnTo>
              <a:lnTo>
                <a:pt x="1955936"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3FCFDD-0A37-4A87-9B26-3AF872E57BBD}">
      <dsp:nvSpPr>
        <dsp:cNvPr id="0" name=""/>
        <dsp:cNvSpPr/>
      </dsp:nvSpPr>
      <dsp:spPr>
        <a:xfrm>
          <a:off x="3528538" y="950277"/>
          <a:ext cx="1629947" cy="155141"/>
        </a:xfrm>
        <a:custGeom>
          <a:avLst/>
          <a:gdLst/>
          <a:ahLst/>
          <a:cxnLst/>
          <a:rect l="0" t="0" r="0" b="0"/>
          <a:pathLst>
            <a:path>
              <a:moveTo>
                <a:pt x="0" y="0"/>
              </a:moveTo>
              <a:lnTo>
                <a:pt x="0" y="105724"/>
              </a:lnTo>
              <a:lnTo>
                <a:pt x="1629947" y="105724"/>
              </a:lnTo>
              <a:lnTo>
                <a:pt x="1629947"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0CE4A-5424-4776-B10F-C83EDF6D7531}">
      <dsp:nvSpPr>
        <dsp:cNvPr id="0" name=""/>
        <dsp:cNvSpPr/>
      </dsp:nvSpPr>
      <dsp:spPr>
        <a:xfrm>
          <a:off x="3528538" y="950277"/>
          <a:ext cx="977968" cy="155141"/>
        </a:xfrm>
        <a:custGeom>
          <a:avLst/>
          <a:gdLst/>
          <a:ahLst/>
          <a:cxnLst/>
          <a:rect l="0" t="0" r="0" b="0"/>
          <a:pathLst>
            <a:path>
              <a:moveTo>
                <a:pt x="0" y="0"/>
              </a:moveTo>
              <a:lnTo>
                <a:pt x="0" y="105724"/>
              </a:lnTo>
              <a:lnTo>
                <a:pt x="977968" y="105724"/>
              </a:lnTo>
              <a:lnTo>
                <a:pt x="977968"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C7AD9-6B53-42DC-B7B8-E89993DB1404}">
      <dsp:nvSpPr>
        <dsp:cNvPr id="0" name=""/>
        <dsp:cNvSpPr/>
      </dsp:nvSpPr>
      <dsp:spPr>
        <a:xfrm>
          <a:off x="3528538" y="950277"/>
          <a:ext cx="325989" cy="155141"/>
        </a:xfrm>
        <a:custGeom>
          <a:avLst/>
          <a:gdLst/>
          <a:ahLst/>
          <a:cxnLst/>
          <a:rect l="0" t="0" r="0" b="0"/>
          <a:pathLst>
            <a:path>
              <a:moveTo>
                <a:pt x="0" y="0"/>
              </a:moveTo>
              <a:lnTo>
                <a:pt x="0" y="105724"/>
              </a:lnTo>
              <a:lnTo>
                <a:pt x="325989" y="105724"/>
              </a:lnTo>
              <a:lnTo>
                <a:pt x="325989"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E9D4D-9409-414F-9979-160B0416150B}">
      <dsp:nvSpPr>
        <dsp:cNvPr id="0" name=""/>
        <dsp:cNvSpPr/>
      </dsp:nvSpPr>
      <dsp:spPr>
        <a:xfrm>
          <a:off x="3202548" y="950277"/>
          <a:ext cx="325989" cy="155141"/>
        </a:xfrm>
        <a:custGeom>
          <a:avLst/>
          <a:gdLst/>
          <a:ahLst/>
          <a:cxnLst/>
          <a:rect l="0" t="0" r="0" b="0"/>
          <a:pathLst>
            <a:path>
              <a:moveTo>
                <a:pt x="325989" y="0"/>
              </a:moveTo>
              <a:lnTo>
                <a:pt x="325989"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312162-5822-4CF1-8BC9-B6C5325FCF37}">
      <dsp:nvSpPr>
        <dsp:cNvPr id="0" name=""/>
        <dsp:cNvSpPr/>
      </dsp:nvSpPr>
      <dsp:spPr>
        <a:xfrm>
          <a:off x="2550569" y="950277"/>
          <a:ext cx="977968" cy="155141"/>
        </a:xfrm>
        <a:custGeom>
          <a:avLst/>
          <a:gdLst/>
          <a:ahLst/>
          <a:cxnLst/>
          <a:rect l="0" t="0" r="0" b="0"/>
          <a:pathLst>
            <a:path>
              <a:moveTo>
                <a:pt x="977968" y="0"/>
              </a:moveTo>
              <a:lnTo>
                <a:pt x="977968"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E4FC94-F9C6-464E-A33E-13F76B4FE8CB}">
      <dsp:nvSpPr>
        <dsp:cNvPr id="0" name=""/>
        <dsp:cNvSpPr/>
      </dsp:nvSpPr>
      <dsp:spPr>
        <a:xfrm>
          <a:off x="1898591" y="950277"/>
          <a:ext cx="1629947" cy="155141"/>
        </a:xfrm>
        <a:custGeom>
          <a:avLst/>
          <a:gdLst/>
          <a:ahLst/>
          <a:cxnLst/>
          <a:rect l="0" t="0" r="0" b="0"/>
          <a:pathLst>
            <a:path>
              <a:moveTo>
                <a:pt x="1629947" y="0"/>
              </a:moveTo>
              <a:lnTo>
                <a:pt x="1629947"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9F28F-65E8-404C-81A4-4C44C19ED86F}">
      <dsp:nvSpPr>
        <dsp:cNvPr id="0" name=""/>
        <dsp:cNvSpPr/>
      </dsp:nvSpPr>
      <dsp:spPr>
        <a:xfrm>
          <a:off x="2224580" y="456403"/>
          <a:ext cx="1303957" cy="155141"/>
        </a:xfrm>
        <a:custGeom>
          <a:avLst/>
          <a:gdLst/>
          <a:ahLst/>
          <a:cxnLst/>
          <a:rect l="0" t="0" r="0" b="0"/>
          <a:pathLst>
            <a:path>
              <a:moveTo>
                <a:pt x="0" y="0"/>
              </a:moveTo>
              <a:lnTo>
                <a:pt x="0" y="105724"/>
              </a:lnTo>
              <a:lnTo>
                <a:pt x="1303957" y="105724"/>
              </a:lnTo>
              <a:lnTo>
                <a:pt x="1303957"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AB086B-E2B2-4C6E-B8E8-0ABDA96D98E4}">
      <dsp:nvSpPr>
        <dsp:cNvPr id="0" name=""/>
        <dsp:cNvSpPr/>
      </dsp:nvSpPr>
      <dsp:spPr>
        <a:xfrm>
          <a:off x="2224580" y="456403"/>
          <a:ext cx="651978" cy="155141"/>
        </a:xfrm>
        <a:custGeom>
          <a:avLst/>
          <a:gdLst/>
          <a:ahLst/>
          <a:cxnLst/>
          <a:rect l="0" t="0" r="0" b="0"/>
          <a:pathLst>
            <a:path>
              <a:moveTo>
                <a:pt x="0" y="0"/>
              </a:moveTo>
              <a:lnTo>
                <a:pt x="0" y="105724"/>
              </a:lnTo>
              <a:lnTo>
                <a:pt x="651978" y="105724"/>
              </a:lnTo>
              <a:lnTo>
                <a:pt x="651978"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FCED-C8E5-4F97-87AD-7C1E77833058}">
      <dsp:nvSpPr>
        <dsp:cNvPr id="0" name=""/>
        <dsp:cNvSpPr/>
      </dsp:nvSpPr>
      <dsp:spPr>
        <a:xfrm>
          <a:off x="2178860" y="456403"/>
          <a:ext cx="91440" cy="155141"/>
        </a:xfrm>
        <a:custGeom>
          <a:avLst/>
          <a:gdLst/>
          <a:ahLst/>
          <a:cxnLst/>
          <a:rect l="0" t="0" r="0" b="0"/>
          <a:pathLst>
            <a:path>
              <a:moveTo>
                <a:pt x="45720" y="0"/>
              </a:moveTo>
              <a:lnTo>
                <a:pt x="4572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1572601" y="456403"/>
          <a:ext cx="651978" cy="155141"/>
        </a:xfrm>
        <a:custGeom>
          <a:avLst/>
          <a:gdLst/>
          <a:ahLst/>
          <a:cxnLst/>
          <a:rect l="0" t="0" r="0" b="0"/>
          <a:pathLst>
            <a:path>
              <a:moveTo>
                <a:pt x="651978" y="0"/>
              </a:moveTo>
              <a:lnTo>
                <a:pt x="651978"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920622" y="456403"/>
          <a:ext cx="1303957" cy="155141"/>
        </a:xfrm>
        <a:custGeom>
          <a:avLst/>
          <a:gdLst/>
          <a:ahLst/>
          <a:cxnLst/>
          <a:rect l="0" t="0" r="0" b="0"/>
          <a:pathLst>
            <a:path>
              <a:moveTo>
                <a:pt x="1303957" y="0"/>
              </a:moveTo>
              <a:lnTo>
                <a:pt x="1303957"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A8AA03-9F28-448C-8954-343F90E2BA20}">
      <dsp:nvSpPr>
        <dsp:cNvPr id="0" name=""/>
        <dsp:cNvSpPr/>
      </dsp:nvSpPr>
      <dsp:spPr>
        <a:xfrm>
          <a:off x="268644" y="456403"/>
          <a:ext cx="1955936" cy="155141"/>
        </a:xfrm>
        <a:custGeom>
          <a:avLst/>
          <a:gdLst/>
          <a:ahLst/>
          <a:cxnLst/>
          <a:rect l="0" t="0" r="0" b="0"/>
          <a:pathLst>
            <a:path>
              <a:moveTo>
                <a:pt x="1955936" y="0"/>
              </a:moveTo>
              <a:lnTo>
                <a:pt x="1955936"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957861" y="117670"/>
          <a:ext cx="533437" cy="3387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017132" y="173977"/>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τ</a:t>
          </a:r>
          <a:r>
            <a:rPr lang="ro-RO" sz="800" kern="1200"/>
            <a:t> (Type)</a:t>
          </a:r>
        </a:p>
      </dsp:txBody>
      <dsp:txXfrm>
        <a:off x="2027053" y="183898"/>
        <a:ext cx="513595" cy="318890"/>
      </dsp:txXfrm>
    </dsp:sp>
    <dsp:sp modelId="{27C14384-BA9F-400A-B978-CF25A974314D}">
      <dsp:nvSpPr>
        <dsp:cNvPr id="0" name=""/>
        <dsp:cNvSpPr/>
      </dsp:nvSpPr>
      <dsp:spPr>
        <a:xfrm>
          <a:off x="1925"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392B14-F23C-40EA-B24E-8A608900445C}">
      <dsp:nvSpPr>
        <dsp:cNvPr id="0" name=""/>
        <dsp:cNvSpPr/>
      </dsp:nvSpPr>
      <dsp:spPr>
        <a:xfrm>
          <a:off x="61196"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Num</a:t>
          </a:r>
        </a:p>
      </dsp:txBody>
      <dsp:txXfrm>
        <a:off x="71117" y="677772"/>
        <a:ext cx="513595" cy="318890"/>
      </dsp:txXfrm>
    </dsp:sp>
    <dsp:sp modelId="{7A90D4F0-2269-4706-8C7B-0ABE3BB6CB13}">
      <dsp:nvSpPr>
        <dsp:cNvPr id="0" name=""/>
        <dsp:cNvSpPr/>
      </dsp:nvSpPr>
      <dsp:spPr>
        <a:xfrm>
          <a:off x="653904"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713175"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Bool</a:t>
          </a:r>
        </a:p>
      </dsp:txBody>
      <dsp:txXfrm>
        <a:off x="723096" y="677772"/>
        <a:ext cx="513595" cy="318890"/>
      </dsp:txXfrm>
    </dsp:sp>
    <dsp:sp modelId="{E726D2CB-426B-4B57-BEFE-03AC2FD45058}">
      <dsp:nvSpPr>
        <dsp:cNvPr id="0" name=""/>
        <dsp:cNvSpPr/>
      </dsp:nvSpPr>
      <dsp:spPr>
        <a:xfrm>
          <a:off x="1305883"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1365153"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a:t>
          </a:r>
        </a:p>
      </dsp:txBody>
      <dsp:txXfrm>
        <a:off x="1375074" y="677772"/>
        <a:ext cx="513595" cy="318890"/>
      </dsp:txXfrm>
    </dsp:sp>
    <dsp:sp modelId="{9FBE6E31-894F-4A8D-A995-3793189C2058}">
      <dsp:nvSpPr>
        <dsp:cNvPr id="0" name=""/>
        <dsp:cNvSpPr/>
      </dsp:nvSpPr>
      <dsp:spPr>
        <a:xfrm>
          <a:off x="1957861"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2017132"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Date</a:t>
          </a:r>
        </a:p>
      </dsp:txBody>
      <dsp:txXfrm>
        <a:off x="2027053" y="677772"/>
        <a:ext cx="513595" cy="318890"/>
      </dsp:txXfrm>
    </dsp:sp>
    <dsp:sp modelId="{D32C58B7-9D5F-43FA-967A-270DDAAAF0AA}">
      <dsp:nvSpPr>
        <dsp:cNvPr id="0" name=""/>
        <dsp:cNvSpPr/>
      </dsp:nvSpPr>
      <dsp:spPr>
        <a:xfrm>
          <a:off x="2609840"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BAAFF5-78A5-4BDC-8C22-FA0E94F330A6}">
      <dsp:nvSpPr>
        <dsp:cNvPr id="0" name=""/>
        <dsp:cNvSpPr/>
      </dsp:nvSpPr>
      <dsp:spPr>
        <a:xfrm>
          <a:off x="2669111"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SymList</a:t>
          </a:r>
        </a:p>
      </dsp:txBody>
      <dsp:txXfrm>
        <a:off x="2679032" y="677772"/>
        <a:ext cx="513595" cy="318890"/>
      </dsp:txXfrm>
    </dsp:sp>
    <dsp:sp modelId="{D3DCAA9F-565E-46E9-A4F0-C212DF81C742}">
      <dsp:nvSpPr>
        <dsp:cNvPr id="0" name=""/>
        <dsp:cNvSpPr/>
      </dsp:nvSpPr>
      <dsp:spPr>
        <a:xfrm>
          <a:off x="3261819"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61DE53-5D76-4DFC-A3DD-9759FAE76CFC}">
      <dsp:nvSpPr>
        <dsp:cNvPr id="0" name=""/>
        <dsp:cNvSpPr/>
      </dsp:nvSpPr>
      <dsp:spPr>
        <a:xfrm>
          <a:off x="3321090"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Amt[c]</a:t>
          </a:r>
        </a:p>
      </dsp:txBody>
      <dsp:txXfrm>
        <a:off x="3331011" y="677772"/>
        <a:ext cx="513595" cy="318890"/>
      </dsp:txXfrm>
    </dsp:sp>
    <dsp:sp modelId="{FF47EDE4-96CB-42F1-89D7-835F6C51E8A9}">
      <dsp:nvSpPr>
        <dsp:cNvPr id="0" name=""/>
        <dsp:cNvSpPr/>
      </dsp:nvSpPr>
      <dsp:spPr>
        <a:xfrm>
          <a:off x="1631872"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7D0A20-F29C-4578-8CD4-B62D557165F9}">
      <dsp:nvSpPr>
        <dsp:cNvPr id="0" name=""/>
        <dsp:cNvSpPr/>
      </dsp:nvSpPr>
      <dsp:spPr>
        <a:xfrm>
          <a:off x="1691143"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EUR</a:t>
          </a:r>
        </a:p>
      </dsp:txBody>
      <dsp:txXfrm>
        <a:off x="1701064" y="1171646"/>
        <a:ext cx="513595" cy="318890"/>
      </dsp:txXfrm>
    </dsp:sp>
    <dsp:sp modelId="{5F7CCCE0-0202-4BB8-895C-CA42260CE108}">
      <dsp:nvSpPr>
        <dsp:cNvPr id="0" name=""/>
        <dsp:cNvSpPr/>
      </dsp:nvSpPr>
      <dsp:spPr>
        <a:xfrm>
          <a:off x="2283851"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643AAA-2695-4CD8-AE39-264EADA1A88E}">
      <dsp:nvSpPr>
        <dsp:cNvPr id="0" name=""/>
        <dsp:cNvSpPr/>
      </dsp:nvSpPr>
      <dsp:spPr>
        <a:xfrm>
          <a:off x="2343122"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USD</a:t>
          </a:r>
        </a:p>
      </dsp:txBody>
      <dsp:txXfrm>
        <a:off x="2353043" y="1171646"/>
        <a:ext cx="513595" cy="318890"/>
      </dsp:txXfrm>
    </dsp:sp>
    <dsp:sp modelId="{9E97FDCA-D1AC-42EF-9B89-171EB134C780}">
      <dsp:nvSpPr>
        <dsp:cNvPr id="0" name=""/>
        <dsp:cNvSpPr/>
      </dsp:nvSpPr>
      <dsp:spPr>
        <a:xfrm>
          <a:off x="2935830"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0BF3D4-FBAD-48FF-9061-693E85D67949}">
      <dsp:nvSpPr>
        <dsp:cNvPr id="0" name=""/>
        <dsp:cNvSpPr/>
      </dsp:nvSpPr>
      <dsp:spPr>
        <a:xfrm>
          <a:off x="2995100"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GBP</a:t>
          </a:r>
        </a:p>
      </dsp:txBody>
      <dsp:txXfrm>
        <a:off x="3005021" y="1171646"/>
        <a:ext cx="513595" cy="318890"/>
      </dsp:txXfrm>
    </dsp:sp>
    <dsp:sp modelId="{1334E469-2073-48D7-9203-B4D424551FEC}">
      <dsp:nvSpPr>
        <dsp:cNvPr id="0" name=""/>
        <dsp:cNvSpPr/>
      </dsp:nvSpPr>
      <dsp:spPr>
        <a:xfrm>
          <a:off x="3587808"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70920D-A9B2-4F67-A53F-C0BE0D5C9CDC}">
      <dsp:nvSpPr>
        <dsp:cNvPr id="0" name=""/>
        <dsp:cNvSpPr/>
      </dsp:nvSpPr>
      <dsp:spPr>
        <a:xfrm>
          <a:off x="3647079"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JPY</a:t>
          </a:r>
        </a:p>
      </dsp:txBody>
      <dsp:txXfrm>
        <a:off x="3657000" y="1171646"/>
        <a:ext cx="513595" cy="318890"/>
      </dsp:txXfrm>
    </dsp:sp>
    <dsp:sp modelId="{2AB84733-073D-4779-9A8F-5033831C43F4}">
      <dsp:nvSpPr>
        <dsp:cNvPr id="0" name=""/>
        <dsp:cNvSpPr/>
      </dsp:nvSpPr>
      <dsp:spPr>
        <a:xfrm>
          <a:off x="4239787"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ACD3D0-F777-4EB5-93D1-FE0E52BCCA95}">
      <dsp:nvSpPr>
        <dsp:cNvPr id="0" name=""/>
        <dsp:cNvSpPr/>
      </dsp:nvSpPr>
      <dsp:spPr>
        <a:xfrm>
          <a:off x="4299058"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CHF</a:t>
          </a:r>
        </a:p>
      </dsp:txBody>
      <dsp:txXfrm>
        <a:off x="4308979" y="1171646"/>
        <a:ext cx="513595" cy="318890"/>
      </dsp:txXfrm>
    </dsp:sp>
    <dsp:sp modelId="{BF09DF34-69BE-478A-BEFA-3649759B4E4D}">
      <dsp:nvSpPr>
        <dsp:cNvPr id="0" name=""/>
        <dsp:cNvSpPr/>
      </dsp:nvSpPr>
      <dsp:spPr>
        <a:xfrm>
          <a:off x="4891766"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0AB480-821A-4A83-B0ED-BA53F5A06D7C}">
      <dsp:nvSpPr>
        <dsp:cNvPr id="0" name=""/>
        <dsp:cNvSpPr/>
      </dsp:nvSpPr>
      <dsp:spPr>
        <a:xfrm>
          <a:off x="4951037"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 161 in total</a:t>
          </a:r>
        </a:p>
      </dsp:txBody>
      <dsp:txXfrm>
        <a:off x="4960958" y="1171646"/>
        <a:ext cx="513595" cy="318890"/>
      </dsp:txXfrm>
    </dsp:sp>
    <dsp:sp modelId="{B334FE29-FEE8-493F-9647-72310A434C9A}">
      <dsp:nvSpPr>
        <dsp:cNvPr id="0" name=""/>
        <dsp:cNvSpPr/>
      </dsp:nvSpPr>
      <dsp:spPr>
        <a:xfrm>
          <a:off x="3913798"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B958E9-40D9-4C80-AA76-D1DCB0A3F5E9}">
      <dsp:nvSpPr>
        <dsp:cNvPr id="0" name=""/>
        <dsp:cNvSpPr/>
      </dsp:nvSpPr>
      <dsp:spPr>
        <a:xfrm>
          <a:off x="3973069"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α</a:t>
          </a:r>
          <a:r>
            <a:rPr lang="ro-RO" sz="800" kern="1200"/>
            <a:t> (type variable)</a:t>
          </a:r>
        </a:p>
      </dsp:txBody>
      <dsp:txXfrm>
        <a:off x="3982990" y="677772"/>
        <a:ext cx="513595" cy="318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BBFCED-C8E5-4F97-87AD-7C1E77833058}">
      <dsp:nvSpPr>
        <dsp:cNvPr id="0" name=""/>
        <dsp:cNvSpPr/>
      </dsp:nvSpPr>
      <dsp:spPr>
        <a:xfrm>
          <a:off x="2689287" y="616729"/>
          <a:ext cx="1779128" cy="282234"/>
        </a:xfrm>
        <a:custGeom>
          <a:avLst/>
          <a:gdLst/>
          <a:ahLst/>
          <a:cxnLst/>
          <a:rect l="0" t="0" r="0" b="0"/>
          <a:pathLst>
            <a:path>
              <a:moveTo>
                <a:pt x="0" y="0"/>
              </a:moveTo>
              <a:lnTo>
                <a:pt x="0" y="192334"/>
              </a:lnTo>
              <a:lnTo>
                <a:pt x="1779128" y="192334"/>
              </a:lnTo>
              <a:lnTo>
                <a:pt x="1779128"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2689287" y="616729"/>
          <a:ext cx="593042" cy="282234"/>
        </a:xfrm>
        <a:custGeom>
          <a:avLst/>
          <a:gdLst/>
          <a:ahLst/>
          <a:cxnLst/>
          <a:rect l="0" t="0" r="0" b="0"/>
          <a:pathLst>
            <a:path>
              <a:moveTo>
                <a:pt x="0" y="0"/>
              </a:moveTo>
              <a:lnTo>
                <a:pt x="0" y="192334"/>
              </a:lnTo>
              <a:lnTo>
                <a:pt x="593042" y="192334"/>
              </a:lnTo>
              <a:lnTo>
                <a:pt x="593042"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2096244" y="616729"/>
          <a:ext cx="593042" cy="282234"/>
        </a:xfrm>
        <a:custGeom>
          <a:avLst/>
          <a:gdLst/>
          <a:ahLst/>
          <a:cxnLst/>
          <a:rect l="0" t="0" r="0" b="0"/>
          <a:pathLst>
            <a:path>
              <a:moveTo>
                <a:pt x="593042" y="0"/>
              </a:moveTo>
              <a:lnTo>
                <a:pt x="593042"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910158" y="616729"/>
          <a:ext cx="1779128" cy="282234"/>
        </a:xfrm>
        <a:custGeom>
          <a:avLst/>
          <a:gdLst/>
          <a:ahLst/>
          <a:cxnLst/>
          <a:rect l="0" t="0" r="0" b="0"/>
          <a:pathLst>
            <a:path>
              <a:moveTo>
                <a:pt x="1779128" y="0"/>
              </a:moveTo>
              <a:lnTo>
                <a:pt x="1779128"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2204070" y="504"/>
          <a:ext cx="970433" cy="6162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311896" y="10293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Regional Patent Organizations</a:t>
          </a:r>
          <a:endParaRPr lang="ro-RO" sz="1100" kern="1200"/>
        </a:p>
      </dsp:txBody>
      <dsp:txXfrm>
        <a:off x="2329945" y="120988"/>
        <a:ext cx="934335" cy="580127"/>
      </dsp:txXfrm>
    </dsp:sp>
    <dsp:sp modelId="{27857BCD-DBEC-4D5B-90DC-0F6AA5A62B3D}">
      <dsp:nvSpPr>
        <dsp:cNvPr id="0" name=""/>
        <dsp:cNvSpPr/>
      </dsp:nvSpPr>
      <dsp:spPr>
        <a:xfrm>
          <a:off x="424941"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32767"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EPO (38 member states)</a:t>
          </a:r>
          <a:endParaRPr lang="ro-RO" sz="1100" kern="1200"/>
        </a:p>
      </dsp:txBody>
      <dsp:txXfrm>
        <a:off x="550816" y="1019448"/>
        <a:ext cx="934335" cy="580127"/>
      </dsp:txXfrm>
    </dsp:sp>
    <dsp:sp modelId="{7A90D4F0-2269-4706-8C7B-0ABE3BB6CB13}">
      <dsp:nvSpPr>
        <dsp:cNvPr id="0" name=""/>
        <dsp:cNvSpPr/>
      </dsp:nvSpPr>
      <dsp:spPr>
        <a:xfrm>
          <a:off x="1611027"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1718853"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EA (9 member states)</a:t>
          </a:r>
          <a:endParaRPr lang="ro-RO" sz="1100" kern="1200"/>
        </a:p>
      </dsp:txBody>
      <dsp:txXfrm>
        <a:off x="1736902" y="1019448"/>
        <a:ext cx="934335" cy="580127"/>
      </dsp:txXfrm>
    </dsp:sp>
    <dsp:sp modelId="{E726D2CB-426B-4B57-BEFE-03AC2FD45058}">
      <dsp:nvSpPr>
        <dsp:cNvPr id="0" name=""/>
        <dsp:cNvSpPr/>
      </dsp:nvSpPr>
      <dsp:spPr>
        <a:xfrm>
          <a:off x="2797112"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2904938"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AP (19 member states)</a:t>
          </a:r>
          <a:endParaRPr lang="ro-RO" sz="1100" kern="1200"/>
        </a:p>
      </dsp:txBody>
      <dsp:txXfrm>
        <a:off x="2922987" y="1019448"/>
        <a:ext cx="934335" cy="580127"/>
      </dsp:txXfrm>
    </dsp:sp>
    <dsp:sp modelId="{9FBE6E31-894F-4A8D-A995-3793189C2058}">
      <dsp:nvSpPr>
        <dsp:cNvPr id="0" name=""/>
        <dsp:cNvSpPr/>
      </dsp:nvSpPr>
      <dsp:spPr>
        <a:xfrm>
          <a:off x="3983198"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4091024"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OA (17 member states)</a:t>
          </a:r>
          <a:endParaRPr lang="ro-RO" sz="1100" kern="1200"/>
        </a:p>
      </dsp:txBody>
      <dsp:txXfrm>
        <a:off x="4109073" y="1019448"/>
        <a:ext cx="934335" cy="5801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3FCDE7-95D1-4ED2-BC27-9DBA434FF78B}">
      <dsp:nvSpPr>
        <dsp:cNvPr id="0" name=""/>
        <dsp:cNvSpPr/>
      </dsp:nvSpPr>
      <dsp:spPr>
        <a:xfrm>
          <a:off x="4101204"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E93249-292C-4BC8-AFE3-91CCF3B278C8}">
      <dsp:nvSpPr>
        <dsp:cNvPr id="0" name=""/>
        <dsp:cNvSpPr/>
      </dsp:nvSpPr>
      <dsp:spPr>
        <a:xfrm>
          <a:off x="4101204"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F69145-2061-41DA-867C-B10B254472E9}">
      <dsp:nvSpPr>
        <dsp:cNvPr id="0" name=""/>
        <dsp:cNvSpPr/>
      </dsp:nvSpPr>
      <dsp:spPr>
        <a:xfrm>
          <a:off x="4055484"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037A6-B0F6-4C68-86AE-51376AEB5BCC}">
      <dsp:nvSpPr>
        <dsp:cNvPr id="0" name=""/>
        <dsp:cNvSpPr/>
      </dsp:nvSpPr>
      <dsp:spPr>
        <a:xfrm>
          <a:off x="3547943"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935BF4-7BA9-4FFB-8267-422774B55B4D}">
      <dsp:nvSpPr>
        <dsp:cNvPr id="0" name=""/>
        <dsp:cNvSpPr/>
      </dsp:nvSpPr>
      <dsp:spPr>
        <a:xfrm>
          <a:off x="2994682"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352E2B-7ECE-4FCF-B6DB-6C8DB67085DF}">
      <dsp:nvSpPr>
        <dsp:cNvPr id="0" name=""/>
        <dsp:cNvSpPr/>
      </dsp:nvSpPr>
      <dsp:spPr>
        <a:xfrm>
          <a:off x="1334898"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F4FC52-7606-427C-98AA-0246ADC3C75C}">
      <dsp:nvSpPr>
        <dsp:cNvPr id="0" name=""/>
        <dsp:cNvSpPr/>
      </dsp:nvSpPr>
      <dsp:spPr>
        <a:xfrm>
          <a:off x="1334898"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127D81-1B3C-4FF4-862E-8CCA2CC7CB53}">
      <dsp:nvSpPr>
        <dsp:cNvPr id="0" name=""/>
        <dsp:cNvSpPr/>
      </dsp:nvSpPr>
      <dsp:spPr>
        <a:xfrm>
          <a:off x="1289178"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A5286C-7035-4020-8E13-F6547E10BE42}">
      <dsp:nvSpPr>
        <dsp:cNvPr id="0" name=""/>
        <dsp:cNvSpPr/>
      </dsp:nvSpPr>
      <dsp:spPr>
        <a:xfrm>
          <a:off x="781637"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228376"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108564"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1158861"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Composed jurisdictions</a:t>
          </a:r>
          <a:endParaRPr lang="ro-RO" sz="500" kern="1200"/>
        </a:p>
      </dsp:txBody>
      <dsp:txXfrm>
        <a:off x="1167280" y="174340"/>
        <a:ext cx="435830" cy="270606"/>
      </dsp:txXfrm>
    </dsp:sp>
    <dsp:sp modelId="{27857BCD-DBEC-4D5B-90DC-0F6AA5A62B3D}">
      <dsp:nvSpPr>
        <dsp:cNvPr id="0" name=""/>
        <dsp:cNvSpPr/>
      </dsp:nvSpPr>
      <dsp:spPr>
        <a:xfrm>
          <a:off x="204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233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a:t>
          </a:r>
          <a:endParaRPr lang="ro-RO" sz="500" kern="1200"/>
        </a:p>
      </dsp:txBody>
      <dsp:txXfrm>
        <a:off x="60758" y="593435"/>
        <a:ext cx="435830" cy="270606"/>
      </dsp:txXfrm>
    </dsp:sp>
    <dsp:sp modelId="{37B8AFDB-E27A-4DA2-AF49-685525508CAF}">
      <dsp:nvSpPr>
        <dsp:cNvPr id="0" name=""/>
        <dsp:cNvSpPr/>
      </dsp:nvSpPr>
      <dsp:spPr>
        <a:xfrm>
          <a:off x="555303"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711C75-93DE-4F71-BBA7-A883FA67A0C3}">
      <dsp:nvSpPr>
        <dsp:cNvPr id="0" name=""/>
        <dsp:cNvSpPr/>
      </dsp:nvSpPr>
      <dsp:spPr>
        <a:xfrm>
          <a:off x="605600"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FR</a:t>
          </a:r>
          <a:endParaRPr lang="ro-RO" sz="500" kern="1200"/>
        </a:p>
      </dsp:txBody>
      <dsp:txXfrm>
        <a:off x="614019" y="593435"/>
        <a:ext cx="435830" cy="270606"/>
      </dsp:txXfrm>
    </dsp:sp>
    <dsp:sp modelId="{65D253CF-B107-49C6-A0BE-1D1EE60DC189}">
      <dsp:nvSpPr>
        <dsp:cNvPr id="0" name=""/>
        <dsp:cNvSpPr/>
      </dsp:nvSpPr>
      <dsp:spPr>
        <a:xfrm>
          <a:off x="1108564"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207EEA-00B5-4766-9112-C8F8402FEC68}">
      <dsp:nvSpPr>
        <dsp:cNvPr id="0" name=""/>
        <dsp:cNvSpPr/>
      </dsp:nvSpPr>
      <dsp:spPr>
        <a:xfrm>
          <a:off x="1158861"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RO</a:t>
          </a:r>
          <a:endParaRPr lang="ro-RO" sz="500" kern="1200"/>
        </a:p>
      </dsp:txBody>
      <dsp:txXfrm>
        <a:off x="1167280" y="593435"/>
        <a:ext cx="435830" cy="270606"/>
      </dsp:txXfrm>
    </dsp:sp>
    <dsp:sp modelId="{C08C9B73-1B4C-45DF-8CDF-66A4E6A5D7A8}">
      <dsp:nvSpPr>
        <dsp:cNvPr id="0" name=""/>
        <dsp:cNvSpPr/>
      </dsp:nvSpPr>
      <dsp:spPr>
        <a:xfrm>
          <a:off x="1661826"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7C5B7F-EC16-437A-B344-8AAE401678A0}">
      <dsp:nvSpPr>
        <dsp:cNvPr id="0" name=""/>
        <dsp:cNvSpPr/>
      </dsp:nvSpPr>
      <dsp:spPr>
        <a:xfrm>
          <a:off x="1712122"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RU</a:t>
          </a:r>
          <a:endParaRPr lang="ro-RO" sz="500" kern="1200"/>
        </a:p>
      </dsp:txBody>
      <dsp:txXfrm>
        <a:off x="1720541" y="593435"/>
        <a:ext cx="435830" cy="270606"/>
      </dsp:txXfrm>
    </dsp:sp>
    <dsp:sp modelId="{E9057711-916D-4418-95A7-C850BCA2B7A3}">
      <dsp:nvSpPr>
        <dsp:cNvPr id="0" name=""/>
        <dsp:cNvSpPr/>
      </dsp:nvSpPr>
      <dsp:spPr>
        <a:xfrm>
          <a:off x="2215087"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AD4701-4CA5-4FC2-BD6E-EA083F93E99F}">
      <dsp:nvSpPr>
        <dsp:cNvPr id="0" name=""/>
        <dsp:cNvSpPr/>
      </dsp:nvSpPr>
      <dsp:spPr>
        <a:xfrm>
          <a:off x="2265383"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+80 others</a:t>
          </a:r>
          <a:endParaRPr lang="ro-RO" sz="500" kern="1200"/>
        </a:p>
      </dsp:txBody>
      <dsp:txXfrm>
        <a:off x="2273802" y="593435"/>
        <a:ext cx="435830" cy="270606"/>
      </dsp:txXfrm>
    </dsp:sp>
    <dsp:sp modelId="{3007B737-7FD1-49F8-825C-CE4C3CBA8A8A}">
      <dsp:nvSpPr>
        <dsp:cNvPr id="0" name=""/>
        <dsp:cNvSpPr/>
      </dsp:nvSpPr>
      <dsp:spPr>
        <a:xfrm>
          <a:off x="3874870"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B1282F-BBBE-40D3-8584-F978F1365840}">
      <dsp:nvSpPr>
        <dsp:cNvPr id="0" name=""/>
        <dsp:cNvSpPr/>
      </dsp:nvSpPr>
      <dsp:spPr>
        <a:xfrm>
          <a:off x="3925166"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Standalone jurisdictions</a:t>
          </a:r>
          <a:endParaRPr lang="ro-RO" sz="500" kern="1200"/>
        </a:p>
      </dsp:txBody>
      <dsp:txXfrm>
        <a:off x="3933585" y="174340"/>
        <a:ext cx="435830" cy="270606"/>
      </dsp:txXfrm>
    </dsp:sp>
    <dsp:sp modelId="{1E6EF6B0-F36C-4516-8099-9B35050CC7C8}">
      <dsp:nvSpPr>
        <dsp:cNvPr id="0" name=""/>
        <dsp:cNvSpPr/>
      </dsp:nvSpPr>
      <dsp:spPr>
        <a:xfrm>
          <a:off x="2768348"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10D921-5950-4740-9FBA-A3A7A6F8F9AA}">
      <dsp:nvSpPr>
        <dsp:cNvPr id="0" name=""/>
        <dsp:cNvSpPr/>
      </dsp:nvSpPr>
      <dsp:spPr>
        <a:xfrm>
          <a:off x="2818644"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US</a:t>
          </a:r>
          <a:endParaRPr lang="ro-RO" sz="500" kern="1200"/>
        </a:p>
      </dsp:txBody>
      <dsp:txXfrm>
        <a:off x="2827063" y="593435"/>
        <a:ext cx="435830" cy="270606"/>
      </dsp:txXfrm>
    </dsp:sp>
    <dsp:sp modelId="{5CE25BD2-D6FA-4C5E-826F-0F402EFA0081}">
      <dsp:nvSpPr>
        <dsp:cNvPr id="0" name=""/>
        <dsp:cNvSpPr/>
      </dsp:nvSpPr>
      <dsp:spPr>
        <a:xfrm>
          <a:off x="3321609"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3356D-09BA-4634-B5E7-8B67B0D8BCB6}">
      <dsp:nvSpPr>
        <dsp:cNvPr id="0" name=""/>
        <dsp:cNvSpPr/>
      </dsp:nvSpPr>
      <dsp:spPr>
        <a:xfrm>
          <a:off x="3371905"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JP</a:t>
          </a:r>
          <a:endParaRPr lang="ro-RO" sz="500" kern="1200"/>
        </a:p>
      </dsp:txBody>
      <dsp:txXfrm>
        <a:off x="3380324" y="593435"/>
        <a:ext cx="435830" cy="270606"/>
      </dsp:txXfrm>
    </dsp:sp>
    <dsp:sp modelId="{2DCBF2A7-3121-4F32-BFA3-F506CA9445B3}">
      <dsp:nvSpPr>
        <dsp:cNvPr id="0" name=""/>
        <dsp:cNvSpPr/>
      </dsp:nvSpPr>
      <dsp:spPr>
        <a:xfrm>
          <a:off x="3874870"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30382B-A7CD-4C12-9431-905B220C9126}">
      <dsp:nvSpPr>
        <dsp:cNvPr id="0" name=""/>
        <dsp:cNvSpPr/>
      </dsp:nvSpPr>
      <dsp:spPr>
        <a:xfrm>
          <a:off x="3925166"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CN</a:t>
          </a:r>
          <a:endParaRPr lang="ro-RO" sz="500" kern="1200"/>
        </a:p>
      </dsp:txBody>
      <dsp:txXfrm>
        <a:off x="3933585" y="593435"/>
        <a:ext cx="435830" cy="270606"/>
      </dsp:txXfrm>
    </dsp:sp>
    <dsp:sp modelId="{61C118A6-C5B5-46EE-8201-71924792BB49}">
      <dsp:nvSpPr>
        <dsp:cNvPr id="0" name=""/>
        <dsp:cNvSpPr/>
      </dsp:nvSpPr>
      <dsp:spPr>
        <a:xfrm>
          <a:off x="4428131"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9E4C6D-DF8F-44BD-BF40-6B4F5C8C90D7}">
      <dsp:nvSpPr>
        <dsp:cNvPr id="0" name=""/>
        <dsp:cNvSpPr/>
      </dsp:nvSpPr>
      <dsp:spPr>
        <a:xfrm>
          <a:off x="4478428"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KR</a:t>
          </a:r>
          <a:endParaRPr lang="ro-RO" sz="500" kern="1200"/>
        </a:p>
      </dsp:txBody>
      <dsp:txXfrm>
        <a:off x="4486847" y="593435"/>
        <a:ext cx="435830" cy="270606"/>
      </dsp:txXfrm>
    </dsp:sp>
    <dsp:sp modelId="{EF7EF9E4-9C15-4DEB-8C16-7C2839C73D5D}">
      <dsp:nvSpPr>
        <dsp:cNvPr id="0" name=""/>
        <dsp:cNvSpPr/>
      </dsp:nvSpPr>
      <dsp:spPr>
        <a:xfrm>
          <a:off x="498139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9248ED-300B-4FA8-A75F-0677C8AAB07E}">
      <dsp:nvSpPr>
        <dsp:cNvPr id="0" name=""/>
        <dsp:cNvSpPr/>
      </dsp:nvSpPr>
      <dsp:spPr>
        <a:xfrm>
          <a:off x="503168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+30 others</a:t>
          </a:r>
          <a:endParaRPr lang="ro-RO" sz="500" kern="1200"/>
        </a:p>
      </dsp:txBody>
      <dsp:txXfrm>
        <a:off x="5040108" y="593435"/>
        <a:ext cx="435830" cy="270606"/>
      </dsp:txXfrm>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293D1-120B-4211-87FE-E1762EA0B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32</Pages>
  <Words>9879</Words>
  <Characters>56311</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Valer BOCAN</cp:lastModifiedBy>
  <cp:revision>23</cp:revision>
  <dcterms:created xsi:type="dcterms:W3CDTF">2025-12-18T05:03:00Z</dcterms:created>
  <dcterms:modified xsi:type="dcterms:W3CDTF">2025-12-21T17:49:00Z</dcterms:modified>
</cp:coreProperties>
</file>