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376F9" w14:textId="77777777" w:rsidR="0054548D" w:rsidRDefault="00000000">
      <w:pPr>
        <w:pStyle w:val="Title"/>
      </w:pPr>
      <w:bookmarkStart w:id="0" w:name="Xc950876f1e1ea20f627cc54952fa83ebebff490"/>
      <w:bookmarkEnd w:id="0"/>
      <w:r>
        <w:t>IPFLang: A Domain-Specific Language with Currency-Safe Types and Static Verification for Regulatory Fee Calculations</w:t>
      </w:r>
    </w:p>
    <w:p w14:paraId="68207351" w14:textId="77777777" w:rsidR="00244D84" w:rsidRDefault="00244D84">
      <w:pPr>
        <w:pStyle w:val="FirstParagraph"/>
        <w:rPr>
          <w:b/>
          <w:bCs/>
        </w:rPr>
      </w:pPr>
    </w:p>
    <w:p w14:paraId="55C7D93D" w14:textId="1A3E6E76" w:rsidR="0054548D" w:rsidRDefault="00000000">
      <w:pPr>
        <w:pStyle w:val="FirstParagraph"/>
      </w:pPr>
      <w:r>
        <w:rPr>
          <w:b/>
          <w:bCs/>
        </w:rPr>
        <w:t>Valer Bocan, PhD, CSSLP</w:t>
      </w:r>
      <w:r>
        <w:br/>
        <w:t>Department of Computer and Information Technology</w:t>
      </w:r>
      <w:r>
        <w:br/>
        <w:t>Politehnica University of Timișoara, 300223 Timișoara, Romania</w:t>
      </w:r>
      <w:r>
        <w:br/>
        <w:t xml:space="preserve">Email: </w:t>
      </w:r>
      <w:hyperlink r:id="rId8">
        <w:r w:rsidR="0054548D">
          <w:rPr>
            <w:rStyle w:val="Hyperlink"/>
          </w:rPr>
          <w:t>valer.bocan@upt.ro</w:t>
        </w:r>
      </w:hyperlink>
      <w:r>
        <w:br/>
        <w:t>ORCID: 0009-0006-9084-4064</w:t>
      </w:r>
    </w:p>
    <w:p w14:paraId="4C740707" w14:textId="77777777" w:rsidR="00244D84" w:rsidRPr="00244D84" w:rsidRDefault="00244D84" w:rsidP="00244D84">
      <w:pPr>
        <w:pStyle w:val="BodyText"/>
      </w:pPr>
    </w:p>
    <w:p w14:paraId="6EE5EE7F" w14:textId="77777777" w:rsidR="0054548D" w:rsidRDefault="00000000" w:rsidP="00244D84">
      <w:pPr>
        <w:pStyle w:val="Heading2"/>
        <w:jc w:val="center"/>
      </w:pPr>
      <w:bookmarkStart w:id="1" w:name="section"/>
      <w:r>
        <w:rPr>
          <w:noProof/>
        </w:rPr>
        <w:drawing>
          <wp:inline distT="0" distB="0" distL="0" distR="0" wp14:anchorId="6833D654" wp14:editId="5C0ECA02">
            <wp:extent cx="5960845" cy="3200400"/>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13" name="Picture" descr="media/image1.png"/>
                    <pic:cNvPicPr>
                      <a:picLocks noChangeAspect="1" noChangeArrowheads="1"/>
                    </pic:cNvPicPr>
                  </pic:nvPicPr>
                  <pic:blipFill>
                    <a:blip r:embed="rId9"/>
                    <a:stretch>
                      <a:fillRect/>
                    </a:stretch>
                  </pic:blipFill>
                  <pic:spPr bwMode="auto">
                    <a:xfrm>
                      <a:off x="0" y="0"/>
                      <a:ext cx="5969497" cy="3205045"/>
                    </a:xfrm>
                    <a:prstGeom prst="rect">
                      <a:avLst/>
                    </a:prstGeom>
                    <a:noFill/>
                    <a:ln w="9525">
                      <a:noFill/>
                      <a:headEnd/>
                      <a:tailEnd/>
                    </a:ln>
                  </pic:spPr>
                </pic:pic>
              </a:graphicData>
            </a:graphic>
          </wp:inline>
        </w:drawing>
      </w:r>
    </w:p>
    <w:p w14:paraId="05FB6937" w14:textId="77777777" w:rsidR="0054548D" w:rsidRDefault="00000000">
      <w:pPr>
        <w:pStyle w:val="Heading1"/>
      </w:pPr>
      <w:bookmarkStart w:id="2" w:name="abstract"/>
      <w:bookmarkEnd w:id="1"/>
      <w:r>
        <w:t>Abstract</w:t>
      </w:r>
    </w:p>
    <w:p w14:paraId="190005D3" w14:textId="77777777" w:rsidR="0054548D" w:rsidRDefault="00000000">
      <w:pPr>
        <w:pStyle w:val="FirstParagraph"/>
      </w:pPr>
      <w:r>
        <w:t xml:space="preserve">Regulatory fee calculations involve complex, jurisdiction-specific rules that are typically implemented as ad-hoc code or spreadsheets, leading to errors and maintenance difficulties - there is no formal specification for encoding fee computation rules. This paper presents IPFLang, a domain-specific language that addresses these software engineering </w:t>
      </w:r>
      <w:r>
        <w:lastRenderedPageBreak/>
        <w:t>challenges through novel language design and static verification. IPFLang provides: (1) a formal EBNF grammar with declarative fee computation blocks; (2) a currency-aware type system supporting 161 ISO 4217 currencies that prevents cross-currency arithmetic errors at compile time; (3) static analysis of fee completeness and monotonicity; and (4) provenance tracking for auditability. We present formal typing rules with a type safety argument, analysis algorithms with complexity bounds, and expert validation of production jurisdiction files. The open-source reference implementation includes 122 production jurisdiction files covering PCT national/regional phase entry fees validated by domain experts, a comprehensive test suite with 261 test methods, and sub-millisecond execution. IPFLang provides a foundation for correct-by-construction fee computation with formal verification guarantees.</w:t>
      </w:r>
    </w:p>
    <w:p w14:paraId="30EC34E3" w14:textId="77777777" w:rsidR="0054548D" w:rsidRDefault="00000000">
      <w:pPr>
        <w:pStyle w:val="Heading1"/>
      </w:pPr>
      <w:bookmarkStart w:id="3" w:name="keywords"/>
      <w:bookmarkEnd w:id="2"/>
      <w:r>
        <w:t>Keywords</w:t>
      </w:r>
    </w:p>
    <w:p w14:paraId="70B5BC02" w14:textId="77777777" w:rsidR="0054548D" w:rsidRDefault="00000000">
      <w:pPr>
        <w:pStyle w:val="FirstParagraph"/>
      </w:pPr>
      <w:r>
        <w:t>domain-specific language, type system, static verification, program correctness, currency safety, regulatory automation, formal specification</w:t>
      </w:r>
    </w:p>
    <w:p w14:paraId="06FA86E0" w14:textId="77777777" w:rsidR="0054548D" w:rsidRDefault="00000000">
      <w:pPr>
        <w:pStyle w:val="Heading1"/>
      </w:pPr>
      <w:bookmarkStart w:id="4" w:name="introduction"/>
      <w:bookmarkEnd w:id="3"/>
      <w:r>
        <w:t>1. Introduction</w:t>
      </w:r>
    </w:p>
    <w:p w14:paraId="5414F373" w14:textId="77777777" w:rsidR="0054548D" w:rsidRDefault="00000000">
      <w:pPr>
        <w:pStyle w:val="Heading3"/>
      </w:pPr>
      <w:bookmarkStart w:id="5" w:name="the-ip-technology-fragmentation-problem"/>
      <w:r>
        <w:t>1.1 The IP Technology Fragmentation Problem</w:t>
      </w:r>
    </w:p>
    <w:p w14:paraId="42CC65D5" w14:textId="77777777" w:rsidR="0054548D"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366B7B2A" w14:textId="77777777" w:rsidR="0054548D"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5460CB7B" w14:textId="77777777" w:rsidR="0054548D"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206B03A1" w14:textId="77777777" w:rsidR="0054548D" w:rsidRDefault="00000000">
      <w:pPr>
        <w:pStyle w:val="BodyText"/>
      </w:pPr>
      <w:r>
        <w:lastRenderedPageBreak/>
        <w:t>The situation is further complicated by the proprietary nature of calculation logic itself. Fee computation rules remain embedded in server-side code, entirely inaccessible to practitioners who must verify accuracy against frequently updated official fee schedules. When discrepancies arise between calculated and actual fees, practitioners find themselves unable to diagnose whether errors stem from incorrect inputs or flawed calculation logic, as the underlying implementation remains opaque.</w:t>
      </w:r>
    </w:p>
    <w:p w14:paraId="4476F814" w14:textId="77777777" w:rsidR="0054548D"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 Research on de facto technical standards has documented how network effects and single-vendor control in IT ecosystems create barriers to interoperability and innovation [18], patterns that characterize the current IP technology landscape.</w:t>
      </w:r>
    </w:p>
    <w:p w14:paraId="2317E0C6" w14:textId="77777777" w:rsidR="0054548D" w:rsidRDefault="00000000">
      <w:pPr>
        <w:pStyle w:val="Heading3"/>
      </w:pPr>
      <w:bookmarkStart w:id="6" w:name="the-need-for-formal-specification"/>
      <w:bookmarkEnd w:id="5"/>
      <w:r>
        <w:t>1.2 The Need for Formal Specification</w:t>
      </w:r>
    </w:p>
    <w:p w14:paraId="6616C6AC" w14:textId="77777777" w:rsidR="0054548D"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 Research on intellectual property disclosure in standards development has examined how standards organizations balance IP rights with interoperability requirements [19], highlighting the complex dynamics that any IP technology specification effort must navigate.</w:t>
      </w:r>
    </w:p>
    <w:p w14:paraId="12D09DE9" w14:textId="77777777" w:rsidR="0054548D" w:rsidRDefault="00000000">
      <w:pPr>
        <w:pStyle w:val="BodyText"/>
      </w:pPr>
      <w:r>
        <w:t>The IP technology domain lacks equivalent formal specifications for fee calculation, resulting in three critical gaps. The first is a specification gap: no formal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6846BCEC" w14:textId="77777777" w:rsidR="0054548D" w:rsidRDefault="00000000">
      <w:pPr>
        <w:pStyle w:val="Heading3"/>
      </w:pPr>
      <w:bookmarkStart w:id="7" w:name="research-questions-and-contributions"/>
      <w:bookmarkEnd w:id="6"/>
      <w:r>
        <w:t>1.3 Research Questions and Contributions</w:t>
      </w:r>
    </w:p>
    <w:p w14:paraId="7CCA9C4C" w14:textId="77777777" w:rsidR="0054548D" w:rsidRDefault="00000000">
      <w:pPr>
        <w:pStyle w:val="FirstParagraph"/>
      </w:pPr>
      <w:r>
        <w:t>This work addresses four fundamental questions regarding formal specification of IP fee calculations.</w:t>
      </w:r>
    </w:p>
    <w:p w14:paraId="03DB0567" w14:textId="77777777" w:rsidR="0054548D" w:rsidRDefault="00000000">
      <w:pPr>
        <w:pStyle w:val="BodyText"/>
      </w:pPr>
      <w:r>
        <w:lastRenderedPageBreak/>
        <w:t>The first research question concerns language design: can a domain-specific language provide sufficient expressiveness for complex regulatory fee structures while employing syntax designed for readability by IP practitioners?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046AE237" w14:textId="77777777" w:rsidR="0054548D" w:rsidRDefault="00000000">
      <w:pPr>
        <w:pStyle w:val="BodyText"/>
      </w:pPr>
      <w:r>
        <w:t>This paper presents IPFLang (Intellectual Property Fees Language), a domain-specific language specification for multi-jurisdiction fee calculations, with five principal contributions:</w:t>
      </w:r>
    </w:p>
    <w:p w14:paraId="13750863" w14:textId="77777777" w:rsidR="0054548D" w:rsidRDefault="00000000">
      <w:pPr>
        <w:numPr>
          <w:ilvl w:val="0"/>
          <w:numId w:val="2"/>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0BCF7E7B" w14:textId="77777777" w:rsidR="0054548D" w:rsidRDefault="00000000">
      <w:pPr>
        <w:numPr>
          <w:ilvl w:val="0"/>
          <w:numId w:val="2"/>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3233F739" w14:textId="77777777" w:rsidR="0054548D" w:rsidRDefault="00000000">
      <w:pPr>
        <w:numPr>
          <w:ilvl w:val="0"/>
          <w:numId w:val="2"/>
        </w:numPr>
      </w:pPr>
      <w:r>
        <w:rPr>
          <w:b/>
          <w:bCs/>
        </w:rPr>
        <w:t>Provenance and Auditability</w:t>
      </w:r>
      <w:r>
        <w:t xml:space="preserve"> (Section 5): Execution tracing showing how final amounts derive from input parameters, with counterfactual analysis enabling what-if scenarios for regulatory compliance.</w:t>
      </w:r>
    </w:p>
    <w:p w14:paraId="0EA00493" w14:textId="77777777" w:rsidR="0054548D" w:rsidRDefault="00000000">
      <w:pPr>
        <w:numPr>
          <w:ilvl w:val="0"/>
          <w:numId w:val="2"/>
        </w:numPr>
      </w:pPr>
      <w:r>
        <w:rPr>
          <w:b/>
          <w:bCs/>
        </w:rPr>
        <w:t>Reference Implementation</w:t>
      </w:r>
      <w:r>
        <w:t xml:space="preserve"> (Section 6): An open-source command-line tool released under GPLv3 demonstrating IPFLang execution with 260 test methods validating type safety and verification correctness.</w:t>
      </w:r>
    </w:p>
    <w:p w14:paraId="2BDC3E17" w14:textId="77777777" w:rsidR="0054548D" w:rsidRDefault="00000000">
      <w:pPr>
        <w:numPr>
          <w:ilvl w:val="0"/>
          <w:numId w:val="2"/>
        </w:numPr>
      </w:pPr>
      <w:r>
        <w:rPr>
          <w:b/>
          <w:bCs/>
        </w:rPr>
        <w:t>Validation</w:t>
      </w:r>
      <w:r>
        <w:t xml:space="preserve"> (Section 7): Expert validation of 118 production jurisdiction files covering PCT national/regional phase entry fees for major patent offices worldwide.</w:t>
      </w:r>
    </w:p>
    <w:p w14:paraId="3B46C528" w14:textId="77777777" w:rsidR="0054548D" w:rsidRDefault="00000000">
      <w:pPr>
        <w:pStyle w:val="Heading3"/>
      </w:pPr>
      <w:bookmarkStart w:id="8" w:name="paper-organization"/>
      <w:bookmarkEnd w:id="7"/>
      <w:r>
        <w:t>1.4 Paper Organization</w:t>
      </w:r>
    </w:p>
    <w:p w14:paraId="25067057" w14:textId="77777777" w:rsidR="0054548D"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formal specification, cross-domain applicability, and limitations. Section 9 concludes with contributions summary, impact assessment, and future directions.</w:t>
      </w:r>
    </w:p>
    <w:p w14:paraId="03108729" w14:textId="77777777" w:rsidR="0054548D" w:rsidRDefault="00000000">
      <w:pPr>
        <w:pStyle w:val="Heading1"/>
      </w:pPr>
      <w:bookmarkStart w:id="9" w:name="related-work-and-standards-landscape"/>
      <w:bookmarkEnd w:id="4"/>
      <w:bookmarkEnd w:id="8"/>
      <w:r>
        <w:lastRenderedPageBreak/>
        <w:t>2. Related Work and Standards Landscape</w:t>
      </w:r>
    </w:p>
    <w:p w14:paraId="2C1DE34C" w14:textId="77777777" w:rsidR="0054548D" w:rsidRDefault="00000000">
      <w:pPr>
        <w:pStyle w:val="Heading3"/>
      </w:pPr>
      <w:bookmarkStart w:id="10" w:name="existing-ip-data-standards"/>
      <w:r>
        <w:t>2.1 Existing IP Data Standards</w:t>
      </w:r>
    </w:p>
    <w:p w14:paraId="11A5A552" w14:textId="77777777" w:rsidR="0054548D" w:rsidRDefault="00000000">
      <w:pPr>
        <w:pStyle w:val="FirstParagraph"/>
      </w:pPr>
      <w:r>
        <w:t>The IP technology domain has achieved partial standardization in data exchange but lacks standards for computational tasks like fee calculation.</w:t>
      </w:r>
    </w:p>
    <w:p w14:paraId="1AC3E294" w14:textId="77777777" w:rsidR="0054548D"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67D80C8C" w14:textId="77777777" w:rsidR="0054548D"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66664D52" w14:textId="77777777" w:rsidR="0054548D"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7DB1234B" w14:textId="77777777" w:rsidR="0054548D" w:rsidRDefault="00000000">
      <w:pPr>
        <w:pStyle w:val="Heading3"/>
      </w:pPr>
      <w:bookmarkStart w:id="11" w:name="X738f784980d4a29760e47e790d6c25ae91fb2d9"/>
      <w:bookmarkEnd w:id="10"/>
      <w:r>
        <w:t>2.2 Domain-Specific Languages for Legal Domains</w:t>
      </w:r>
    </w:p>
    <w:p w14:paraId="0FA3F2A7" w14:textId="77777777" w:rsidR="0054548D" w:rsidRDefault="00000000">
      <w:pPr>
        <w:pStyle w:val="FirstParagraph"/>
      </w:pPr>
      <w:r>
        <w:t>Academic research in computational law has produced several DSLs for legal rules, yet none address regulatory fee calculations with multi-currency and multi-jurisdiction requirements.</w:t>
      </w:r>
    </w:p>
    <w:p w14:paraId="1FA0B4A1" w14:textId="77777777" w:rsidR="0054548D"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33E54A9" w14:textId="77777777" w:rsidR="0054548D" w:rsidRDefault="00000000">
      <w:pPr>
        <w:pStyle w:val="BodyText"/>
      </w:pPr>
      <w:r>
        <w:t xml:space="preserve">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w:t>
      </w:r>
      <w:r>
        <w:lastRenderedPageBreak/>
        <w:t>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3942BEDF" w14:textId="77777777" w:rsidR="0054548D"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50A14501" w14:textId="77777777" w:rsidR="0054548D"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 Recent work on graded modal types [20] demonstrates how type systems can track quantitative resource usage, providing theoretical foundations for systems that reason about resource consumption - a concept related to IPFLang’s tracking of monetary values across fee computations.</w:t>
      </w:r>
    </w:p>
    <w:p w14:paraId="55E128F4" w14:textId="77777777" w:rsidR="0054548D"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39ED0091" w14:textId="77777777" w:rsidR="0054548D"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543B920B" w14:textId="77777777" w:rsidR="0054548D" w:rsidRDefault="00000000">
      <w:pPr>
        <w:pStyle w:val="Heading3"/>
      </w:pPr>
      <w:bookmarkStart w:id="12" w:name="regulatory-automation-and-rules-engines"/>
      <w:bookmarkEnd w:id="11"/>
      <w:r>
        <w:t>2.3 Regulatory Automation and Rules Engines</w:t>
      </w:r>
    </w:p>
    <w:p w14:paraId="0C5E81E5" w14:textId="77777777" w:rsidR="0054548D" w:rsidRDefault="00000000">
      <w:pPr>
        <w:pStyle w:val="FirstParagraph"/>
      </w:pPr>
      <w:r>
        <w:t>Automated compliance checking represents a related domain where technology assists regulatory interpretation.</w:t>
      </w:r>
    </w:p>
    <w:p w14:paraId="20A9F620" w14:textId="77777777" w:rsidR="0054548D"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3353EB7D" w14:textId="77777777" w:rsidR="0054548D" w:rsidRDefault="00000000">
      <w:pPr>
        <w:pStyle w:val="BodyText"/>
      </w:pPr>
      <w:r>
        <w:t xml:space="preserve">Some governments have begun pursuing rules-as-code initiatives that encode regulations in executable formats [14, 15]. New Zealand’s “Better Rules” program and similar initiatives in Australia and France explore machine-consumable legislation. The OECD has documented the international scope of these efforts, providing frameworks for encoding </w:t>
      </w:r>
      <w:r>
        <w:lastRenderedPageBreak/>
        <w:t>rules in machine-readable formats that emphasize transparency and regulatory automation [21]. More recent policy analysis explores how rules-as-code approaches can enable more efficient global economic governance, including applications to international trade regulations and intellectual property [22]. These initiatives typically use general-purpose languages rather than domain-specific languages, limiting accessibility to legal experts who must rely on programmers for implementation.</w:t>
      </w:r>
    </w:p>
    <w:p w14:paraId="357DE74A" w14:textId="77777777" w:rsidR="0054548D" w:rsidRDefault="00000000">
      <w:pPr>
        <w:pStyle w:val="BodyText"/>
      </w:pPr>
      <w:r>
        <w:t>Table 1 provides a systematic comparison of IPFLang with related approaches.</w:t>
      </w:r>
    </w:p>
    <w:tbl>
      <w:tblPr>
        <w:tblStyle w:val="ListTable3"/>
        <w:tblW w:w="5000" w:type="pct"/>
        <w:tblLayout w:type="fixed"/>
        <w:tblLook w:val="0020" w:firstRow="1" w:lastRow="0" w:firstColumn="0" w:lastColumn="0" w:noHBand="0" w:noVBand="0"/>
      </w:tblPr>
      <w:tblGrid>
        <w:gridCol w:w="1809"/>
        <w:gridCol w:w="2127"/>
        <w:gridCol w:w="1701"/>
        <w:gridCol w:w="1417"/>
        <w:gridCol w:w="1276"/>
        <w:gridCol w:w="1246"/>
      </w:tblGrid>
      <w:tr w:rsidR="0054548D" w:rsidRPr="003C6BFC" w14:paraId="0BD015BA" w14:textId="77777777" w:rsidTr="003C6B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937040A" w14:textId="77777777" w:rsidR="0054548D" w:rsidRPr="003C6BFC" w:rsidRDefault="00000000">
            <w:pPr>
              <w:pStyle w:val="Compact"/>
              <w:rPr>
                <w:sz w:val="20"/>
                <w:szCs w:val="20"/>
              </w:rPr>
            </w:pPr>
            <w:r w:rsidRPr="003C6BFC">
              <w:rPr>
                <w:sz w:val="20"/>
                <w:szCs w:val="20"/>
              </w:rPr>
              <w:t>Feature</w:t>
            </w:r>
          </w:p>
        </w:tc>
        <w:tc>
          <w:tcPr>
            <w:tcW w:w="2127" w:type="dxa"/>
          </w:tcPr>
          <w:p w14:paraId="5EA2CDC5"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3C6BFC">
              <w:rPr>
                <w:sz w:val="20"/>
                <w:szCs w:val="20"/>
              </w:rPr>
              <w:t>IPFLang</w:t>
            </w:r>
          </w:p>
        </w:tc>
        <w:tc>
          <w:tcPr>
            <w:cnfStyle w:val="000010000000" w:firstRow="0" w:lastRow="0" w:firstColumn="0" w:lastColumn="0" w:oddVBand="1" w:evenVBand="0" w:oddHBand="0" w:evenHBand="0" w:firstRowFirstColumn="0" w:firstRowLastColumn="0" w:lastRowFirstColumn="0" w:lastRowLastColumn="0"/>
            <w:tcW w:w="1701" w:type="dxa"/>
          </w:tcPr>
          <w:p w14:paraId="26BCEC1D" w14:textId="77777777" w:rsidR="0054548D" w:rsidRPr="003C6BFC" w:rsidRDefault="00000000">
            <w:pPr>
              <w:pStyle w:val="Compact"/>
              <w:rPr>
                <w:sz w:val="20"/>
                <w:szCs w:val="20"/>
              </w:rPr>
            </w:pPr>
            <w:r w:rsidRPr="003C6BFC">
              <w:rPr>
                <w:sz w:val="20"/>
                <w:szCs w:val="20"/>
              </w:rPr>
              <w:t>Catala</w:t>
            </w:r>
          </w:p>
        </w:tc>
        <w:tc>
          <w:tcPr>
            <w:tcW w:w="1417" w:type="dxa"/>
          </w:tcPr>
          <w:p w14:paraId="38BADD71"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3C6BFC">
              <w:rPr>
                <w:sz w:val="20"/>
                <w:szCs w:val="20"/>
              </w:rPr>
              <w:t>LegalRuleML</w:t>
            </w:r>
          </w:p>
        </w:tc>
        <w:tc>
          <w:tcPr>
            <w:cnfStyle w:val="000010000000" w:firstRow="0" w:lastRow="0" w:firstColumn="0" w:lastColumn="0" w:oddVBand="1" w:evenVBand="0" w:oddHBand="0" w:evenHBand="0" w:firstRowFirstColumn="0" w:firstRowLastColumn="0" w:lastRowFirstColumn="0" w:lastRowLastColumn="0"/>
            <w:tcW w:w="1276" w:type="dxa"/>
          </w:tcPr>
          <w:p w14:paraId="73CE07C6" w14:textId="77777777" w:rsidR="0054548D" w:rsidRPr="003C6BFC" w:rsidRDefault="00000000">
            <w:pPr>
              <w:pStyle w:val="Compact"/>
              <w:rPr>
                <w:sz w:val="20"/>
                <w:szCs w:val="20"/>
              </w:rPr>
            </w:pPr>
            <w:r w:rsidRPr="003C6BFC">
              <w:rPr>
                <w:sz w:val="20"/>
                <w:szCs w:val="20"/>
              </w:rPr>
              <w:t>Drools</w:t>
            </w:r>
          </w:p>
        </w:tc>
        <w:tc>
          <w:tcPr>
            <w:tcW w:w="1246" w:type="dxa"/>
          </w:tcPr>
          <w:p w14:paraId="420D1AF6" w14:textId="77777777" w:rsidR="0054548D" w:rsidRPr="003C6BFC"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3C6BFC">
              <w:rPr>
                <w:sz w:val="20"/>
                <w:szCs w:val="20"/>
              </w:rPr>
              <w:t>OpenFisca</w:t>
            </w:r>
          </w:p>
        </w:tc>
      </w:tr>
      <w:tr w:rsidR="0054548D" w:rsidRPr="003C6BFC" w14:paraId="6A4F49BF"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48DE498D" w14:textId="77777777" w:rsidR="0054548D" w:rsidRPr="003C6BFC" w:rsidRDefault="00000000">
            <w:pPr>
              <w:pStyle w:val="Compact"/>
              <w:rPr>
                <w:sz w:val="20"/>
                <w:szCs w:val="20"/>
              </w:rPr>
            </w:pPr>
            <w:r w:rsidRPr="003C6BFC">
              <w:rPr>
                <w:sz w:val="20"/>
                <w:szCs w:val="20"/>
              </w:rPr>
              <w:t>Primary Domain</w:t>
            </w:r>
          </w:p>
        </w:tc>
        <w:tc>
          <w:tcPr>
            <w:tcW w:w="2127" w:type="dxa"/>
          </w:tcPr>
          <w:p w14:paraId="12B87CEB"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701" w:type="dxa"/>
          </w:tcPr>
          <w:p w14:paraId="4A9CFCEA" w14:textId="77777777" w:rsidR="0054548D" w:rsidRPr="003C6BFC" w:rsidRDefault="00000000">
            <w:pPr>
              <w:pStyle w:val="Compact"/>
              <w:rPr>
                <w:sz w:val="20"/>
                <w:szCs w:val="20"/>
              </w:rPr>
            </w:pPr>
            <w:r w:rsidRPr="003C6BFC">
              <w:rPr>
                <w:sz w:val="20"/>
                <w:szCs w:val="20"/>
              </w:rPr>
              <w:t>Tax law</w:t>
            </w:r>
          </w:p>
        </w:tc>
        <w:tc>
          <w:tcPr>
            <w:tcW w:w="1417" w:type="dxa"/>
          </w:tcPr>
          <w:p w14:paraId="039F8A08"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276" w:type="dxa"/>
          </w:tcPr>
          <w:p w14:paraId="1A7F1366" w14:textId="77777777" w:rsidR="0054548D" w:rsidRPr="003C6BFC" w:rsidRDefault="00000000">
            <w:pPr>
              <w:pStyle w:val="Compact"/>
              <w:rPr>
                <w:sz w:val="20"/>
                <w:szCs w:val="20"/>
              </w:rPr>
            </w:pPr>
            <w:r w:rsidRPr="003C6BFC">
              <w:rPr>
                <w:sz w:val="20"/>
                <w:szCs w:val="20"/>
              </w:rPr>
              <w:t>General</w:t>
            </w:r>
          </w:p>
        </w:tc>
        <w:tc>
          <w:tcPr>
            <w:tcW w:w="1246" w:type="dxa"/>
          </w:tcPr>
          <w:p w14:paraId="1817F644"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Tax-benefit</w:t>
            </w:r>
          </w:p>
        </w:tc>
      </w:tr>
      <w:tr w:rsidR="0054548D" w:rsidRPr="003C6BFC" w14:paraId="274DB527"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7ECD0351" w14:textId="77777777" w:rsidR="0054548D" w:rsidRPr="003C6BFC" w:rsidRDefault="00000000">
            <w:pPr>
              <w:pStyle w:val="Compact"/>
              <w:rPr>
                <w:sz w:val="20"/>
                <w:szCs w:val="20"/>
              </w:rPr>
            </w:pPr>
            <w:r w:rsidRPr="003C6BFC">
              <w:rPr>
                <w:sz w:val="20"/>
                <w:szCs w:val="20"/>
              </w:rPr>
              <w:t>Type Safety</w:t>
            </w:r>
          </w:p>
        </w:tc>
        <w:tc>
          <w:tcPr>
            <w:tcW w:w="2127" w:type="dxa"/>
          </w:tcPr>
          <w:p w14:paraId="1A053FF3"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701" w:type="dxa"/>
          </w:tcPr>
          <w:p w14:paraId="56731B20" w14:textId="77777777" w:rsidR="0054548D" w:rsidRPr="003C6BFC" w:rsidRDefault="00000000">
            <w:pPr>
              <w:pStyle w:val="Compact"/>
              <w:rPr>
                <w:sz w:val="20"/>
                <w:szCs w:val="20"/>
              </w:rPr>
            </w:pPr>
            <w:r w:rsidRPr="003C6BFC">
              <w:rPr>
                <w:sz w:val="20"/>
                <w:szCs w:val="20"/>
              </w:rPr>
              <w:t>Dependent types</w:t>
            </w:r>
          </w:p>
        </w:tc>
        <w:tc>
          <w:tcPr>
            <w:tcW w:w="1417" w:type="dxa"/>
          </w:tcPr>
          <w:p w14:paraId="18E4904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None</w:t>
            </w:r>
          </w:p>
        </w:tc>
        <w:tc>
          <w:tcPr>
            <w:cnfStyle w:val="000010000000" w:firstRow="0" w:lastRow="0" w:firstColumn="0" w:lastColumn="0" w:oddVBand="1" w:evenVBand="0" w:oddHBand="0" w:evenHBand="0" w:firstRowFirstColumn="0" w:firstRowLastColumn="0" w:lastRowFirstColumn="0" w:lastRowLastColumn="0"/>
            <w:tcW w:w="1276" w:type="dxa"/>
          </w:tcPr>
          <w:p w14:paraId="137F3AED" w14:textId="77777777" w:rsidR="0054548D" w:rsidRPr="003C6BFC" w:rsidRDefault="00000000">
            <w:pPr>
              <w:pStyle w:val="Compact"/>
              <w:rPr>
                <w:sz w:val="20"/>
                <w:szCs w:val="20"/>
              </w:rPr>
            </w:pPr>
            <w:r w:rsidRPr="003C6BFC">
              <w:rPr>
                <w:sz w:val="20"/>
                <w:szCs w:val="20"/>
              </w:rPr>
              <w:t>None</w:t>
            </w:r>
          </w:p>
        </w:tc>
        <w:tc>
          <w:tcPr>
            <w:tcW w:w="1246" w:type="dxa"/>
          </w:tcPr>
          <w:p w14:paraId="13044EBF"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Runtime</w:t>
            </w:r>
          </w:p>
        </w:tc>
      </w:tr>
      <w:tr w:rsidR="0054548D" w:rsidRPr="003C6BFC" w14:paraId="6C2C7354"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B2B62BF" w14:textId="77777777" w:rsidR="0054548D" w:rsidRPr="003C6BFC" w:rsidRDefault="00000000">
            <w:pPr>
              <w:pStyle w:val="Compact"/>
              <w:rPr>
                <w:sz w:val="20"/>
                <w:szCs w:val="20"/>
              </w:rPr>
            </w:pPr>
            <w:r w:rsidRPr="003C6BFC">
              <w:rPr>
                <w:sz w:val="20"/>
                <w:szCs w:val="20"/>
              </w:rPr>
              <w:t>Multi-currency</w:t>
            </w:r>
          </w:p>
        </w:tc>
        <w:tc>
          <w:tcPr>
            <w:tcW w:w="2127" w:type="dxa"/>
          </w:tcPr>
          <w:p w14:paraId="7A78217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6DA8913E" w14:textId="77777777" w:rsidR="0054548D" w:rsidRPr="003C6BFC" w:rsidRDefault="00000000">
            <w:pPr>
              <w:pStyle w:val="Compact"/>
              <w:rPr>
                <w:sz w:val="20"/>
                <w:szCs w:val="20"/>
              </w:rPr>
            </w:pPr>
            <w:r w:rsidRPr="003C6BFC">
              <w:rPr>
                <w:sz w:val="20"/>
                <w:szCs w:val="20"/>
              </w:rPr>
              <w:t>User-definable</w:t>
            </w:r>
          </w:p>
        </w:tc>
        <w:tc>
          <w:tcPr>
            <w:tcW w:w="1417" w:type="dxa"/>
          </w:tcPr>
          <w:p w14:paraId="76D8EE9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7B45BC17" w14:textId="77777777" w:rsidR="0054548D" w:rsidRPr="003C6BFC" w:rsidRDefault="00000000">
            <w:pPr>
              <w:pStyle w:val="Compact"/>
              <w:rPr>
                <w:sz w:val="20"/>
                <w:szCs w:val="20"/>
              </w:rPr>
            </w:pPr>
            <w:r w:rsidRPr="003C6BFC">
              <w:rPr>
                <w:sz w:val="20"/>
                <w:szCs w:val="20"/>
              </w:rPr>
              <w:t>No</w:t>
            </w:r>
          </w:p>
        </w:tc>
        <w:tc>
          <w:tcPr>
            <w:tcW w:w="1246" w:type="dxa"/>
          </w:tcPr>
          <w:p w14:paraId="3D4DC933"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Limited</w:t>
            </w:r>
          </w:p>
        </w:tc>
      </w:tr>
      <w:tr w:rsidR="0054548D" w:rsidRPr="003C6BFC" w14:paraId="6D428F80"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00515A80" w14:textId="77777777" w:rsidR="0054548D" w:rsidRPr="003C6BFC" w:rsidRDefault="00000000">
            <w:pPr>
              <w:pStyle w:val="Compact"/>
              <w:rPr>
                <w:sz w:val="20"/>
                <w:szCs w:val="20"/>
              </w:rPr>
            </w:pPr>
            <w:r w:rsidRPr="003C6BFC">
              <w:rPr>
                <w:sz w:val="20"/>
                <w:szCs w:val="20"/>
              </w:rPr>
              <w:t>Static Verification</w:t>
            </w:r>
          </w:p>
        </w:tc>
        <w:tc>
          <w:tcPr>
            <w:tcW w:w="2127" w:type="dxa"/>
          </w:tcPr>
          <w:p w14:paraId="4C09931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701" w:type="dxa"/>
          </w:tcPr>
          <w:p w14:paraId="265C310C" w14:textId="77777777" w:rsidR="0054548D" w:rsidRPr="003C6BFC" w:rsidRDefault="00000000">
            <w:pPr>
              <w:pStyle w:val="Compact"/>
              <w:rPr>
                <w:sz w:val="20"/>
                <w:szCs w:val="20"/>
              </w:rPr>
            </w:pPr>
            <w:r w:rsidRPr="003C6BFC">
              <w:rPr>
                <w:sz w:val="20"/>
                <w:szCs w:val="20"/>
              </w:rPr>
              <w:t>Exhaustiveness</w:t>
            </w:r>
          </w:p>
        </w:tc>
        <w:tc>
          <w:tcPr>
            <w:tcW w:w="1417" w:type="dxa"/>
          </w:tcPr>
          <w:p w14:paraId="39D265DD"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276" w:type="dxa"/>
          </w:tcPr>
          <w:p w14:paraId="579A9438" w14:textId="77777777" w:rsidR="0054548D" w:rsidRPr="003C6BFC" w:rsidRDefault="00000000">
            <w:pPr>
              <w:pStyle w:val="Compact"/>
              <w:rPr>
                <w:sz w:val="20"/>
                <w:szCs w:val="20"/>
              </w:rPr>
            </w:pPr>
            <w:r w:rsidRPr="003C6BFC">
              <w:rPr>
                <w:sz w:val="20"/>
                <w:szCs w:val="20"/>
              </w:rPr>
              <w:t>None</w:t>
            </w:r>
          </w:p>
        </w:tc>
        <w:tc>
          <w:tcPr>
            <w:tcW w:w="1246" w:type="dxa"/>
          </w:tcPr>
          <w:p w14:paraId="60350661"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None</w:t>
            </w:r>
          </w:p>
        </w:tc>
      </w:tr>
      <w:tr w:rsidR="0054548D" w:rsidRPr="003C6BFC" w14:paraId="39485392"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2D8820A8" w14:textId="77777777" w:rsidR="0054548D" w:rsidRPr="003C6BFC" w:rsidRDefault="00000000">
            <w:pPr>
              <w:pStyle w:val="Compact"/>
              <w:rPr>
                <w:sz w:val="20"/>
                <w:szCs w:val="20"/>
              </w:rPr>
            </w:pPr>
            <w:r w:rsidRPr="003C6BFC">
              <w:rPr>
                <w:sz w:val="20"/>
                <w:szCs w:val="20"/>
              </w:rPr>
              <w:t>Syntax Style</w:t>
            </w:r>
          </w:p>
        </w:tc>
        <w:tc>
          <w:tcPr>
            <w:tcW w:w="2127" w:type="dxa"/>
          </w:tcPr>
          <w:p w14:paraId="5A5989F2"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701" w:type="dxa"/>
          </w:tcPr>
          <w:p w14:paraId="380DFC9B" w14:textId="77777777" w:rsidR="0054548D" w:rsidRPr="003C6BFC" w:rsidRDefault="00000000">
            <w:pPr>
              <w:pStyle w:val="Compact"/>
              <w:rPr>
                <w:sz w:val="20"/>
                <w:szCs w:val="20"/>
              </w:rPr>
            </w:pPr>
            <w:r w:rsidRPr="003C6BFC">
              <w:rPr>
                <w:sz w:val="20"/>
                <w:szCs w:val="20"/>
              </w:rPr>
              <w:t>Literate</w:t>
            </w:r>
          </w:p>
        </w:tc>
        <w:tc>
          <w:tcPr>
            <w:tcW w:w="1417" w:type="dxa"/>
          </w:tcPr>
          <w:p w14:paraId="0BA08B2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XML</w:t>
            </w:r>
          </w:p>
        </w:tc>
        <w:tc>
          <w:tcPr>
            <w:cnfStyle w:val="000010000000" w:firstRow="0" w:lastRow="0" w:firstColumn="0" w:lastColumn="0" w:oddVBand="1" w:evenVBand="0" w:oddHBand="0" w:evenHBand="0" w:firstRowFirstColumn="0" w:firstRowLastColumn="0" w:lastRowFirstColumn="0" w:lastRowLastColumn="0"/>
            <w:tcW w:w="1276" w:type="dxa"/>
          </w:tcPr>
          <w:p w14:paraId="2907C7B1" w14:textId="77777777" w:rsidR="0054548D" w:rsidRPr="003C6BFC" w:rsidRDefault="00000000">
            <w:pPr>
              <w:pStyle w:val="Compact"/>
              <w:rPr>
                <w:sz w:val="20"/>
                <w:szCs w:val="20"/>
              </w:rPr>
            </w:pPr>
            <w:r w:rsidRPr="003C6BFC">
              <w:rPr>
                <w:sz w:val="20"/>
                <w:szCs w:val="20"/>
              </w:rPr>
              <w:t>Drools DRL</w:t>
            </w:r>
          </w:p>
        </w:tc>
        <w:tc>
          <w:tcPr>
            <w:tcW w:w="1246" w:type="dxa"/>
          </w:tcPr>
          <w:p w14:paraId="2A848753"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Python</w:t>
            </w:r>
          </w:p>
        </w:tc>
      </w:tr>
      <w:tr w:rsidR="0054548D" w:rsidRPr="003C6BFC" w14:paraId="79F29292"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26BAC868" w14:textId="77777777" w:rsidR="0054548D" w:rsidRPr="003C6BFC" w:rsidRDefault="00000000">
            <w:pPr>
              <w:pStyle w:val="Compact"/>
              <w:rPr>
                <w:sz w:val="20"/>
                <w:szCs w:val="20"/>
              </w:rPr>
            </w:pPr>
            <w:r w:rsidRPr="003C6BFC">
              <w:rPr>
                <w:sz w:val="20"/>
                <w:szCs w:val="20"/>
              </w:rPr>
              <w:t>Target Users</w:t>
            </w:r>
          </w:p>
        </w:tc>
        <w:tc>
          <w:tcPr>
            <w:tcW w:w="2127" w:type="dxa"/>
          </w:tcPr>
          <w:p w14:paraId="66A6F261"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Legal professionals</w:t>
            </w:r>
          </w:p>
        </w:tc>
        <w:tc>
          <w:tcPr>
            <w:cnfStyle w:val="000010000000" w:firstRow="0" w:lastRow="0" w:firstColumn="0" w:lastColumn="0" w:oddVBand="1" w:evenVBand="0" w:oddHBand="0" w:evenHBand="0" w:firstRowFirstColumn="0" w:firstRowLastColumn="0" w:lastRowFirstColumn="0" w:lastRowLastColumn="0"/>
            <w:tcW w:w="1701" w:type="dxa"/>
          </w:tcPr>
          <w:p w14:paraId="2DAD60B6" w14:textId="77777777" w:rsidR="0054548D" w:rsidRPr="003C6BFC" w:rsidRDefault="00000000">
            <w:pPr>
              <w:pStyle w:val="Compact"/>
              <w:rPr>
                <w:sz w:val="20"/>
                <w:szCs w:val="20"/>
              </w:rPr>
            </w:pPr>
            <w:r w:rsidRPr="003C6BFC">
              <w:rPr>
                <w:sz w:val="20"/>
                <w:szCs w:val="20"/>
              </w:rPr>
              <w:t>Formal methods experts</w:t>
            </w:r>
          </w:p>
        </w:tc>
        <w:tc>
          <w:tcPr>
            <w:tcW w:w="1417" w:type="dxa"/>
          </w:tcPr>
          <w:p w14:paraId="6F63E80D"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276" w:type="dxa"/>
          </w:tcPr>
          <w:p w14:paraId="66CA34EE" w14:textId="77777777" w:rsidR="0054548D" w:rsidRPr="003C6BFC" w:rsidRDefault="00000000">
            <w:pPr>
              <w:pStyle w:val="Compact"/>
              <w:rPr>
                <w:sz w:val="20"/>
                <w:szCs w:val="20"/>
              </w:rPr>
            </w:pPr>
            <w:r w:rsidRPr="003C6BFC">
              <w:rPr>
                <w:sz w:val="20"/>
                <w:szCs w:val="20"/>
              </w:rPr>
              <w:t>Developers</w:t>
            </w:r>
          </w:p>
        </w:tc>
        <w:tc>
          <w:tcPr>
            <w:tcW w:w="1246" w:type="dxa"/>
          </w:tcPr>
          <w:p w14:paraId="765D7230"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Developers</w:t>
            </w:r>
          </w:p>
        </w:tc>
      </w:tr>
      <w:tr w:rsidR="0054548D" w:rsidRPr="003C6BFC" w14:paraId="13059562"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69EDE40C" w14:textId="77777777" w:rsidR="0054548D" w:rsidRPr="003C6BFC" w:rsidRDefault="00000000">
            <w:pPr>
              <w:pStyle w:val="Compact"/>
              <w:rPr>
                <w:sz w:val="20"/>
                <w:szCs w:val="20"/>
              </w:rPr>
            </w:pPr>
            <w:r w:rsidRPr="003C6BFC">
              <w:rPr>
                <w:sz w:val="20"/>
                <w:szCs w:val="20"/>
              </w:rPr>
              <w:t>Multi-jurisdiction</w:t>
            </w:r>
          </w:p>
        </w:tc>
        <w:tc>
          <w:tcPr>
            <w:tcW w:w="2127" w:type="dxa"/>
          </w:tcPr>
          <w:p w14:paraId="665287AF"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701" w:type="dxa"/>
          </w:tcPr>
          <w:p w14:paraId="072C30ED" w14:textId="77777777" w:rsidR="0054548D" w:rsidRPr="003C6BFC" w:rsidRDefault="00000000">
            <w:pPr>
              <w:pStyle w:val="Compact"/>
              <w:rPr>
                <w:sz w:val="20"/>
                <w:szCs w:val="20"/>
              </w:rPr>
            </w:pPr>
            <w:r w:rsidRPr="003C6BFC">
              <w:rPr>
                <w:sz w:val="20"/>
                <w:szCs w:val="20"/>
              </w:rPr>
              <w:t>No</w:t>
            </w:r>
          </w:p>
        </w:tc>
        <w:tc>
          <w:tcPr>
            <w:tcW w:w="1417" w:type="dxa"/>
          </w:tcPr>
          <w:p w14:paraId="455D9A3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32F2DB18" w14:textId="77777777" w:rsidR="0054548D" w:rsidRPr="003C6BFC" w:rsidRDefault="00000000">
            <w:pPr>
              <w:pStyle w:val="Compact"/>
              <w:rPr>
                <w:sz w:val="20"/>
                <w:szCs w:val="20"/>
              </w:rPr>
            </w:pPr>
            <w:r w:rsidRPr="003C6BFC">
              <w:rPr>
                <w:sz w:val="20"/>
                <w:szCs w:val="20"/>
              </w:rPr>
              <w:t>No</w:t>
            </w:r>
          </w:p>
        </w:tc>
        <w:tc>
          <w:tcPr>
            <w:tcW w:w="1246" w:type="dxa"/>
          </w:tcPr>
          <w:p w14:paraId="29CC05C1"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Yes</w:t>
            </w:r>
          </w:p>
        </w:tc>
      </w:tr>
      <w:tr w:rsidR="0054548D" w:rsidRPr="003C6BFC" w14:paraId="08B1AC0A"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58408307" w14:textId="77777777" w:rsidR="0054548D" w:rsidRPr="003C6BFC" w:rsidRDefault="00000000">
            <w:pPr>
              <w:pStyle w:val="Compact"/>
              <w:rPr>
                <w:sz w:val="20"/>
                <w:szCs w:val="20"/>
              </w:rPr>
            </w:pPr>
            <w:r w:rsidRPr="003C6BFC">
              <w:rPr>
                <w:sz w:val="20"/>
                <w:szCs w:val="20"/>
              </w:rPr>
              <w:t>Interoperability Focus</w:t>
            </w:r>
          </w:p>
        </w:tc>
        <w:tc>
          <w:tcPr>
            <w:tcW w:w="2127" w:type="dxa"/>
          </w:tcPr>
          <w:p w14:paraId="3DEF86C0"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701" w:type="dxa"/>
          </w:tcPr>
          <w:p w14:paraId="29113A1C" w14:textId="77777777" w:rsidR="0054548D" w:rsidRPr="003C6BFC" w:rsidRDefault="00000000">
            <w:pPr>
              <w:pStyle w:val="Compact"/>
              <w:rPr>
                <w:sz w:val="20"/>
                <w:szCs w:val="20"/>
              </w:rPr>
            </w:pPr>
            <w:r w:rsidRPr="003C6BFC">
              <w:rPr>
                <w:sz w:val="20"/>
                <w:szCs w:val="20"/>
              </w:rPr>
              <w:t>Single jurisdiction</w:t>
            </w:r>
          </w:p>
        </w:tc>
        <w:tc>
          <w:tcPr>
            <w:tcW w:w="1417" w:type="dxa"/>
          </w:tcPr>
          <w:p w14:paraId="14EF0D28"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276" w:type="dxa"/>
          </w:tcPr>
          <w:p w14:paraId="31D867DC" w14:textId="77777777" w:rsidR="0054548D" w:rsidRPr="003C6BFC" w:rsidRDefault="00000000">
            <w:pPr>
              <w:pStyle w:val="Compact"/>
              <w:rPr>
                <w:sz w:val="20"/>
                <w:szCs w:val="20"/>
              </w:rPr>
            </w:pPr>
            <w:r w:rsidRPr="003C6BFC">
              <w:rPr>
                <w:sz w:val="20"/>
                <w:szCs w:val="20"/>
              </w:rPr>
              <w:t>Integration APIs</w:t>
            </w:r>
          </w:p>
        </w:tc>
        <w:tc>
          <w:tcPr>
            <w:tcW w:w="1246" w:type="dxa"/>
          </w:tcPr>
          <w:p w14:paraId="561542D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Country modules</w:t>
            </w:r>
          </w:p>
        </w:tc>
      </w:tr>
      <w:tr w:rsidR="0054548D" w:rsidRPr="003C6BFC" w14:paraId="6EDA38AF"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9" w:type="dxa"/>
          </w:tcPr>
          <w:p w14:paraId="2321BA20" w14:textId="77777777" w:rsidR="0054548D" w:rsidRPr="003C6BFC" w:rsidRDefault="00000000">
            <w:pPr>
              <w:pStyle w:val="Compact"/>
              <w:rPr>
                <w:sz w:val="20"/>
                <w:szCs w:val="20"/>
              </w:rPr>
            </w:pPr>
            <w:r w:rsidRPr="003C6BFC">
              <w:rPr>
                <w:sz w:val="20"/>
                <w:szCs w:val="20"/>
              </w:rPr>
              <w:t>Provenance</w:t>
            </w:r>
          </w:p>
        </w:tc>
        <w:tc>
          <w:tcPr>
            <w:tcW w:w="2127" w:type="dxa"/>
          </w:tcPr>
          <w:p w14:paraId="5FEE23D5"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4DE183C9" w14:textId="77777777" w:rsidR="0054548D" w:rsidRPr="003C6BFC" w:rsidRDefault="00000000">
            <w:pPr>
              <w:pStyle w:val="Compact"/>
              <w:rPr>
                <w:sz w:val="20"/>
                <w:szCs w:val="20"/>
              </w:rPr>
            </w:pPr>
            <w:r w:rsidRPr="003C6BFC">
              <w:rPr>
                <w:sz w:val="20"/>
                <w:szCs w:val="20"/>
              </w:rPr>
              <w:t>No</w:t>
            </w:r>
          </w:p>
        </w:tc>
        <w:tc>
          <w:tcPr>
            <w:tcW w:w="1417" w:type="dxa"/>
          </w:tcPr>
          <w:p w14:paraId="5F8994F4"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3C2433CD" w14:textId="77777777" w:rsidR="0054548D" w:rsidRPr="003C6BFC" w:rsidRDefault="00000000">
            <w:pPr>
              <w:pStyle w:val="Compact"/>
              <w:rPr>
                <w:sz w:val="20"/>
                <w:szCs w:val="20"/>
              </w:rPr>
            </w:pPr>
            <w:r w:rsidRPr="003C6BFC">
              <w:rPr>
                <w:sz w:val="20"/>
                <w:szCs w:val="20"/>
              </w:rPr>
              <w:t>Audit log</w:t>
            </w:r>
          </w:p>
        </w:tc>
        <w:tc>
          <w:tcPr>
            <w:tcW w:w="1246" w:type="dxa"/>
          </w:tcPr>
          <w:p w14:paraId="53E40D2C" w14:textId="77777777" w:rsidR="0054548D" w:rsidRPr="003C6BFC"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3C6BFC">
              <w:rPr>
                <w:sz w:val="20"/>
                <w:szCs w:val="20"/>
              </w:rPr>
              <w:t>No</w:t>
            </w:r>
          </w:p>
        </w:tc>
      </w:tr>
      <w:tr w:rsidR="0054548D" w:rsidRPr="003C6BFC" w14:paraId="00470766" w14:textId="77777777" w:rsidTr="003C6BFC">
        <w:tc>
          <w:tcPr>
            <w:cnfStyle w:val="000010000000" w:firstRow="0" w:lastRow="0" w:firstColumn="0" w:lastColumn="0" w:oddVBand="1" w:evenVBand="0" w:oddHBand="0" w:evenHBand="0" w:firstRowFirstColumn="0" w:firstRowLastColumn="0" w:lastRowFirstColumn="0" w:lastRowLastColumn="0"/>
            <w:tcW w:w="1809" w:type="dxa"/>
          </w:tcPr>
          <w:p w14:paraId="44BD7A66" w14:textId="77777777" w:rsidR="0054548D" w:rsidRPr="003C6BFC" w:rsidRDefault="00000000">
            <w:pPr>
              <w:pStyle w:val="Compact"/>
              <w:rPr>
                <w:sz w:val="20"/>
                <w:szCs w:val="20"/>
              </w:rPr>
            </w:pPr>
            <w:r w:rsidRPr="003C6BFC">
              <w:rPr>
                <w:sz w:val="20"/>
                <w:szCs w:val="20"/>
              </w:rPr>
              <w:t>License</w:t>
            </w:r>
          </w:p>
        </w:tc>
        <w:tc>
          <w:tcPr>
            <w:tcW w:w="2127" w:type="dxa"/>
          </w:tcPr>
          <w:p w14:paraId="340D7964"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GPLv3</w:t>
            </w:r>
          </w:p>
        </w:tc>
        <w:tc>
          <w:tcPr>
            <w:cnfStyle w:val="000010000000" w:firstRow="0" w:lastRow="0" w:firstColumn="0" w:lastColumn="0" w:oddVBand="1" w:evenVBand="0" w:oddHBand="0" w:evenHBand="0" w:firstRowFirstColumn="0" w:firstRowLastColumn="0" w:lastRowFirstColumn="0" w:lastRowLastColumn="0"/>
            <w:tcW w:w="1701" w:type="dxa"/>
          </w:tcPr>
          <w:p w14:paraId="03F6BF1C" w14:textId="77777777" w:rsidR="0054548D" w:rsidRPr="003C6BFC" w:rsidRDefault="00000000">
            <w:pPr>
              <w:pStyle w:val="Compact"/>
              <w:rPr>
                <w:sz w:val="20"/>
                <w:szCs w:val="20"/>
              </w:rPr>
            </w:pPr>
            <w:r w:rsidRPr="003C6BFC">
              <w:rPr>
                <w:sz w:val="20"/>
                <w:szCs w:val="20"/>
              </w:rPr>
              <w:t>Apache 2.0</w:t>
            </w:r>
          </w:p>
        </w:tc>
        <w:tc>
          <w:tcPr>
            <w:tcW w:w="1417" w:type="dxa"/>
          </w:tcPr>
          <w:p w14:paraId="2C0E371E"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OASIS</w:t>
            </w:r>
          </w:p>
        </w:tc>
        <w:tc>
          <w:tcPr>
            <w:cnfStyle w:val="000010000000" w:firstRow="0" w:lastRow="0" w:firstColumn="0" w:lastColumn="0" w:oddVBand="1" w:evenVBand="0" w:oddHBand="0" w:evenHBand="0" w:firstRowFirstColumn="0" w:firstRowLastColumn="0" w:lastRowFirstColumn="0" w:lastRowLastColumn="0"/>
            <w:tcW w:w="1276" w:type="dxa"/>
          </w:tcPr>
          <w:p w14:paraId="3865383D" w14:textId="77777777" w:rsidR="0054548D" w:rsidRPr="003C6BFC" w:rsidRDefault="00000000">
            <w:pPr>
              <w:pStyle w:val="Compact"/>
              <w:rPr>
                <w:sz w:val="20"/>
                <w:szCs w:val="20"/>
              </w:rPr>
            </w:pPr>
            <w:r w:rsidRPr="003C6BFC">
              <w:rPr>
                <w:sz w:val="20"/>
                <w:szCs w:val="20"/>
              </w:rPr>
              <w:t>Apache 2.0</w:t>
            </w:r>
          </w:p>
        </w:tc>
        <w:tc>
          <w:tcPr>
            <w:tcW w:w="1246" w:type="dxa"/>
          </w:tcPr>
          <w:p w14:paraId="1E2B5ACC" w14:textId="77777777" w:rsidR="0054548D" w:rsidRPr="003C6BFC"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3C6BFC">
              <w:rPr>
                <w:sz w:val="20"/>
                <w:szCs w:val="20"/>
              </w:rPr>
              <w:t>AGPL</w:t>
            </w:r>
          </w:p>
        </w:tc>
      </w:tr>
    </w:tbl>
    <w:p w14:paraId="09B261E1" w14:textId="2D80FBB9" w:rsidR="003C6BFC" w:rsidRDefault="003C6BFC" w:rsidP="003C6BFC">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t xml:space="preserve">- </w:t>
      </w:r>
      <w:r>
        <w:rPr>
          <w:iCs/>
        </w:rPr>
        <w:t>Comparison of legal DSLs and rules engines</w:t>
      </w:r>
    </w:p>
    <w:p w14:paraId="3FF38BE0" w14:textId="016070C3" w:rsidR="0054548D" w:rsidRDefault="00000000">
      <w:pPr>
        <w:pStyle w:val="BodyText"/>
      </w:pPr>
      <w:proofErr w:type="spellStart"/>
      <w:r>
        <w:t>IPFLang</w:t>
      </w:r>
      <w:proofErr w:type="spellEnd"/>
      <w:r>
        <w:t xml:space="preserve">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 The design follows established principles for DSL development that emphasize matching language constructs to domain concepts [23].</w:t>
      </w:r>
    </w:p>
    <w:p w14:paraId="7D49F693" w14:textId="77777777" w:rsidR="0054548D" w:rsidRDefault="00000000">
      <w:pPr>
        <w:pStyle w:val="Heading1"/>
      </w:pPr>
      <w:bookmarkStart w:id="13" w:name="ipflang-language-specification"/>
      <w:bookmarkEnd w:id="9"/>
      <w:bookmarkEnd w:id="12"/>
      <w:r>
        <w:t>3. IPFLang Language Specification</w:t>
      </w:r>
    </w:p>
    <w:p w14:paraId="19856AB4" w14:textId="77777777" w:rsidR="0054548D" w:rsidRDefault="00000000">
      <w:pPr>
        <w:pStyle w:val="Heading3"/>
      </w:pPr>
      <w:bookmarkStart w:id="14" w:name="design-principles"/>
      <w:r>
        <w:t>3.1 Design Principles</w:t>
      </w:r>
    </w:p>
    <w:p w14:paraId="2E5B3443" w14:textId="77777777" w:rsidR="0054548D"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7BF0C301" w14:textId="77777777" w:rsidR="0054548D" w:rsidRDefault="00000000">
      <w:pPr>
        <w:pStyle w:val="BodyText"/>
      </w:pPr>
      <w:r>
        <w:rPr>
          <w:b/>
          <w:bCs/>
        </w:rPr>
        <w:lastRenderedPageBreak/>
        <w:t>Declarative semantics</w:t>
      </w:r>
      <w:r>
        <w:t xml:space="preserve"> form the foundation of IPFLang's design. Fee calculations specify what to compute rather than how to compute it, enabling legal experts to validate fee formulas directly against official schedules without needing to understand imperative control flow.</w:t>
      </w:r>
    </w:p>
    <w:p w14:paraId="5E76074E" w14:textId="77777777" w:rsidR="0054548D" w:rsidRDefault="00000000">
      <w:pPr>
        <w:pStyle w:val="BodyText"/>
      </w:pPr>
      <w:r>
        <w:t xml:space="preserve">Readability drove the choice of </w:t>
      </w:r>
      <w:r>
        <w:rPr>
          <w:b/>
          <w:bCs/>
        </w:rPr>
        <w:t>explicit keyword semantics</w:t>
      </w:r>
      <w:r>
        <w:t>. Operators use keyword syntax such as EQ, GT, AND, and OR rather than symbols like ==, &gt;, &amp;&amp;, and ||. This approach aims to improve accessibility for users with varying technical backgrounds, aligning with DSL design guidelines that emphasize domain-specific notation [16]. Empirical validation of this readability hypothesis remains future work.</w:t>
      </w:r>
    </w:p>
    <w:p w14:paraId="7103249C" w14:textId="77777777" w:rsidR="0054548D" w:rsidRDefault="00000000">
      <w:pPr>
        <w:pStyle w:val="BodyText"/>
      </w:pPr>
      <w:r>
        <w:t xml:space="preserve">A </w:t>
      </w:r>
      <w:r>
        <w:rPr>
          <w:b/>
          <w:bCs/>
        </w:rPr>
        <w:t>static type system</w:t>
      </w:r>
      <w:r>
        <w:t xml:space="preserve"> catches errors before execution. Input declarations explicitly specify types - NUMBER, LIST, MULTILIST, BOOLEAN, DATE, and AMOUNT - enabling compile-time validation that prevents runtime errors from type mismatches while providing clear parameter documentation.</w:t>
      </w:r>
    </w:p>
    <w:p w14:paraId="20A05661" w14:textId="77777777" w:rsidR="0054548D" w:rsidRDefault="00000000">
      <w:pPr>
        <w:pStyle w:val="BodyText"/>
      </w:pPr>
      <w:r>
        <w:t xml:space="preserve">IPFLang deliberately embraces </w:t>
      </w:r>
      <w:r>
        <w:rPr>
          <w:b/>
          <w:bCs/>
        </w:rPr>
        <w:t>minimal syntax complexity</w:t>
      </w:r>
      <w:r>
        <w:t>, targeting only features necessary for regulatory fee calculations. Structured blocks such as DEFINE…ENDDEFINE and COMPUTE…ENDCOMPUTE with explicit terminators aid comprehension and prevent syntax errors common in expression-based languages.</w:t>
      </w:r>
    </w:p>
    <w:p w14:paraId="421E9BAF" w14:textId="77777777" w:rsidR="0054548D" w:rsidRDefault="00000000">
      <w:pPr>
        <w:pStyle w:val="BodyText"/>
      </w:pPr>
      <w:r>
        <w:t xml:space="preserve">Regulatory contexts demand </w:t>
      </w:r>
      <w:r>
        <w:rPr>
          <w:b/>
          <w:bCs/>
        </w:rPr>
        <w:t>auditability and traceability</w:t>
      </w:r>
      <w:r>
        <w:t>. Fee computation produces step-by-step execution traces showing how final amounts derive from input parameters, addressing legal requirements for calculation transparency and assisting in dispute resolution.</w:t>
      </w:r>
    </w:p>
    <w:p w14:paraId="2B475740" w14:textId="77777777" w:rsidR="0054548D" w:rsidRDefault="00000000">
      <w:pPr>
        <w:pStyle w:val="BodyText"/>
      </w:pPr>
      <w:r>
        <w:t xml:space="preserve">Finally, </w:t>
      </w:r>
      <w:r>
        <w:rPr>
          <w:b/>
          <w:bCs/>
        </w:rPr>
        <w:t>jurisdiction independence</w:t>
      </w:r>
      <w:r>
        <w:t xml:space="preserve"> ensures portability across patent offices. Language constructs make no assumptions about specific jurisdictions; all jurisdiction-specific business rules reside in fee definitions rather than language syntax, enabling extensive code reuse.</w:t>
      </w:r>
    </w:p>
    <w:p w14:paraId="6AEB0172" w14:textId="77777777" w:rsidR="0054548D" w:rsidRDefault="00000000">
      <w:pPr>
        <w:pStyle w:val="Heading3"/>
      </w:pPr>
      <w:bookmarkStart w:id="15" w:name="language-syntax-overview"/>
      <w:bookmarkEnd w:id="14"/>
      <w:r>
        <w:t>3.2 Language Syntax Overview</w:t>
      </w:r>
    </w:p>
    <w:p w14:paraId="54A37264" w14:textId="77777777" w:rsidR="0054548D" w:rsidRDefault="00000000">
      <w:pPr>
        <w:pStyle w:val="FirstParagraph"/>
      </w:pPr>
      <w:r>
        <w:t>An IPFLang program begins with an optional version declaration that establishes metadata including version identifier, effective date, and references to authoritative fee schedules. Following the version declaration, group definitions organize inputs into logical categories for user interface presentation, with weights determining display order. The core of any IPFLang program consists of input definitions that declare the parameters required for fee calculation - these may be single-choice enumerations (LIST), multi-choice selections (MULTILIST), numeric values with optional constraints (NUMBER), binary choices (BOOLEAN), temporal values (DATE), or currency-aware monetary inputs (AMOUNT). Fee computation blocks contain the actual calculation logic using conditional yields and case statements. Programs may include verification directives that enable static analysis of completeness and monotonicity properties. Finally, return statements provide named outputs for integration with external systems.</w:t>
      </w:r>
    </w:p>
    <w:p w14:paraId="7BA58370" w14:textId="77777777" w:rsidR="003C6BFC" w:rsidRDefault="003C6BFC" w:rsidP="003C6BFC">
      <w:pPr>
        <w:pStyle w:val="BodyText"/>
      </w:pPr>
      <w:r>
        <w:rPr>
          <w:noProof/>
        </w:rPr>
        <w:lastRenderedPageBreak/>
        <w:drawing>
          <wp:inline distT="0" distB="0" distL="0" distR="0" wp14:anchorId="62A6933B" wp14:editId="2B6B2B62">
            <wp:extent cx="5486400" cy="2321859"/>
            <wp:effectExtent l="0" t="0" r="0" b="2540"/>
            <wp:docPr id="493945416"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17B05481" w14:textId="77777777" w:rsidR="003C6BFC" w:rsidRDefault="003C6BFC" w:rsidP="003C6BFC">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xml:space="preserve"> – DSL overview</w:t>
      </w:r>
    </w:p>
    <w:p w14:paraId="44D6F342" w14:textId="77777777" w:rsidR="0054548D" w:rsidRDefault="00000000">
      <w:pPr>
        <w:pStyle w:val="Heading3"/>
      </w:pPr>
      <w:bookmarkStart w:id="16" w:name="version-declaration"/>
      <w:bookmarkEnd w:id="15"/>
      <w:r>
        <w:t>3.3 Version Declaration</w:t>
      </w:r>
    </w:p>
    <w:p w14:paraId="053EF815" w14:textId="77777777" w:rsidR="0054548D" w:rsidRDefault="00000000">
      <w:pPr>
        <w:pStyle w:val="FirstParagraph"/>
      </w:pPr>
      <w:r>
        <w:t>Fee schedules change frequently, requiring version tracking with effective dates.</w:t>
      </w:r>
    </w:p>
    <w:p w14:paraId="5BBFED95" w14:textId="77777777" w:rsidR="0054548D" w:rsidRDefault="00000000">
      <w:pPr>
        <w:pStyle w:val="BodyText"/>
      </w:pPr>
      <w:r>
        <w:rPr>
          <w:b/>
          <w:bCs/>
        </w:rPr>
        <w:t>Syntax:</w:t>
      </w:r>
    </w:p>
    <w:p w14:paraId="6D0A508E" w14:textId="77777777" w:rsidR="0054548D" w:rsidRDefault="00000000">
      <w:pPr>
        <w:pStyle w:val="SourceCode"/>
      </w:pPr>
      <w:r>
        <w:rPr>
          <w:rStyle w:val="VerbatimChar"/>
        </w:rPr>
        <w:t>VERSION '&lt;VersionId&gt;' EFFECTIVE &lt;date&gt; [DESCRIPTION '&lt;description&gt;'] [REFERENCE '&lt;reference&gt;']</w:t>
      </w:r>
    </w:p>
    <w:p w14:paraId="3FC15936" w14:textId="77777777" w:rsidR="0054548D" w:rsidRDefault="00000000">
      <w:pPr>
        <w:pStyle w:val="FirstParagraph"/>
      </w:pPr>
      <w:r>
        <w:rPr>
          <w:b/>
          <w:bCs/>
        </w:rPr>
        <w:t>Example:</w:t>
      </w:r>
    </w:p>
    <w:p w14:paraId="77884FBF" w14:textId="77777777" w:rsidR="0054548D" w:rsidRDefault="00000000">
      <w:pPr>
        <w:pStyle w:val="SourceCode"/>
      </w:pPr>
      <w:r>
        <w:rPr>
          <w:rStyle w:val="VerbatimChar"/>
        </w:rPr>
        <w:t>VERSION '2024.1' EFFECTIVE 01.04.2024 DESCRIPTION 'EPO official fees 2024' REFERENCE 'EPO Official Journal 2024/03'</w:t>
      </w:r>
    </w:p>
    <w:p w14:paraId="43683824" w14:textId="77777777" w:rsidR="0054548D"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103E8A55" w14:textId="77777777" w:rsidR="0054548D" w:rsidRDefault="00000000">
      <w:pPr>
        <w:pStyle w:val="Heading3"/>
      </w:pPr>
      <w:bookmarkStart w:id="17" w:name="input-type-system"/>
      <w:bookmarkEnd w:id="16"/>
      <w:r>
        <w:t>3.4 Input Type System</w:t>
      </w:r>
    </w:p>
    <w:p w14:paraId="4A4D9CC5" w14:textId="77777777" w:rsidR="0054548D" w:rsidRDefault="00000000">
      <w:pPr>
        <w:pStyle w:val="FirstParagraph"/>
      </w:pPr>
      <w:r>
        <w:t>IPFLang provides six input types matching common parameter patterns across patent offices.</w:t>
      </w:r>
    </w:p>
    <w:p w14:paraId="1E840CC2" w14:textId="77777777" w:rsidR="0054548D" w:rsidRDefault="00000000">
      <w:pPr>
        <w:pStyle w:val="Heading4"/>
      </w:pPr>
      <w:bookmarkStart w:id="18" w:name="list-single-choice-enumeration"/>
      <w:r>
        <w:t>3.4.1 LIST (Single-Choice Enumeration)</w:t>
      </w:r>
    </w:p>
    <w:p w14:paraId="4AEA2420" w14:textId="77777777" w:rsidR="0054548D" w:rsidRDefault="00000000">
      <w:pPr>
        <w:pStyle w:val="FirstParagraph"/>
      </w:pPr>
      <w:r>
        <w:t>The LIST type handles parameters with mutually exclusive options such as entity type, filing basis, or examination request.</w:t>
      </w:r>
    </w:p>
    <w:p w14:paraId="1378BB91" w14:textId="77777777" w:rsidR="0054548D"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t>CHOICE MicroEntity AS 'Micro Entity (75% discount)'</w:t>
      </w:r>
      <w:r>
        <w:br/>
      </w:r>
      <w:r>
        <w:rPr>
          <w:rStyle w:val="VerbatimChar"/>
        </w:rPr>
        <w:lastRenderedPageBreak/>
        <w:t>DEFAULT NormalEntity</w:t>
      </w:r>
      <w:r>
        <w:br/>
      </w:r>
      <w:r>
        <w:rPr>
          <w:rStyle w:val="VerbatimChar"/>
        </w:rPr>
        <w:t>ENDDEFINE</w:t>
      </w:r>
    </w:p>
    <w:p w14:paraId="19C05849" w14:textId="77777777" w:rsidR="0054548D" w:rsidRDefault="00000000">
      <w:pPr>
        <w:pStyle w:val="Heading4"/>
      </w:pPr>
      <w:bookmarkStart w:id="19" w:name="multilist-multi-choice-enumeration"/>
      <w:bookmarkEnd w:id="18"/>
      <w:r>
        <w:t>3.4.2 MULTILIST (Multi-Choice Enumeration)</w:t>
      </w:r>
    </w:p>
    <w:p w14:paraId="03079B40" w14:textId="77777777" w:rsidR="0054548D"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55DB989A" w14:textId="77777777" w:rsidR="0054548D"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647A282F" w14:textId="77777777" w:rsidR="0054548D" w:rsidRDefault="00000000">
      <w:pPr>
        <w:pStyle w:val="FirstParagraph"/>
      </w:pPr>
      <w:r>
        <w:rPr>
          <w:b/>
          <w:bCs/>
        </w:rPr>
        <w:t>Usage:</w:t>
      </w:r>
      <w:r>
        <w:t xml:space="preserve"> </w:t>
      </w:r>
      <w:r>
        <w:rPr>
          <w:rStyle w:val="VerbatimChar"/>
        </w:rPr>
        <w:t>YIELD 100 * Countries!COUNT</w:t>
      </w:r>
    </w:p>
    <w:p w14:paraId="3D64748E" w14:textId="77777777" w:rsidR="0054548D" w:rsidRDefault="00000000">
      <w:pPr>
        <w:pStyle w:val="Heading4"/>
      </w:pPr>
      <w:bookmarkStart w:id="20" w:name="number-numeric-input"/>
      <w:bookmarkEnd w:id="19"/>
      <w:r>
        <w:t>3.4.3 NUMBER (Numeric Input)</w:t>
      </w:r>
    </w:p>
    <w:p w14:paraId="51D8517D" w14:textId="77777777" w:rsidR="0054548D" w:rsidRDefault="00000000">
      <w:pPr>
        <w:pStyle w:val="FirstParagraph"/>
      </w:pPr>
      <w:r>
        <w:t>The NUMBER type handles counts, quantities, and page numbers with optional constraints.</w:t>
      </w:r>
    </w:p>
    <w:p w14:paraId="72BB0372" w14:textId="77777777" w:rsidR="0054548D"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0B8020DB" w14:textId="77777777" w:rsidR="0054548D" w:rsidRDefault="00000000">
      <w:pPr>
        <w:pStyle w:val="Heading4"/>
      </w:pPr>
      <w:bookmarkStart w:id="21" w:name="boolean-yesno"/>
      <w:bookmarkEnd w:id="20"/>
      <w:r>
        <w:t>3.4.4 BOOLEAN (Yes/No)</w:t>
      </w:r>
    </w:p>
    <w:p w14:paraId="4D792F86" w14:textId="77777777" w:rsidR="0054548D" w:rsidRDefault="00000000">
      <w:pPr>
        <w:pStyle w:val="FirstParagraph"/>
      </w:pPr>
      <w:r>
        <w:t>The BOOLEAN type represents binary choices.</w:t>
      </w:r>
    </w:p>
    <w:p w14:paraId="3D2109D6" w14:textId="77777777" w:rsidR="0054548D"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37832EA2" w14:textId="77777777" w:rsidR="0054548D" w:rsidRDefault="00000000">
      <w:pPr>
        <w:pStyle w:val="Heading4"/>
      </w:pPr>
      <w:bookmarkStart w:id="22" w:name="date-date-input"/>
      <w:bookmarkEnd w:id="21"/>
      <w:r>
        <w:t>3.4.5 DATE (Date Input)</w:t>
      </w:r>
    </w:p>
    <w:p w14:paraId="3EA0D92A" w14:textId="77777777" w:rsidR="0054548D" w:rsidRDefault="00000000">
      <w:pPr>
        <w:pStyle w:val="FirstParagraph"/>
      </w:pPr>
      <w:r>
        <w:t>The DATE type handles filing dates and priority dates for calculating time-dependent fees. Temporal properties enable calculations based on elapsed time:</w:t>
      </w:r>
    </w:p>
    <w:p w14:paraId="3BB7F1B5" w14:textId="77777777" w:rsidR="0054548D" w:rsidRDefault="00000000">
      <w:pPr>
        <w:pStyle w:val="Compact"/>
        <w:numPr>
          <w:ilvl w:val="0"/>
          <w:numId w:val="3"/>
        </w:numPr>
      </w:pPr>
      <w:r>
        <w:rPr>
          <w:rStyle w:val="VerbatimChar"/>
        </w:rPr>
        <w:t>!YEARSTONOW</w:t>
      </w:r>
      <w:r>
        <w:t xml:space="preserve"> - Years from date to current date</w:t>
      </w:r>
    </w:p>
    <w:p w14:paraId="1AC0713E" w14:textId="77777777" w:rsidR="0054548D" w:rsidRDefault="00000000">
      <w:pPr>
        <w:pStyle w:val="Compact"/>
        <w:numPr>
          <w:ilvl w:val="0"/>
          <w:numId w:val="3"/>
        </w:numPr>
      </w:pPr>
      <w:r>
        <w:rPr>
          <w:rStyle w:val="VerbatimChar"/>
        </w:rPr>
        <w:t>!MONTHSTONOW</w:t>
      </w:r>
      <w:r>
        <w:t xml:space="preserve"> - Months from date to current date</w:t>
      </w:r>
    </w:p>
    <w:p w14:paraId="63C50BBF" w14:textId="77777777" w:rsidR="0054548D" w:rsidRDefault="00000000">
      <w:pPr>
        <w:pStyle w:val="Compact"/>
        <w:numPr>
          <w:ilvl w:val="0"/>
          <w:numId w:val="3"/>
        </w:numPr>
      </w:pPr>
      <w:r>
        <w:rPr>
          <w:rStyle w:val="VerbatimChar"/>
        </w:rPr>
        <w:t>!DAYSTONOW</w:t>
      </w:r>
      <w:r>
        <w:t xml:space="preserve"> - Days from date to current date</w:t>
      </w:r>
    </w:p>
    <w:p w14:paraId="19608F62" w14:textId="77777777" w:rsidR="0054548D" w:rsidRDefault="00000000">
      <w:pPr>
        <w:pStyle w:val="Compact"/>
        <w:numPr>
          <w:ilvl w:val="0"/>
          <w:numId w:val="3"/>
        </w:numPr>
      </w:pPr>
      <w:r>
        <w:rPr>
          <w:rStyle w:val="VerbatimChar"/>
        </w:rPr>
        <w:t>!MONTHSTONOW_FROMLASTDAY</w:t>
      </w:r>
      <w:r>
        <w:t xml:space="preserve"> - Months from end of date’s month</w:t>
      </w:r>
    </w:p>
    <w:p w14:paraId="286952C8" w14:textId="77777777" w:rsidR="0054548D"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6B9994A0" w14:textId="77777777" w:rsidR="0054548D" w:rsidRDefault="00000000">
      <w:pPr>
        <w:pStyle w:val="FirstParagraph"/>
      </w:pPr>
      <w:r>
        <w:rPr>
          <w:b/>
          <w:bCs/>
        </w:rPr>
        <w:lastRenderedPageBreak/>
        <w:t>Usage:</w:t>
      </w:r>
      <w:r>
        <w:t xml:space="preserve"> </w:t>
      </w:r>
      <w:r>
        <w:rPr>
          <w:rStyle w:val="VerbatimChar"/>
        </w:rPr>
        <w:t>LET YearsSinceFiling AS FilingDate!YEARSTONOW</w:t>
      </w:r>
    </w:p>
    <w:p w14:paraId="7DE7B362" w14:textId="77777777" w:rsidR="0054548D" w:rsidRDefault="00000000">
      <w:pPr>
        <w:pStyle w:val="Heading4"/>
      </w:pPr>
      <w:bookmarkStart w:id="23" w:name="amount-currency-aware-monetary-input"/>
      <w:bookmarkEnd w:id="22"/>
      <w:r>
        <w:t>3.4.6 AMOUNT (Currency-Aware Monetary Input)</w:t>
      </w:r>
    </w:p>
    <w:p w14:paraId="3CD9C125" w14:textId="77777777" w:rsidR="0054548D" w:rsidRDefault="00000000">
      <w:pPr>
        <w:pStyle w:val="FirstParagraph"/>
      </w:pPr>
      <w:r>
        <w:t>The AMOUNT type represents monetary values with an associated ISO 4217 currency code, enabling type-safe arithmetic.</w:t>
      </w:r>
    </w:p>
    <w:p w14:paraId="08D37CBD" w14:textId="77777777" w:rsidR="0054548D"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34651F66" w14:textId="77777777" w:rsidR="0054548D" w:rsidRDefault="00000000">
      <w:pPr>
        <w:pStyle w:val="FirstParagraph"/>
      </w:pPr>
      <w:r>
        <w:t>The AMOUNT type integrates with the currency-aware type system described in Section 4, preventing accidental cross-currency arithmetic.</w:t>
      </w:r>
    </w:p>
    <w:p w14:paraId="2672637F" w14:textId="77777777" w:rsidR="0054548D" w:rsidRDefault="00000000">
      <w:pPr>
        <w:pStyle w:val="Heading3"/>
      </w:pPr>
      <w:bookmarkStart w:id="24" w:name="group-definitions"/>
      <w:bookmarkEnd w:id="17"/>
      <w:bookmarkEnd w:id="23"/>
      <w:r>
        <w:t>3.5 Group Definitions</w:t>
      </w:r>
    </w:p>
    <w:p w14:paraId="0D5FD801" w14:textId="77777777" w:rsidR="0054548D" w:rsidRDefault="00000000">
      <w:pPr>
        <w:pStyle w:val="FirstParagraph"/>
      </w:pPr>
      <w:r>
        <w:t>Groups organize inputs for user interface presentation, with weights determining display order.</w:t>
      </w:r>
    </w:p>
    <w:p w14:paraId="30EE622D" w14:textId="77777777" w:rsidR="0054548D"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44391A96" w14:textId="77777777" w:rsidR="0054548D" w:rsidRDefault="00000000">
      <w:pPr>
        <w:pStyle w:val="Heading3"/>
      </w:pPr>
      <w:bookmarkStart w:id="25" w:name="fee-computation-blocks"/>
      <w:bookmarkEnd w:id="24"/>
      <w:r>
        <w:t>3.6 Fee Computation Blocks</w:t>
      </w:r>
    </w:p>
    <w:p w14:paraId="5DBDB5D8" w14:textId="77777777" w:rsidR="0054548D" w:rsidRDefault="00000000">
      <w:pPr>
        <w:pStyle w:val="FirstParagraph"/>
      </w:pPr>
      <w:r>
        <w:t>Fee calculations use structured COMPUTE FEE blocks with conditional YIELD statements.</w:t>
      </w:r>
    </w:p>
    <w:p w14:paraId="51F61900" w14:textId="77777777" w:rsidR="0054548D" w:rsidRDefault="00000000">
      <w:pPr>
        <w:pStyle w:val="BodyText"/>
      </w:pPr>
      <w:r>
        <w:rPr>
          <w:b/>
          <w:bCs/>
        </w:rPr>
        <w:t>Basic syntax:</w:t>
      </w:r>
    </w:p>
    <w:p w14:paraId="692A06AA" w14:textId="77777777" w:rsidR="0054548D"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0C4E96A8" w14:textId="77777777" w:rsidR="0054548D" w:rsidRDefault="00000000">
      <w:pPr>
        <w:pStyle w:val="FirstParagraph"/>
      </w:pPr>
      <w:r>
        <w:t>The OPTIONAL keyword distinguishes fees that may or may not apply from mandatory fees.</w:t>
      </w:r>
    </w:p>
    <w:p w14:paraId="3DF657EA" w14:textId="77777777" w:rsidR="0054548D" w:rsidRDefault="00000000">
      <w:pPr>
        <w:pStyle w:val="BodyText"/>
      </w:pPr>
      <w:r>
        <w:rPr>
          <w:b/>
          <w:bCs/>
        </w:rPr>
        <w:t>Example - EPO claim fees with progressive rates:</w:t>
      </w:r>
    </w:p>
    <w:p w14:paraId="2E977E48" w14:textId="77777777" w:rsidR="0054548D" w:rsidRDefault="00000000">
      <w:pPr>
        <w:pStyle w:val="SourceCode"/>
      </w:pPr>
      <w:r>
        <w:rPr>
          <w:rStyle w:val="VerbatimChar"/>
        </w:rPr>
        <w:t>COMPUTE FEE ExcessClaimsFee</w:t>
      </w:r>
      <w:r>
        <w:br/>
      </w:r>
      <w:r>
        <w:rPr>
          <w:rStyle w:val="VerbatimChar"/>
        </w:rPr>
        <w:t>LET ClaimFee1 AS 265&lt;EUR&gt;</w:t>
      </w:r>
      <w:r>
        <w:br/>
      </w:r>
      <w:r>
        <w:rPr>
          <w:rStyle w:val="VerbatimChar"/>
        </w:rPr>
        <w:t>LET ClaimFee2 AS 660&lt;EUR&gt;</w:t>
      </w:r>
      <w:r>
        <w:br/>
      </w:r>
      <w:r>
        <w:rPr>
          <w:rStyle w:val="VerbatimChar"/>
        </w:rPr>
        <w:t>CASE ClaimCount LTE 15 AS</w:t>
      </w:r>
      <w:r>
        <w:br/>
      </w:r>
      <w:r>
        <w:rPr>
          <w:rStyle w:val="VerbatimChar"/>
        </w:rPr>
        <w:t xml:space="preserve">  YIELD 0&lt;EUR&gt;</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lastRenderedPageBreak/>
        <w:t>CASE ClaimCount GT 50 AS</w:t>
      </w:r>
      <w:r>
        <w:br/>
      </w:r>
      <w:r>
        <w:rPr>
          <w:rStyle w:val="VerbatimChar"/>
        </w:rPr>
        <w:t xml:space="preserve">  YIELD ClaimFee1 * 35 + ClaimFee2 * (ClaimCount - 50)</w:t>
      </w:r>
      <w:r>
        <w:br/>
      </w:r>
      <w:r>
        <w:rPr>
          <w:rStyle w:val="VerbatimChar"/>
        </w:rPr>
        <w:t>ENDCASE</w:t>
      </w:r>
      <w:r>
        <w:br/>
      </w:r>
      <w:r>
        <w:rPr>
          <w:rStyle w:val="VerbatimChar"/>
        </w:rPr>
        <w:t>ENDCOMPUTE</w:t>
      </w:r>
    </w:p>
    <w:p w14:paraId="04D45492" w14:textId="77777777" w:rsidR="0054548D" w:rsidRDefault="00000000">
      <w:pPr>
        <w:pStyle w:val="FirstParagraph"/>
      </w:pPr>
      <w:r>
        <w:t>This directly encodes the EPO’s fee schedule: EUR 265 per claim for claims 16-50 and EUR 660 per claim beyond 50.</w:t>
      </w:r>
    </w:p>
    <w:p w14:paraId="60BD124B" w14:textId="77777777" w:rsidR="0054548D" w:rsidRDefault="00000000">
      <w:pPr>
        <w:pStyle w:val="Heading3"/>
      </w:pPr>
      <w:bookmarkStart w:id="26" w:name="currency-literals"/>
      <w:bookmarkEnd w:id="25"/>
      <w:r>
        <w:t>3.7 Currency Literals</w:t>
      </w:r>
    </w:p>
    <w:p w14:paraId="5073BC5C" w14:textId="77777777" w:rsidR="0054548D" w:rsidRDefault="00000000">
      <w:pPr>
        <w:pStyle w:val="FirstParagraph"/>
      </w:pPr>
      <w:r>
        <w:t>Numeric values can be annotated with ISO 4217 currency codes:</w:t>
      </w:r>
    </w:p>
    <w:p w14:paraId="030DEB98" w14:textId="77777777" w:rsidR="0054548D"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4813D559" w14:textId="77777777" w:rsidR="0054548D" w:rsidRDefault="00000000">
      <w:pPr>
        <w:pStyle w:val="FirstParagraph"/>
      </w:pPr>
      <w:r>
        <w:t>The type system enforces currency compatibility at compile time, as detailed in Section 4.</w:t>
      </w:r>
    </w:p>
    <w:p w14:paraId="3BEC9AD7" w14:textId="77777777" w:rsidR="0054548D" w:rsidRDefault="00000000">
      <w:pPr>
        <w:pStyle w:val="Heading3"/>
      </w:pPr>
      <w:bookmarkStart w:id="27" w:name="operators-and-expressions"/>
      <w:bookmarkEnd w:id="26"/>
      <w:r>
        <w:t>3.8 Operators and Expressions</w:t>
      </w:r>
    </w:p>
    <w:p w14:paraId="7EFCFCF9" w14:textId="77777777" w:rsidR="0054548D" w:rsidRDefault="00000000">
      <w:pPr>
        <w:pStyle w:val="FirstParagraph"/>
      </w:pPr>
      <w:r>
        <w:t>IPFLang provides:</w:t>
      </w:r>
    </w:p>
    <w:p w14:paraId="4A81D89D" w14:textId="77777777" w:rsidR="0054548D" w:rsidRDefault="00000000">
      <w:pPr>
        <w:pStyle w:val="BodyText"/>
      </w:pPr>
      <w:r>
        <w:rPr>
          <w:b/>
          <w:bCs/>
        </w:rPr>
        <w:t>Comparison operators:</w:t>
      </w:r>
      <w:r>
        <w:t xml:space="preserve"> EQ (equality), NEQ (inequality), GT (greater than), LT (less than), GTE (greater or equal), LTE (less or equal)</w:t>
      </w:r>
    </w:p>
    <w:p w14:paraId="725FD81F" w14:textId="77777777" w:rsidR="0054548D" w:rsidRDefault="00000000">
      <w:pPr>
        <w:pStyle w:val="BodyText"/>
      </w:pPr>
      <w:r>
        <w:rPr>
          <w:b/>
          <w:bCs/>
        </w:rPr>
        <w:t>Logical operators:</w:t>
      </w:r>
      <w:r>
        <w:t xml:space="preserve"> AND, OR (with short-circuit evaluation)</w:t>
      </w:r>
    </w:p>
    <w:p w14:paraId="61F31C57" w14:textId="77777777" w:rsidR="0054548D" w:rsidRDefault="00000000">
      <w:pPr>
        <w:pStyle w:val="BodyText"/>
      </w:pPr>
      <w:r>
        <w:rPr>
          <w:b/>
          <w:bCs/>
        </w:rPr>
        <w:t>Arithmetic operators:</w:t>
      </w:r>
      <w:r>
        <w:t xml:space="preserve"> +, -, *, /, with ROUND, FLOOR, CEIL functions</w:t>
      </w:r>
    </w:p>
    <w:p w14:paraId="469311D8" w14:textId="77777777" w:rsidR="0054548D" w:rsidRDefault="00000000">
      <w:pPr>
        <w:pStyle w:val="BodyText"/>
      </w:pPr>
      <w:r>
        <w:rPr>
          <w:b/>
          <w:bCs/>
        </w:rPr>
        <w:t>Set operators for MULTILIST:</w:t>
      </w:r>
      <w:r>
        <w:t xml:space="preserve"> IN (membership), NIN (non-membership), !COUNT (cardinality)</w:t>
      </w:r>
    </w:p>
    <w:p w14:paraId="132055F3" w14:textId="77777777" w:rsidR="0054548D" w:rsidRDefault="00000000">
      <w:pPr>
        <w:pStyle w:val="BodyText"/>
      </w:pPr>
      <w:r>
        <w:rPr>
          <w:b/>
          <w:bCs/>
        </w:rPr>
        <w:t>Operator precedence</w:t>
      </w:r>
      <w:r>
        <w:t xml:space="preserve"> (highest to lowest): ROUND/FLOOR/CEIL, then *, /, then +, -, then comparisons, then AND, then OR. Parentheses override default precedence.</w:t>
      </w:r>
    </w:p>
    <w:p w14:paraId="5A8E13E2" w14:textId="77777777" w:rsidR="0054548D" w:rsidRDefault="00000000">
      <w:pPr>
        <w:pStyle w:val="Heading3"/>
      </w:pPr>
      <w:bookmarkStart w:id="28" w:name="jurisdiction-composition"/>
      <w:bookmarkEnd w:id="27"/>
      <w:r>
        <w:t>3.9 Jurisdiction Composition</w:t>
      </w:r>
    </w:p>
    <w:p w14:paraId="179D9F51" w14:textId="77777777" w:rsidR="0054548D" w:rsidRDefault="00000000">
      <w:pPr>
        <w:pStyle w:val="FirstParagraph"/>
      </w:pPr>
      <w:r>
        <w:t>IPFLang supports inheritance for code reuse across related fee schedules. A child jurisdiction inherits inputs and fees from a parent, can add new definitions, and can override inherited fees.</w:t>
      </w:r>
    </w:p>
    <w:p w14:paraId="14F5B494" w14:textId="77777777" w:rsidR="0054548D" w:rsidRDefault="00000000">
      <w:pPr>
        <w:pStyle w:val="BodyText"/>
      </w:pPr>
      <w:r>
        <w:rPr>
          <w:b/>
          <w:bCs/>
        </w:rPr>
        <w:t>Parent (EPO base):</w:t>
      </w:r>
    </w:p>
    <w:p w14:paraId="311D568D" w14:textId="77777777" w:rsidR="0054548D" w:rsidRDefault="00000000">
      <w:pPr>
        <w:pStyle w:val="SourceCode"/>
      </w:pPr>
      <w:r>
        <w:rPr>
          <w:rStyle w:val="VerbatimChar"/>
        </w:rPr>
        <w:t>COMPUTE FEE FilingFee</w:t>
      </w:r>
      <w:r>
        <w:br/>
      </w:r>
      <w:r>
        <w:rPr>
          <w:rStyle w:val="VerbatimChar"/>
        </w:rPr>
        <w:t>YIELD 135&lt;EUR&gt;</w:t>
      </w:r>
      <w:r>
        <w:br/>
      </w:r>
      <w:r>
        <w:rPr>
          <w:rStyle w:val="VerbatimChar"/>
        </w:rPr>
        <w:t>ENDCOMPUTE</w:t>
      </w:r>
    </w:p>
    <w:p w14:paraId="4D8E2F52" w14:textId="77777777" w:rsidR="0054548D" w:rsidRDefault="00000000">
      <w:pPr>
        <w:pStyle w:val="FirstParagraph"/>
      </w:pPr>
      <w:r>
        <w:rPr>
          <w:b/>
          <w:bCs/>
        </w:rPr>
        <w:t>Child (EPO Germany national phase):</w:t>
      </w:r>
    </w:p>
    <w:p w14:paraId="62BA3D4B" w14:textId="77777777" w:rsidR="0054548D"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lastRenderedPageBreak/>
        <w:t>YIELD 1050&lt;EUR&gt; IF NeedsTranslation EQ TRUE</w:t>
      </w:r>
      <w:r>
        <w:br/>
      </w:r>
      <w:r>
        <w:rPr>
          <w:rStyle w:val="VerbatimChar"/>
        </w:rPr>
        <w:t>YIELD 0&lt;EUR&gt; IF NeedsTranslation EQ FALSE</w:t>
      </w:r>
      <w:r>
        <w:br/>
      </w:r>
      <w:r>
        <w:rPr>
          <w:rStyle w:val="VerbatimChar"/>
        </w:rPr>
        <w:t>ENDCOMPUTE</w:t>
      </w:r>
    </w:p>
    <w:p w14:paraId="1DCE64A7" w14:textId="77777777" w:rsidR="0054548D" w:rsidRDefault="00000000">
      <w:pPr>
        <w:pStyle w:val="FirstParagraph"/>
      </w:pPr>
      <w:r>
        <w:t>Composition enables significant code reuse between related jurisdictions, simplifies maintenance when base fees change, and maintains clear traceability of fee origins. Jurisdiction composition is implemented at the tool level rather than as a language construct. The ipflang compose command merges multiple IPFLang files, with the resulting combined program conforming to the grammar specification.</w:t>
      </w:r>
    </w:p>
    <w:p w14:paraId="11F81E8E" w14:textId="77777777" w:rsidR="0054548D" w:rsidRDefault="00000000">
      <w:pPr>
        <w:pStyle w:val="Heading3"/>
      </w:pPr>
      <w:bookmarkStart w:id="29" w:name="formal-grammar-ebnf"/>
      <w:bookmarkEnd w:id="28"/>
      <w:r>
        <w:t>3.10 Formal Grammar (EBNF)</w:t>
      </w:r>
    </w:p>
    <w:p w14:paraId="76B8F6CA" w14:textId="77777777" w:rsidR="0054548D" w:rsidRDefault="00000000">
      <w:pPr>
        <w:pStyle w:val="FirstParagraph"/>
      </w:pPr>
      <w:r>
        <w:t>The complete formal grammar in Extended Backus-Naur Form:</w:t>
      </w:r>
    </w:p>
    <w:p w14:paraId="30E08EFB" w14:textId="77777777" w:rsidR="0054548D" w:rsidRPr="003C6BFC" w:rsidRDefault="00000000">
      <w:pPr>
        <w:pStyle w:val="SourceCode"/>
        <w:rPr>
          <w:sz w:val="22"/>
          <w:szCs w:val="22"/>
        </w:rPr>
      </w:pPr>
      <w:r w:rsidRPr="003C6BFC">
        <w:rPr>
          <w:rStyle w:val="VerbatimChar"/>
          <w:sz w:val="20"/>
          <w:szCs w:val="22"/>
        </w:rPr>
        <w:t>(* Program Structure *)</w:t>
      </w:r>
      <w:r w:rsidRPr="003C6BFC">
        <w:rPr>
          <w:sz w:val="22"/>
          <w:szCs w:val="22"/>
        </w:rPr>
        <w:br/>
      </w:r>
      <w:r w:rsidRPr="003C6BFC">
        <w:rPr>
          <w:rStyle w:val="VerbatimChar"/>
          <w:sz w:val="20"/>
          <w:szCs w:val="22"/>
        </w:rPr>
        <w:t>&lt;program&gt;              ::= &lt;comment&gt;* &lt;version&gt;? &lt;group&gt;* &lt;input_definition&gt;*</w:t>
      </w:r>
      <w:r w:rsidRPr="003C6BFC">
        <w:rPr>
          <w:sz w:val="22"/>
          <w:szCs w:val="22"/>
        </w:rPr>
        <w:br/>
      </w:r>
      <w:r w:rsidRPr="003C6BFC">
        <w:rPr>
          <w:rStyle w:val="VerbatimChar"/>
          <w:sz w:val="20"/>
          <w:szCs w:val="22"/>
        </w:rPr>
        <w:t xml:space="preserve">                           &lt;fee_computation&gt;+ &lt;verification&gt;* &lt;return&gt;*</w:t>
      </w:r>
      <w:r w:rsidRPr="003C6BFC">
        <w:rPr>
          <w:sz w:val="22"/>
          <w:szCs w:val="22"/>
        </w:rPr>
        <w:br/>
      </w:r>
      <w:r w:rsidRPr="003C6BFC">
        <w:rPr>
          <w:sz w:val="22"/>
          <w:szCs w:val="22"/>
        </w:rPr>
        <w:br/>
      </w:r>
      <w:r w:rsidRPr="003C6BFC">
        <w:rPr>
          <w:rStyle w:val="VerbatimChar"/>
          <w:sz w:val="20"/>
          <w:szCs w:val="22"/>
        </w:rPr>
        <w:t>(* Comments *)</w:t>
      </w:r>
      <w:r w:rsidRPr="003C6BFC">
        <w:rPr>
          <w:sz w:val="22"/>
          <w:szCs w:val="22"/>
        </w:rPr>
        <w:br/>
      </w:r>
      <w:r w:rsidRPr="003C6BFC">
        <w:rPr>
          <w:rStyle w:val="VerbatimChar"/>
          <w:sz w:val="20"/>
          <w:szCs w:val="22"/>
        </w:rPr>
        <w:t>&lt;comment&gt;              ::= "#" {&lt;any_char&gt; - &lt;newline&gt;} &lt;newline&gt;</w:t>
      </w:r>
      <w:r w:rsidRPr="003C6BFC">
        <w:rPr>
          <w:sz w:val="22"/>
          <w:szCs w:val="22"/>
        </w:rPr>
        <w:br/>
      </w:r>
      <w:r w:rsidRPr="003C6BFC">
        <w:rPr>
          <w:sz w:val="22"/>
          <w:szCs w:val="22"/>
        </w:rPr>
        <w:br/>
      </w:r>
      <w:r w:rsidRPr="003C6BFC">
        <w:rPr>
          <w:rStyle w:val="VerbatimChar"/>
          <w:sz w:val="20"/>
          <w:szCs w:val="22"/>
        </w:rPr>
        <w:t>(* Version Declaration *)</w:t>
      </w:r>
      <w:r w:rsidRPr="003C6BFC">
        <w:rPr>
          <w:sz w:val="22"/>
          <w:szCs w:val="22"/>
        </w:rPr>
        <w:br/>
      </w:r>
      <w:r w:rsidRPr="003C6BFC">
        <w:rPr>
          <w:rStyle w:val="VerbatimChar"/>
          <w:sz w:val="20"/>
          <w:szCs w:val="22"/>
        </w:rPr>
        <w:t>&lt;version&gt;              ::= "VERSION" &lt;string&gt; "EFFECTIVE" &lt;date&gt;</w:t>
      </w:r>
      <w:r w:rsidRPr="003C6BFC">
        <w:rPr>
          <w:sz w:val="22"/>
          <w:szCs w:val="22"/>
        </w:rPr>
        <w:br/>
      </w:r>
      <w:r w:rsidRPr="003C6BFC">
        <w:rPr>
          <w:rStyle w:val="VerbatimChar"/>
          <w:sz w:val="20"/>
          <w:szCs w:val="22"/>
        </w:rPr>
        <w:t xml:space="preserve">                           ["DESCRIPTION" &lt;string&gt;] ["REFERENCE" &lt;string&gt;]</w:t>
      </w:r>
      <w:r w:rsidRPr="003C6BFC">
        <w:rPr>
          <w:sz w:val="22"/>
          <w:szCs w:val="22"/>
        </w:rPr>
        <w:br/>
      </w:r>
      <w:r w:rsidRPr="003C6BFC">
        <w:rPr>
          <w:sz w:val="22"/>
          <w:szCs w:val="22"/>
        </w:rPr>
        <w:br/>
      </w:r>
      <w:r w:rsidRPr="003C6BFC">
        <w:rPr>
          <w:rStyle w:val="VerbatimChar"/>
          <w:sz w:val="20"/>
          <w:szCs w:val="22"/>
        </w:rPr>
        <w:t>(* Group Definition *)</w:t>
      </w:r>
      <w:r w:rsidRPr="003C6BFC">
        <w:rPr>
          <w:sz w:val="22"/>
          <w:szCs w:val="22"/>
        </w:rPr>
        <w:br/>
      </w:r>
      <w:r w:rsidRPr="003C6BFC">
        <w:rPr>
          <w:rStyle w:val="VerbatimChar"/>
          <w:sz w:val="20"/>
          <w:szCs w:val="22"/>
        </w:rPr>
        <w:t>&lt;group&gt;                ::= "DEFINE" "GROUP" &lt;identifier&gt; "AS" &lt;string&gt;</w:t>
      </w:r>
      <w:r w:rsidRPr="003C6BFC">
        <w:rPr>
          <w:sz w:val="22"/>
          <w:szCs w:val="22"/>
        </w:rPr>
        <w:br/>
      </w:r>
      <w:r w:rsidRPr="003C6BFC">
        <w:rPr>
          <w:rStyle w:val="VerbatimChar"/>
          <w:sz w:val="20"/>
          <w:szCs w:val="22"/>
        </w:rPr>
        <w:t xml:space="preserve">                           "WITH" "WEIGHT" &lt;number&gt;</w:t>
      </w:r>
      <w:r w:rsidRPr="003C6BFC">
        <w:rPr>
          <w:sz w:val="22"/>
          <w:szCs w:val="22"/>
        </w:rPr>
        <w:br/>
      </w:r>
      <w:r w:rsidRPr="003C6BFC">
        <w:rPr>
          <w:sz w:val="22"/>
          <w:szCs w:val="22"/>
        </w:rPr>
        <w:br/>
      </w:r>
      <w:r w:rsidRPr="003C6BFC">
        <w:rPr>
          <w:rStyle w:val="VerbatimChar"/>
          <w:sz w:val="20"/>
          <w:szCs w:val="22"/>
        </w:rPr>
        <w:t>(* Input Definitions *)</w:t>
      </w:r>
      <w:r w:rsidRPr="003C6BFC">
        <w:rPr>
          <w:sz w:val="22"/>
          <w:szCs w:val="22"/>
        </w:rPr>
        <w:br/>
      </w:r>
      <w:r w:rsidRPr="003C6BFC">
        <w:rPr>
          <w:rStyle w:val="VerbatimChar"/>
          <w:sz w:val="20"/>
          <w:szCs w:val="22"/>
        </w:rPr>
        <w:t>&lt;input_definition&gt;     ::= "DEFINE" &lt;input_type&gt; &lt;identifier&gt; "AS" &lt;string&gt;</w:t>
      </w:r>
      <w:r w:rsidRPr="003C6BFC">
        <w:rPr>
          <w:sz w:val="22"/>
          <w:szCs w:val="22"/>
        </w:rPr>
        <w:br/>
      </w:r>
      <w:r w:rsidRPr="003C6BFC">
        <w:rPr>
          <w:rStyle w:val="VerbatimChar"/>
          <w:sz w:val="20"/>
          <w:szCs w:val="22"/>
        </w:rPr>
        <w:t xml:space="preserve">                           &lt;type_specifics&gt; ["DEFAULT" &lt;default_value&gt;]</w:t>
      </w:r>
      <w:r w:rsidRPr="003C6BFC">
        <w:rPr>
          <w:sz w:val="22"/>
          <w:szCs w:val="22"/>
        </w:rPr>
        <w:br/>
      </w:r>
      <w:r w:rsidRPr="003C6BFC">
        <w:rPr>
          <w:rStyle w:val="VerbatimChar"/>
          <w:sz w:val="20"/>
          <w:szCs w:val="22"/>
        </w:rPr>
        <w:t xml:space="preserve">                           ["GROUP" &lt;identifier&gt;] "ENDDEFINE"</w:t>
      </w:r>
      <w:r w:rsidRPr="003C6BFC">
        <w:rPr>
          <w:sz w:val="22"/>
          <w:szCs w:val="22"/>
        </w:rPr>
        <w:br/>
      </w:r>
      <w:r w:rsidRPr="003C6BFC">
        <w:rPr>
          <w:rStyle w:val="VerbatimChar"/>
          <w:sz w:val="20"/>
          <w:szCs w:val="22"/>
        </w:rPr>
        <w:t>&lt;input_type&gt;           ::= "LIST" | "MULTILIST" | "NUMBER" | "BOOLEAN" | "DATE" | "AMOUNT"</w:t>
      </w:r>
      <w:r w:rsidRPr="003C6BFC">
        <w:rPr>
          <w:sz w:val="22"/>
          <w:szCs w:val="22"/>
        </w:rPr>
        <w:br/>
      </w:r>
      <w:r w:rsidRPr="003C6BFC">
        <w:rPr>
          <w:rStyle w:val="VerbatimChar"/>
          <w:sz w:val="20"/>
          <w:szCs w:val="22"/>
        </w:rPr>
        <w:t>&lt;type_specifics&gt;       ::= &lt;choices&gt; | &lt;numeric_constraint&gt; | &lt;date_constraint&gt;</w:t>
      </w:r>
      <w:r w:rsidRPr="003C6BFC">
        <w:rPr>
          <w:sz w:val="22"/>
          <w:szCs w:val="22"/>
        </w:rPr>
        <w:br/>
      </w:r>
      <w:r w:rsidRPr="003C6BFC">
        <w:rPr>
          <w:rStyle w:val="VerbatimChar"/>
          <w:sz w:val="20"/>
          <w:szCs w:val="22"/>
        </w:rPr>
        <w:t xml:space="preserve">                         | &lt;currency_spec&gt; | ε</w:t>
      </w:r>
      <w:r w:rsidRPr="003C6BFC">
        <w:rPr>
          <w:sz w:val="22"/>
          <w:szCs w:val="22"/>
        </w:rPr>
        <w:br/>
      </w:r>
      <w:r w:rsidRPr="003C6BFC">
        <w:rPr>
          <w:rStyle w:val="VerbatimChar"/>
          <w:sz w:val="20"/>
          <w:szCs w:val="22"/>
        </w:rPr>
        <w:t>&lt;choices&gt;              ::= &lt;choice&gt;+</w:t>
      </w:r>
      <w:r w:rsidRPr="003C6BFC">
        <w:rPr>
          <w:sz w:val="22"/>
          <w:szCs w:val="22"/>
        </w:rPr>
        <w:br/>
      </w:r>
      <w:r w:rsidRPr="003C6BFC">
        <w:rPr>
          <w:rStyle w:val="VerbatimChar"/>
          <w:sz w:val="20"/>
          <w:szCs w:val="22"/>
        </w:rPr>
        <w:t>&lt;choice&gt;               ::= "CHOICE" &lt;identifier&gt; "AS" &lt;string&gt;</w:t>
      </w:r>
      <w:r w:rsidRPr="003C6BFC">
        <w:rPr>
          <w:sz w:val="22"/>
          <w:szCs w:val="22"/>
        </w:rPr>
        <w:br/>
      </w:r>
      <w:r w:rsidRPr="003C6BFC">
        <w:rPr>
          <w:rStyle w:val="VerbatimChar"/>
          <w:sz w:val="20"/>
          <w:szCs w:val="22"/>
        </w:rPr>
        <w:t>&lt;numeric_constraint&gt;   ::= "BETWEEN" &lt;number&gt; "AND" &lt;number&gt;</w:t>
      </w:r>
      <w:r w:rsidRPr="003C6BFC">
        <w:rPr>
          <w:sz w:val="22"/>
          <w:szCs w:val="22"/>
        </w:rPr>
        <w:br/>
      </w:r>
      <w:r w:rsidRPr="003C6BFC">
        <w:rPr>
          <w:rStyle w:val="VerbatimChar"/>
          <w:sz w:val="20"/>
          <w:szCs w:val="22"/>
        </w:rPr>
        <w:t>&lt;date_constraint&gt;      ::= "BETWEEN" &lt;date&gt; "AND" (&lt;date&gt; | "TODAY")</w:t>
      </w:r>
      <w:r w:rsidRPr="003C6BFC">
        <w:rPr>
          <w:sz w:val="22"/>
          <w:szCs w:val="22"/>
        </w:rPr>
        <w:br/>
      </w:r>
      <w:r w:rsidRPr="003C6BFC">
        <w:rPr>
          <w:rStyle w:val="VerbatimChar"/>
          <w:sz w:val="20"/>
          <w:szCs w:val="22"/>
        </w:rPr>
        <w:t>&lt;currency_spec&gt;        ::= "CURRENCY" &lt;currency_code&gt;</w:t>
      </w:r>
      <w:r w:rsidRPr="003C6BFC">
        <w:rPr>
          <w:sz w:val="22"/>
          <w:szCs w:val="22"/>
        </w:rPr>
        <w:br/>
      </w:r>
      <w:r w:rsidRPr="003C6BFC">
        <w:rPr>
          <w:rStyle w:val="VerbatimChar"/>
          <w:sz w:val="20"/>
          <w:szCs w:val="22"/>
        </w:rPr>
        <w:t>&lt;default_value&gt;        ::= &lt;number&gt; | &lt;identifier&gt; | &lt;boolean_literal&gt; | &lt;date&gt;</w:t>
      </w:r>
      <w:r w:rsidRPr="003C6BFC">
        <w:rPr>
          <w:sz w:val="22"/>
          <w:szCs w:val="22"/>
        </w:rPr>
        <w:br/>
      </w:r>
      <w:r w:rsidRPr="003C6BFC">
        <w:rPr>
          <w:rStyle w:val="VerbatimChar"/>
          <w:sz w:val="20"/>
          <w:szCs w:val="22"/>
        </w:rPr>
        <w:t xml:space="preserve">                         | &lt;currency_literal&gt; | &lt;identifier_list&gt;</w:t>
      </w:r>
      <w:r w:rsidRPr="003C6BFC">
        <w:rPr>
          <w:sz w:val="22"/>
          <w:szCs w:val="22"/>
        </w:rPr>
        <w:br/>
      </w:r>
      <w:r w:rsidRPr="003C6BFC">
        <w:rPr>
          <w:rStyle w:val="VerbatimChar"/>
          <w:sz w:val="20"/>
          <w:szCs w:val="22"/>
        </w:rPr>
        <w:t>&lt;identifier_list&gt;      ::= &lt;identifier&gt; ("," &lt;identifier&gt;)*</w:t>
      </w:r>
      <w:r w:rsidRPr="003C6BFC">
        <w:rPr>
          <w:sz w:val="22"/>
          <w:szCs w:val="22"/>
        </w:rPr>
        <w:br/>
      </w:r>
      <w:r w:rsidRPr="003C6BFC">
        <w:rPr>
          <w:rStyle w:val="VerbatimChar"/>
          <w:sz w:val="20"/>
          <w:szCs w:val="22"/>
        </w:rPr>
        <w:t>&lt;boolean_literal&gt;      ::= "TRUE" | "FALSE"</w:t>
      </w:r>
      <w:r w:rsidRPr="003C6BFC">
        <w:rPr>
          <w:sz w:val="22"/>
          <w:szCs w:val="22"/>
        </w:rPr>
        <w:br/>
      </w:r>
      <w:r w:rsidRPr="003C6BFC">
        <w:rPr>
          <w:sz w:val="22"/>
          <w:szCs w:val="22"/>
        </w:rPr>
        <w:br/>
      </w:r>
      <w:r w:rsidRPr="003C6BFC">
        <w:rPr>
          <w:rStyle w:val="VerbatimChar"/>
          <w:sz w:val="20"/>
          <w:szCs w:val="22"/>
        </w:rPr>
        <w:t>(* Fee Computation *)</w:t>
      </w:r>
      <w:r w:rsidRPr="003C6BFC">
        <w:rPr>
          <w:sz w:val="22"/>
          <w:szCs w:val="22"/>
        </w:rPr>
        <w:br/>
      </w:r>
      <w:r w:rsidRPr="003C6BFC">
        <w:rPr>
          <w:rStyle w:val="VerbatimChar"/>
          <w:sz w:val="20"/>
          <w:szCs w:val="22"/>
        </w:rPr>
        <w:t>&lt;fee_computation&gt;      ::= "COMPUTE" "FEE" &lt;identifier&gt; [&lt;type_params&gt;]</w:t>
      </w:r>
      <w:r w:rsidRPr="003C6BFC">
        <w:rPr>
          <w:sz w:val="22"/>
          <w:szCs w:val="22"/>
        </w:rPr>
        <w:br/>
      </w:r>
      <w:r w:rsidRPr="003C6BFC">
        <w:rPr>
          <w:rStyle w:val="VerbatimChar"/>
          <w:sz w:val="20"/>
          <w:szCs w:val="22"/>
        </w:rPr>
        <w:t xml:space="preserve">                           ["RETURN" &lt;currency_code&gt;] ["OPTIONAL"]</w:t>
      </w:r>
      <w:r w:rsidRPr="003C6BFC">
        <w:rPr>
          <w:sz w:val="22"/>
          <w:szCs w:val="22"/>
        </w:rPr>
        <w:br/>
      </w:r>
      <w:r w:rsidRPr="003C6BFC">
        <w:rPr>
          <w:rStyle w:val="VerbatimChar"/>
          <w:sz w:val="20"/>
          <w:szCs w:val="22"/>
        </w:rPr>
        <w:t xml:space="preserve">                           &lt;let_statement&gt;* &lt;case_or_yield&gt;*</w:t>
      </w:r>
      <w:r w:rsidRPr="003C6BFC">
        <w:rPr>
          <w:sz w:val="22"/>
          <w:szCs w:val="22"/>
        </w:rPr>
        <w:br/>
      </w:r>
      <w:r w:rsidRPr="003C6BFC">
        <w:rPr>
          <w:rStyle w:val="VerbatimChar"/>
          <w:sz w:val="20"/>
          <w:szCs w:val="22"/>
        </w:rPr>
        <w:t xml:space="preserve">                           "ENDCOMPUTE"</w:t>
      </w:r>
      <w:r w:rsidRPr="003C6BFC">
        <w:rPr>
          <w:sz w:val="22"/>
          <w:szCs w:val="22"/>
        </w:rPr>
        <w:br/>
      </w:r>
      <w:r w:rsidRPr="003C6BFC">
        <w:rPr>
          <w:rStyle w:val="VerbatimChar"/>
          <w:sz w:val="20"/>
          <w:szCs w:val="22"/>
        </w:rPr>
        <w:t>&lt;type_params&gt;          ::= "&lt;" &lt;type_variable&gt; "&gt;"</w:t>
      </w:r>
      <w:r w:rsidRPr="003C6BFC">
        <w:rPr>
          <w:sz w:val="22"/>
          <w:szCs w:val="22"/>
        </w:rPr>
        <w:br/>
      </w:r>
      <w:r w:rsidRPr="003C6BFC">
        <w:rPr>
          <w:rStyle w:val="VerbatimChar"/>
          <w:sz w:val="20"/>
          <w:szCs w:val="22"/>
        </w:rPr>
        <w:lastRenderedPageBreak/>
        <w:t>&lt;type_variable&gt;        ::= &lt;upper_letter&gt;</w:t>
      </w:r>
      <w:r w:rsidRPr="003C6BFC">
        <w:rPr>
          <w:sz w:val="22"/>
          <w:szCs w:val="22"/>
        </w:rPr>
        <w:br/>
      </w:r>
      <w:r w:rsidRPr="003C6BFC">
        <w:rPr>
          <w:rStyle w:val="VerbatimChar"/>
          <w:sz w:val="20"/>
          <w:szCs w:val="22"/>
        </w:rPr>
        <w:t>&lt;let_statement&gt;        ::= "LET" &lt;identifier&gt; "AS" &lt;expression&gt;</w:t>
      </w:r>
      <w:r w:rsidRPr="003C6BFC">
        <w:rPr>
          <w:sz w:val="22"/>
          <w:szCs w:val="22"/>
        </w:rPr>
        <w:br/>
      </w:r>
      <w:r w:rsidRPr="003C6BFC">
        <w:rPr>
          <w:rStyle w:val="VerbatimChar"/>
          <w:sz w:val="20"/>
          <w:szCs w:val="22"/>
        </w:rPr>
        <w:t>&lt;case_or_yield&gt;        ::= &lt;case_block&gt; | &lt;yield_statement&gt;</w:t>
      </w:r>
      <w:r w:rsidRPr="003C6BFC">
        <w:rPr>
          <w:sz w:val="22"/>
          <w:szCs w:val="22"/>
        </w:rPr>
        <w:br/>
      </w:r>
      <w:r w:rsidRPr="003C6BFC">
        <w:rPr>
          <w:rStyle w:val="VerbatimChar"/>
          <w:sz w:val="20"/>
          <w:szCs w:val="22"/>
        </w:rPr>
        <w:t>&lt;case_block&gt;           ::= "CASE" &lt;condition&gt; "AS" &lt;yield_statement&gt;+ "ENDCASE"</w:t>
      </w:r>
      <w:r w:rsidRPr="003C6BFC">
        <w:rPr>
          <w:sz w:val="22"/>
          <w:szCs w:val="22"/>
        </w:rPr>
        <w:br/>
      </w:r>
      <w:r w:rsidRPr="003C6BFC">
        <w:rPr>
          <w:rStyle w:val="VerbatimChar"/>
          <w:sz w:val="20"/>
          <w:szCs w:val="22"/>
        </w:rPr>
        <w:t>&lt;yield_statement&gt;      ::= "YIELD" &lt;expression&gt; ["IF" &lt;condition&gt;]</w:t>
      </w:r>
      <w:r w:rsidRPr="003C6BFC">
        <w:rPr>
          <w:sz w:val="22"/>
          <w:szCs w:val="22"/>
        </w:rPr>
        <w:br/>
      </w:r>
      <w:r w:rsidRPr="003C6BFC">
        <w:rPr>
          <w:sz w:val="22"/>
          <w:szCs w:val="22"/>
        </w:rPr>
        <w:br/>
      </w:r>
      <w:r w:rsidRPr="003C6BFC">
        <w:rPr>
          <w:rStyle w:val="VerbatimChar"/>
          <w:sz w:val="20"/>
          <w:szCs w:val="22"/>
        </w:rPr>
        <w:t>(* Verification Directives *)</w:t>
      </w:r>
      <w:r w:rsidRPr="003C6BFC">
        <w:rPr>
          <w:sz w:val="22"/>
          <w:szCs w:val="22"/>
        </w:rPr>
        <w:br/>
      </w:r>
      <w:r w:rsidRPr="003C6BFC">
        <w:rPr>
          <w:rStyle w:val="VerbatimChar"/>
          <w:sz w:val="20"/>
          <w:szCs w:val="22"/>
        </w:rPr>
        <w:t>&lt;verification&gt;         ::= &lt;verify_complete&gt; | &lt;verify_monotonic&gt;</w:t>
      </w:r>
      <w:r w:rsidRPr="003C6BFC">
        <w:rPr>
          <w:sz w:val="22"/>
          <w:szCs w:val="22"/>
        </w:rPr>
        <w:br/>
      </w:r>
      <w:r w:rsidRPr="003C6BFC">
        <w:rPr>
          <w:rStyle w:val="VerbatimChar"/>
          <w:sz w:val="20"/>
          <w:szCs w:val="22"/>
        </w:rPr>
        <w:t>&lt;verify_complete&gt;      ::= "VERIFY" "COMPLETE" "FEE" &lt;identifier&gt;</w:t>
      </w:r>
      <w:r w:rsidRPr="003C6BFC">
        <w:rPr>
          <w:sz w:val="22"/>
          <w:szCs w:val="22"/>
        </w:rPr>
        <w:br/>
      </w:r>
      <w:r w:rsidRPr="003C6BFC">
        <w:rPr>
          <w:rStyle w:val="VerbatimChar"/>
          <w:sz w:val="20"/>
          <w:szCs w:val="22"/>
        </w:rPr>
        <w:t>&lt;verify_monotonic&gt;     ::= "VERIFY" "MONOTONIC" "FEE" &lt;identifier&gt;</w:t>
      </w:r>
      <w:r w:rsidRPr="003C6BFC">
        <w:rPr>
          <w:sz w:val="22"/>
          <w:szCs w:val="22"/>
        </w:rPr>
        <w:br/>
      </w:r>
      <w:r w:rsidRPr="003C6BFC">
        <w:rPr>
          <w:rStyle w:val="VerbatimChar"/>
          <w:sz w:val="20"/>
          <w:szCs w:val="22"/>
        </w:rPr>
        <w:t xml:space="preserve">                           "WITH" "RESPECT" "TO" &lt;identifier&gt;</w:t>
      </w:r>
      <w:r w:rsidRPr="003C6BFC">
        <w:rPr>
          <w:sz w:val="22"/>
          <w:szCs w:val="22"/>
        </w:rPr>
        <w:br/>
      </w:r>
      <w:r w:rsidRPr="003C6BFC">
        <w:rPr>
          <w:rStyle w:val="VerbatimChar"/>
          <w:sz w:val="20"/>
          <w:szCs w:val="22"/>
        </w:rPr>
        <w:t xml:space="preserve">                           ["DIRECTION" &lt;direction&gt;]</w:t>
      </w:r>
      <w:r w:rsidRPr="003C6BFC">
        <w:rPr>
          <w:sz w:val="22"/>
          <w:szCs w:val="22"/>
        </w:rPr>
        <w:br/>
      </w:r>
      <w:r w:rsidRPr="003C6BFC">
        <w:rPr>
          <w:rStyle w:val="VerbatimChar"/>
          <w:sz w:val="20"/>
          <w:szCs w:val="22"/>
        </w:rPr>
        <w:t>&lt;direction&gt;            ::= "NonDecreasing" | "NonIncreasing"</w:t>
      </w:r>
      <w:r w:rsidRPr="003C6BFC">
        <w:rPr>
          <w:sz w:val="22"/>
          <w:szCs w:val="22"/>
        </w:rPr>
        <w:br/>
      </w:r>
      <w:r w:rsidRPr="003C6BFC">
        <w:rPr>
          <w:rStyle w:val="VerbatimChar"/>
          <w:sz w:val="20"/>
          <w:szCs w:val="22"/>
        </w:rPr>
        <w:t xml:space="preserve">                         | "StrictlyIncreasing" | "StrictlyDecreasing"</w:t>
      </w:r>
      <w:r w:rsidRPr="003C6BFC">
        <w:rPr>
          <w:sz w:val="22"/>
          <w:szCs w:val="22"/>
        </w:rPr>
        <w:br/>
      </w:r>
      <w:r w:rsidRPr="003C6BFC">
        <w:rPr>
          <w:sz w:val="22"/>
          <w:szCs w:val="22"/>
        </w:rPr>
        <w:br/>
      </w:r>
      <w:r w:rsidRPr="003C6BFC">
        <w:rPr>
          <w:rStyle w:val="VerbatimChar"/>
          <w:sz w:val="20"/>
          <w:szCs w:val="22"/>
        </w:rPr>
        <w:t>(* Return Statement *)</w:t>
      </w:r>
      <w:r w:rsidRPr="003C6BFC">
        <w:rPr>
          <w:sz w:val="22"/>
          <w:szCs w:val="22"/>
        </w:rPr>
        <w:br/>
      </w:r>
      <w:r w:rsidRPr="003C6BFC">
        <w:rPr>
          <w:rStyle w:val="VerbatimChar"/>
          <w:sz w:val="20"/>
          <w:szCs w:val="22"/>
        </w:rPr>
        <w:t>&lt;return&gt;               ::= "RETURN" &lt;identifier&gt; "AS" &lt;string&gt;</w:t>
      </w:r>
      <w:r w:rsidRPr="003C6BFC">
        <w:rPr>
          <w:sz w:val="22"/>
          <w:szCs w:val="22"/>
        </w:rPr>
        <w:br/>
      </w:r>
      <w:r w:rsidRPr="003C6BFC">
        <w:rPr>
          <w:sz w:val="22"/>
          <w:szCs w:val="22"/>
        </w:rPr>
        <w:br/>
      </w:r>
      <w:r w:rsidRPr="003C6BFC">
        <w:rPr>
          <w:rStyle w:val="VerbatimChar"/>
          <w:sz w:val="20"/>
          <w:szCs w:val="22"/>
        </w:rPr>
        <w:t>(* Expressions *)</w:t>
      </w:r>
      <w:r w:rsidRPr="003C6BFC">
        <w:rPr>
          <w:sz w:val="22"/>
          <w:szCs w:val="22"/>
        </w:rPr>
        <w:br/>
      </w:r>
      <w:r w:rsidRPr="003C6BFC">
        <w:rPr>
          <w:rStyle w:val="VerbatimChar"/>
          <w:sz w:val="20"/>
          <w:szCs w:val="22"/>
        </w:rPr>
        <w:t>&lt;expression&gt;           ::= &lt;term&gt; (("+" | "-") &lt;term&gt;)*</w:t>
      </w:r>
      <w:r w:rsidRPr="003C6BFC">
        <w:rPr>
          <w:sz w:val="22"/>
          <w:szCs w:val="22"/>
        </w:rPr>
        <w:br/>
      </w:r>
      <w:r w:rsidRPr="003C6BFC">
        <w:rPr>
          <w:rStyle w:val="VerbatimChar"/>
          <w:sz w:val="20"/>
          <w:szCs w:val="22"/>
        </w:rPr>
        <w:t>&lt;term&gt;                 ::= &lt;factor&gt; (("*" | "/") &lt;factor&gt;)*</w:t>
      </w:r>
      <w:r w:rsidRPr="003C6BFC">
        <w:rPr>
          <w:sz w:val="22"/>
          <w:szCs w:val="22"/>
        </w:rPr>
        <w:br/>
      </w:r>
      <w:r w:rsidRPr="003C6BFC">
        <w:rPr>
          <w:rStyle w:val="VerbatimChar"/>
          <w:sz w:val="20"/>
          <w:szCs w:val="22"/>
        </w:rPr>
        <w:t>&lt;factor&gt;               ::= &lt;number&gt; | &lt;currency_literal&gt; | &lt;identifier&gt;</w:t>
      </w:r>
      <w:r w:rsidRPr="003C6BFC">
        <w:rPr>
          <w:sz w:val="22"/>
          <w:szCs w:val="22"/>
        </w:rPr>
        <w:br/>
      </w:r>
      <w:r w:rsidRPr="003C6BFC">
        <w:rPr>
          <w:rStyle w:val="VerbatimChar"/>
          <w:sz w:val="20"/>
          <w:szCs w:val="22"/>
        </w:rPr>
        <w:t xml:space="preserve">                         | &lt;property_access&gt; | &lt;function_call&gt; | "(" &lt;expression&gt; ")"</w:t>
      </w:r>
      <w:r w:rsidRPr="003C6BFC">
        <w:rPr>
          <w:sz w:val="22"/>
          <w:szCs w:val="22"/>
        </w:rPr>
        <w:br/>
      </w:r>
      <w:r w:rsidRPr="003C6BFC">
        <w:rPr>
          <w:rStyle w:val="VerbatimChar"/>
          <w:sz w:val="20"/>
          <w:szCs w:val="22"/>
        </w:rPr>
        <w:t>&lt;currency_literal&gt;     ::= &lt;number&gt; "&lt;" (&lt;currency_code&gt; | &lt;type_variable&gt;) "&gt;"</w:t>
      </w:r>
      <w:r w:rsidRPr="003C6BFC">
        <w:rPr>
          <w:sz w:val="22"/>
          <w:szCs w:val="22"/>
        </w:rPr>
        <w:br/>
      </w:r>
      <w:r w:rsidRPr="003C6BFC">
        <w:rPr>
          <w:rStyle w:val="VerbatimChar"/>
          <w:sz w:val="20"/>
          <w:szCs w:val="22"/>
        </w:rPr>
        <w:t>&lt;property_access&gt;      ::= &lt;identifier&gt; "!" &lt;property_name&gt;</w:t>
      </w:r>
      <w:r w:rsidRPr="003C6BFC">
        <w:rPr>
          <w:sz w:val="22"/>
          <w:szCs w:val="22"/>
        </w:rPr>
        <w:br/>
      </w:r>
      <w:r w:rsidRPr="003C6BFC">
        <w:rPr>
          <w:rStyle w:val="VerbatimChar"/>
          <w:sz w:val="20"/>
          <w:szCs w:val="22"/>
        </w:rPr>
        <w:t>&lt;property_name&gt;        ::= "COUNT" | "YEARSTONOW" | "MONTHSTONOW" | "DAYSTONOW"</w:t>
      </w:r>
      <w:r w:rsidRPr="003C6BFC">
        <w:rPr>
          <w:sz w:val="22"/>
          <w:szCs w:val="22"/>
        </w:rPr>
        <w:br/>
      </w:r>
      <w:r w:rsidRPr="003C6BFC">
        <w:rPr>
          <w:rStyle w:val="VerbatimChar"/>
          <w:sz w:val="20"/>
          <w:szCs w:val="22"/>
        </w:rPr>
        <w:t xml:space="preserve">                         | "MONTHSTONOW_FROMLASTDAY"</w:t>
      </w:r>
      <w:r w:rsidRPr="003C6BFC">
        <w:rPr>
          <w:sz w:val="22"/>
          <w:szCs w:val="22"/>
        </w:rPr>
        <w:br/>
      </w:r>
      <w:r w:rsidRPr="003C6BFC">
        <w:rPr>
          <w:rStyle w:val="VerbatimChar"/>
          <w:sz w:val="20"/>
          <w:szCs w:val="22"/>
        </w:rPr>
        <w:t>&lt;function_call&gt;        ::= ("ROUND" | "FLOOR" | "CEIL") "(" &lt;expression&gt; ")"</w:t>
      </w:r>
      <w:r w:rsidRPr="003C6BFC">
        <w:rPr>
          <w:sz w:val="22"/>
          <w:szCs w:val="22"/>
        </w:rPr>
        <w:br/>
      </w:r>
      <w:r w:rsidRPr="003C6BFC">
        <w:rPr>
          <w:rStyle w:val="VerbatimChar"/>
          <w:sz w:val="20"/>
          <w:szCs w:val="22"/>
        </w:rPr>
        <w:t xml:space="preserve">                         | "CONVERT" "(" &lt;expression&gt; "," &lt;currency_code&gt; "," &lt;currency_code&gt; ")"</w:t>
      </w:r>
      <w:r w:rsidRPr="003C6BFC">
        <w:rPr>
          <w:sz w:val="22"/>
          <w:szCs w:val="22"/>
        </w:rPr>
        <w:br/>
      </w:r>
      <w:r w:rsidRPr="003C6BFC">
        <w:rPr>
          <w:sz w:val="22"/>
          <w:szCs w:val="22"/>
        </w:rPr>
        <w:br/>
      </w:r>
      <w:r w:rsidRPr="003C6BFC">
        <w:rPr>
          <w:rStyle w:val="VerbatimChar"/>
          <w:sz w:val="20"/>
          <w:szCs w:val="22"/>
        </w:rPr>
        <w:t>(* Conditions *)</w:t>
      </w:r>
      <w:r w:rsidRPr="003C6BFC">
        <w:rPr>
          <w:sz w:val="22"/>
          <w:szCs w:val="22"/>
        </w:rPr>
        <w:br/>
      </w:r>
      <w:r w:rsidRPr="003C6BFC">
        <w:rPr>
          <w:rStyle w:val="VerbatimChar"/>
          <w:sz w:val="20"/>
          <w:szCs w:val="22"/>
        </w:rPr>
        <w:t>&lt;condition&gt;            ::= &lt;or_condition&gt;</w:t>
      </w:r>
      <w:r w:rsidRPr="003C6BFC">
        <w:rPr>
          <w:sz w:val="22"/>
          <w:szCs w:val="22"/>
        </w:rPr>
        <w:br/>
      </w:r>
      <w:r w:rsidRPr="003C6BFC">
        <w:rPr>
          <w:rStyle w:val="VerbatimChar"/>
          <w:sz w:val="20"/>
          <w:szCs w:val="22"/>
        </w:rPr>
        <w:t>&lt;or_condition&gt;         ::= &lt;and_condition&gt; ("OR" &lt;and_condition&gt;)*</w:t>
      </w:r>
      <w:r w:rsidRPr="003C6BFC">
        <w:rPr>
          <w:sz w:val="22"/>
          <w:szCs w:val="22"/>
        </w:rPr>
        <w:br/>
      </w:r>
      <w:r w:rsidRPr="003C6BFC">
        <w:rPr>
          <w:rStyle w:val="VerbatimChar"/>
          <w:sz w:val="20"/>
          <w:szCs w:val="22"/>
        </w:rPr>
        <w:t>&lt;and_condition&gt;        ::= &lt;primary_condition&gt; ("AND" &lt;primary_condition&gt;)*</w:t>
      </w:r>
      <w:r w:rsidRPr="003C6BFC">
        <w:rPr>
          <w:sz w:val="22"/>
          <w:szCs w:val="22"/>
        </w:rPr>
        <w:br/>
      </w:r>
      <w:r w:rsidRPr="003C6BFC">
        <w:rPr>
          <w:rStyle w:val="VerbatimChar"/>
          <w:sz w:val="20"/>
          <w:szCs w:val="22"/>
        </w:rPr>
        <w:t>&lt;primary_condition&gt;    ::= &lt;expression&gt; &lt;comparison_op&gt; &lt;expression&gt;</w:t>
      </w:r>
      <w:r w:rsidRPr="003C6BFC">
        <w:rPr>
          <w:sz w:val="22"/>
          <w:szCs w:val="22"/>
        </w:rPr>
        <w:br/>
      </w:r>
      <w:r w:rsidRPr="003C6BFC">
        <w:rPr>
          <w:rStyle w:val="VerbatimChar"/>
          <w:sz w:val="20"/>
          <w:szCs w:val="22"/>
        </w:rPr>
        <w:t xml:space="preserve">                         | &lt;identifier&gt; ("IN" | "NIN") &lt;identifier&gt;</w:t>
      </w:r>
      <w:r w:rsidRPr="003C6BFC">
        <w:rPr>
          <w:sz w:val="22"/>
          <w:szCs w:val="22"/>
        </w:rPr>
        <w:br/>
      </w:r>
      <w:r w:rsidRPr="003C6BFC">
        <w:rPr>
          <w:rStyle w:val="VerbatimChar"/>
          <w:sz w:val="20"/>
          <w:szCs w:val="22"/>
        </w:rPr>
        <w:t xml:space="preserve">                         | &lt;identifier&gt;   (* Boolean variable reference *)</w:t>
      </w:r>
      <w:r w:rsidRPr="003C6BFC">
        <w:rPr>
          <w:sz w:val="22"/>
          <w:szCs w:val="22"/>
        </w:rPr>
        <w:br/>
      </w:r>
      <w:r w:rsidRPr="003C6BFC">
        <w:rPr>
          <w:rStyle w:val="VerbatimChar"/>
          <w:sz w:val="20"/>
          <w:szCs w:val="22"/>
        </w:rPr>
        <w:t xml:space="preserve">                         | "(" &lt;condition&gt; ")"</w:t>
      </w:r>
      <w:r w:rsidRPr="003C6BFC">
        <w:rPr>
          <w:sz w:val="22"/>
          <w:szCs w:val="22"/>
        </w:rPr>
        <w:br/>
      </w:r>
      <w:r w:rsidRPr="003C6BFC">
        <w:rPr>
          <w:sz w:val="22"/>
          <w:szCs w:val="22"/>
        </w:rPr>
        <w:br/>
      </w:r>
      <w:r w:rsidRPr="003C6BFC">
        <w:rPr>
          <w:rStyle w:val="VerbatimChar"/>
          <w:sz w:val="20"/>
          <w:szCs w:val="22"/>
        </w:rPr>
        <w:t>&lt;comparison_op&gt;        ::= "EQ" | "NEQ" | "GT" | "LT" | "GTE" | "LTE"</w:t>
      </w:r>
      <w:r w:rsidRPr="003C6BFC">
        <w:rPr>
          <w:sz w:val="22"/>
          <w:szCs w:val="22"/>
        </w:rPr>
        <w:br/>
      </w:r>
      <w:r w:rsidRPr="003C6BFC">
        <w:rPr>
          <w:sz w:val="22"/>
          <w:szCs w:val="22"/>
        </w:rPr>
        <w:br/>
      </w:r>
      <w:r w:rsidRPr="003C6BFC">
        <w:rPr>
          <w:rStyle w:val="VerbatimChar"/>
          <w:sz w:val="20"/>
          <w:szCs w:val="22"/>
        </w:rPr>
        <w:t>(* Lexical Elements *)</w:t>
      </w:r>
      <w:r w:rsidRPr="003C6BFC">
        <w:rPr>
          <w:sz w:val="22"/>
          <w:szCs w:val="22"/>
        </w:rPr>
        <w:br/>
      </w:r>
      <w:r w:rsidRPr="003C6BFC">
        <w:rPr>
          <w:rStyle w:val="VerbatimChar"/>
          <w:sz w:val="20"/>
          <w:szCs w:val="22"/>
        </w:rPr>
        <w:t>&lt;identifier&gt;           ::= &lt;letter&gt; (&lt;letter&gt; | &lt;digit&gt; | "_")*</w:t>
      </w:r>
      <w:r w:rsidRPr="003C6BFC">
        <w:rPr>
          <w:sz w:val="22"/>
          <w:szCs w:val="22"/>
        </w:rPr>
        <w:br/>
      </w:r>
      <w:r w:rsidRPr="003C6BFC">
        <w:rPr>
          <w:rStyle w:val="VerbatimChar"/>
          <w:sz w:val="20"/>
          <w:szCs w:val="22"/>
        </w:rPr>
        <w:t>&lt;number&gt;               ::= &lt;digit&gt;+ ("." &lt;digit&gt;+)?</w:t>
      </w:r>
      <w:r w:rsidRPr="003C6BFC">
        <w:rPr>
          <w:sz w:val="22"/>
          <w:szCs w:val="22"/>
        </w:rPr>
        <w:br/>
      </w:r>
      <w:r w:rsidRPr="003C6BFC">
        <w:rPr>
          <w:rStyle w:val="VerbatimChar"/>
          <w:sz w:val="20"/>
          <w:szCs w:val="22"/>
        </w:rPr>
        <w:t>&lt;string&gt;               ::= "'" {&lt;any_char&gt; - "'"} "'"</w:t>
      </w:r>
      <w:r w:rsidRPr="003C6BFC">
        <w:rPr>
          <w:sz w:val="22"/>
          <w:szCs w:val="22"/>
        </w:rPr>
        <w:br/>
      </w:r>
      <w:r w:rsidRPr="003C6BFC">
        <w:rPr>
          <w:rStyle w:val="VerbatimChar"/>
          <w:sz w:val="20"/>
          <w:szCs w:val="22"/>
        </w:rPr>
        <w:t>&lt;currency_code&gt;        ::= &lt;upper_letter&gt; &lt;upper_letter&gt; &lt;upper_letter&gt;</w:t>
      </w:r>
      <w:r w:rsidRPr="003C6BFC">
        <w:rPr>
          <w:sz w:val="22"/>
          <w:szCs w:val="22"/>
        </w:rPr>
        <w:br/>
      </w:r>
      <w:r w:rsidRPr="003C6BFC">
        <w:rPr>
          <w:rStyle w:val="VerbatimChar"/>
          <w:sz w:val="20"/>
          <w:szCs w:val="22"/>
        </w:rPr>
        <w:t>&lt;date&gt;                 ::= &lt;day&gt; "." &lt;month&gt; "." &lt;year&gt; | "TODAY"</w:t>
      </w:r>
      <w:r w:rsidRPr="003C6BFC">
        <w:rPr>
          <w:sz w:val="22"/>
          <w:szCs w:val="22"/>
        </w:rPr>
        <w:br/>
      </w:r>
      <w:r w:rsidRPr="003C6BFC">
        <w:rPr>
          <w:rStyle w:val="VerbatimChar"/>
          <w:sz w:val="20"/>
          <w:szCs w:val="22"/>
        </w:rPr>
        <w:t>&lt;day&gt;                  ::= &lt;digit&gt; &lt;digit&gt;?</w:t>
      </w:r>
      <w:r w:rsidRPr="003C6BFC">
        <w:rPr>
          <w:sz w:val="22"/>
          <w:szCs w:val="22"/>
        </w:rPr>
        <w:br/>
      </w:r>
      <w:r w:rsidRPr="003C6BFC">
        <w:rPr>
          <w:rStyle w:val="VerbatimChar"/>
          <w:sz w:val="20"/>
          <w:szCs w:val="22"/>
        </w:rPr>
        <w:t>&lt;month&gt;                ::= &lt;digit&gt; &lt;digit&gt;?</w:t>
      </w:r>
      <w:r w:rsidRPr="003C6BFC">
        <w:rPr>
          <w:sz w:val="22"/>
          <w:szCs w:val="22"/>
        </w:rPr>
        <w:br/>
      </w:r>
      <w:r w:rsidRPr="003C6BFC">
        <w:rPr>
          <w:rStyle w:val="VerbatimChar"/>
          <w:sz w:val="20"/>
          <w:szCs w:val="22"/>
        </w:rPr>
        <w:t>&lt;year&gt;                 ::= &lt;digit&gt; &lt;digit&gt; &lt;digit&gt; &lt;digit&gt;</w:t>
      </w:r>
      <w:r w:rsidRPr="003C6BFC">
        <w:rPr>
          <w:sz w:val="22"/>
          <w:szCs w:val="22"/>
        </w:rPr>
        <w:br/>
      </w:r>
      <w:r w:rsidRPr="003C6BFC">
        <w:rPr>
          <w:rStyle w:val="VerbatimChar"/>
          <w:sz w:val="20"/>
          <w:szCs w:val="22"/>
        </w:rPr>
        <w:t>&lt;letter&gt;               ::= "A" | ... | "Z" | "a" | ... | "z"</w:t>
      </w:r>
      <w:r w:rsidRPr="003C6BFC">
        <w:rPr>
          <w:sz w:val="22"/>
          <w:szCs w:val="22"/>
        </w:rPr>
        <w:br/>
      </w:r>
      <w:r w:rsidRPr="003C6BFC">
        <w:rPr>
          <w:rStyle w:val="VerbatimChar"/>
          <w:sz w:val="20"/>
          <w:szCs w:val="22"/>
        </w:rPr>
        <w:t>&lt;upper_letter&gt;         ::= "A" | ... | "Z"</w:t>
      </w:r>
      <w:r w:rsidRPr="003C6BFC">
        <w:rPr>
          <w:sz w:val="22"/>
          <w:szCs w:val="22"/>
        </w:rPr>
        <w:br/>
      </w:r>
      <w:r w:rsidRPr="003C6BFC">
        <w:rPr>
          <w:rStyle w:val="VerbatimChar"/>
          <w:sz w:val="20"/>
          <w:szCs w:val="22"/>
        </w:rPr>
        <w:t>&lt;digit&gt;                ::= "0" | ... | "9"</w:t>
      </w:r>
    </w:p>
    <w:p w14:paraId="31DA06BB" w14:textId="77777777" w:rsidR="0054548D" w:rsidRDefault="00000000">
      <w:pPr>
        <w:pStyle w:val="FirstParagraph"/>
      </w:pPr>
      <w:r>
        <w:lastRenderedPageBreak/>
        <w:t xml:space="preserve">A bare </w:t>
      </w:r>
      <w:r>
        <w:rPr>
          <w:rStyle w:val="VerbatimChar"/>
        </w:rPr>
        <w:t>&lt;identifier&gt;</w:t>
      </w:r>
      <w:r>
        <w:t xml:space="preserve"> in a condition context must reference a BOOLEAN input variable; it evaluates to that variable’s Boolean value.</w:t>
      </w:r>
    </w:p>
    <w:p w14:paraId="1440FBB8" w14:textId="77777777" w:rsidR="0054548D" w:rsidRDefault="00000000">
      <w:pPr>
        <w:pStyle w:val="Heading1"/>
      </w:pPr>
      <w:bookmarkStart w:id="30" w:name="type-system-and-static-verification"/>
      <w:bookmarkEnd w:id="13"/>
      <w:bookmarkEnd w:id="29"/>
      <w:r>
        <w:t>4. Type System and Static Verification</w:t>
      </w:r>
    </w:p>
    <w:p w14:paraId="1C0575C6" w14:textId="77777777" w:rsidR="0054548D" w:rsidRDefault="00000000">
      <w:pPr>
        <w:pStyle w:val="Heading3"/>
      </w:pPr>
      <w:bookmarkStart w:id="31" w:name="currency-aware-type-system"/>
      <w:r>
        <w:t>4.1 Currency-Aware Type System</w:t>
      </w:r>
    </w:p>
    <w:p w14:paraId="1883DBB0" w14:textId="77777777" w:rsidR="0054548D" w:rsidRDefault="00000000">
      <w:pPr>
        <w:pStyle w:val="FirstParagraph"/>
      </w:pPr>
      <w:r>
        <w:t>IPFLang employs a dimensional type system preventing cross-currency arithmetic errors at compile time, analogous to units-of-measure checking in scientific computing [11]. The system supports all 161 ISO 4217 currency codes. The approach to currency as a type parameter draws on similar patterns in language standards for monetary computation, such as JSR-354 (Java Money and Currency API) [24], which defines standard interfaces for representing and manipulating monetary amounts in type-safe ways.</w:t>
      </w:r>
    </w:p>
    <w:p w14:paraId="158FAF9B" w14:textId="77777777" w:rsidR="0054548D" w:rsidRDefault="00000000">
      <w:pPr>
        <w:pStyle w:val="Heading4"/>
      </w:pPr>
      <w:bookmarkStart w:id="32" w:name="type-language"/>
      <w:r>
        <w:t>4.1.1 Type Language</w:t>
      </w:r>
    </w:p>
    <w:p w14:paraId="7B8C47B2" w14:textId="77777777" w:rsidR="003C6BFC" w:rsidRDefault="003C6BFC" w:rsidP="003C6BFC">
      <w:pPr>
        <w:pStyle w:val="BodyText"/>
        <w:jc w:val="center"/>
      </w:pPr>
      <w:r>
        <w:rPr>
          <w:noProof/>
        </w:rPr>
        <w:drawing>
          <wp:inline distT="0" distB="0" distL="0" distR="0" wp14:anchorId="6896FB68" wp14:editId="0337C177">
            <wp:extent cx="5486400" cy="1618129"/>
            <wp:effectExtent l="0" t="0" r="0" b="0"/>
            <wp:docPr id="141090134"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FA7849B" w14:textId="77777777" w:rsidR="003C6BFC" w:rsidRDefault="003C6BFC" w:rsidP="003C6BFC">
      <w:pPr>
        <w:pStyle w:val="Caption"/>
      </w:pPr>
      <w:bookmarkStart w:id="33" w:name="_Ref217032738"/>
      <w:r>
        <w:t xml:space="preserve">Figure </w:t>
      </w:r>
      <w:r>
        <w:fldChar w:fldCharType="begin"/>
      </w:r>
      <w:r>
        <w:instrText xml:space="preserve"> SEQ Figure \* ARABIC </w:instrText>
      </w:r>
      <w:r>
        <w:fldChar w:fldCharType="separate"/>
      </w:r>
      <w:r>
        <w:rPr>
          <w:noProof/>
        </w:rPr>
        <w:t>2</w:t>
      </w:r>
      <w:r>
        <w:rPr>
          <w:noProof/>
        </w:rPr>
        <w:fldChar w:fldCharType="end"/>
      </w:r>
      <w:bookmarkEnd w:id="33"/>
      <w:r>
        <w:t xml:space="preserve"> – </w:t>
      </w:r>
      <w:proofErr w:type="spellStart"/>
      <w:r>
        <w:t>IPFLang</w:t>
      </w:r>
      <w:proofErr w:type="spellEnd"/>
      <w:r>
        <w:t xml:space="preserve"> type hierarchy and currency typing rules</w:t>
      </w:r>
    </w:p>
    <w:p w14:paraId="5E0220DB" w14:textId="107EDB60" w:rsidR="0054548D" w:rsidRDefault="0054548D">
      <w:pPr>
        <w:pStyle w:val="BodyText"/>
      </w:pPr>
      <w:hyperlink w:anchor="Xc70e63c4093e9375405e37f8f517befb78079de">
        <w:r>
          <w:rPr>
            <w:rStyle w:val="Hyperlink"/>
          </w:rPr>
          <w:t>Figure 2</w:t>
        </w:r>
      </w:hyperlink>
      <w:r w:rsidR="00000000">
        <w:t xml:space="preserve"> shows the type language which extends basic types with currency-parameterized amounts:</w:t>
      </w:r>
    </w:p>
    <w:p w14:paraId="12B35B5C" w14:textId="77777777" w:rsidR="0054548D" w:rsidRDefault="00000000">
      <w:pPr>
        <w:pStyle w:val="BlockText"/>
      </w:pPr>
      <w:r>
        <w:t>τ ::= Num -- dimensionless numbers</w:t>
      </w:r>
    </w:p>
    <w:p w14:paraId="05C49E2F" w14:textId="77777777" w:rsidR="0054548D" w:rsidRDefault="00000000">
      <w:pPr>
        <w:pStyle w:val="BlockText"/>
      </w:pPr>
      <w:r>
        <w:t>| Bool -- Boolean values</w:t>
      </w:r>
    </w:p>
    <w:p w14:paraId="62F528AB" w14:textId="77777777" w:rsidR="0054548D" w:rsidRDefault="00000000">
      <w:pPr>
        <w:pStyle w:val="BlockText"/>
      </w:pPr>
      <w:r>
        <w:t>| Sym -- symbolic identifiers (LIST choices)</w:t>
      </w:r>
    </w:p>
    <w:p w14:paraId="72261FC7" w14:textId="77777777" w:rsidR="0054548D" w:rsidRDefault="00000000">
      <w:pPr>
        <w:pStyle w:val="BlockText"/>
      </w:pPr>
      <w:r>
        <w:t>| Date -- date values</w:t>
      </w:r>
    </w:p>
    <w:p w14:paraId="3B9E1891" w14:textId="77777777" w:rsidR="0054548D" w:rsidRDefault="00000000">
      <w:pPr>
        <w:pStyle w:val="BlockText"/>
      </w:pPr>
      <w:r>
        <w:t>| SymList -- symbol lists (MULTILIST selections)</w:t>
      </w:r>
    </w:p>
    <w:p w14:paraId="3B215582" w14:textId="77777777" w:rsidR="0054548D" w:rsidRDefault="00000000">
      <w:pPr>
        <w:pStyle w:val="BlockText"/>
      </w:pPr>
      <w:r>
        <w:t>| Amt[c] -- monetary amounts, c ∈ ISO-4217</w:t>
      </w:r>
    </w:p>
    <w:p w14:paraId="08DA261C" w14:textId="77777777" w:rsidR="0054548D" w:rsidRDefault="00000000">
      <w:pPr>
        <w:pStyle w:val="BlockText"/>
      </w:pPr>
      <w:r>
        <w:t>| α -- type variables (for polymorphic fees)</w:t>
      </w:r>
    </w:p>
    <w:p w14:paraId="33F4B765" w14:textId="77777777" w:rsidR="0054548D" w:rsidRDefault="00000000">
      <w:pPr>
        <w:pStyle w:val="BlockText"/>
      </w:pPr>
      <w:r>
        <w:t>σ :: = τ | ∀α. σ-- type schemes (polymorphic types)</w:t>
      </w:r>
    </w:p>
    <w:p w14:paraId="4E2C7282" w14:textId="77777777" w:rsidR="0054548D" w:rsidRDefault="00000000">
      <w:pPr>
        <w:pStyle w:val="BlockText"/>
      </w:pPr>
      <w:r>
        <w:t>where:</w:t>
      </w:r>
    </w:p>
    <w:p w14:paraId="1A31D6BF" w14:textId="77777777" w:rsidR="0054548D" w:rsidRDefault="00000000">
      <w:pPr>
        <w:numPr>
          <w:ilvl w:val="0"/>
          <w:numId w:val="4"/>
        </w:numPr>
      </w:pPr>
      <w:r>
        <w:t>Num represents dimensionless numbers used for counts and arithmetic</w:t>
      </w:r>
    </w:p>
    <w:p w14:paraId="050817FC" w14:textId="77777777" w:rsidR="0054548D" w:rsidRDefault="00000000">
      <w:pPr>
        <w:numPr>
          <w:ilvl w:val="0"/>
          <w:numId w:val="4"/>
        </w:numPr>
      </w:pPr>
      <w:r>
        <w:t>Bool represents Boolean values TRUE and FALSE</w:t>
      </w:r>
    </w:p>
    <w:p w14:paraId="228CD3AC" w14:textId="77777777" w:rsidR="0054548D" w:rsidRDefault="00000000">
      <w:pPr>
        <w:numPr>
          <w:ilvl w:val="0"/>
          <w:numId w:val="4"/>
        </w:numPr>
      </w:pPr>
      <w:r>
        <w:lastRenderedPageBreak/>
        <w:t>Sym represents symbolic identifiers from LIST input choices</w:t>
      </w:r>
    </w:p>
    <w:p w14:paraId="0FA13F02" w14:textId="77777777" w:rsidR="0054548D" w:rsidRDefault="00000000">
      <w:pPr>
        <w:numPr>
          <w:ilvl w:val="0"/>
          <w:numId w:val="4"/>
        </w:numPr>
      </w:pPr>
      <w:r>
        <w:t>Date represents date values with temporal properties</w:t>
      </w:r>
    </w:p>
    <w:p w14:paraId="37FAFB2E" w14:textId="77777777" w:rsidR="0054548D" w:rsidRDefault="00000000">
      <w:pPr>
        <w:numPr>
          <w:ilvl w:val="0"/>
          <w:numId w:val="4"/>
        </w:numPr>
      </w:pPr>
      <w:r>
        <w:t>SymList represents symbol lists from MULTILIST input selections</w:t>
      </w:r>
    </w:p>
    <w:p w14:paraId="3282EA2E" w14:textId="77777777" w:rsidR="0054548D" w:rsidRDefault="00000000">
      <w:pPr>
        <w:numPr>
          <w:ilvl w:val="0"/>
          <w:numId w:val="4"/>
        </w:numPr>
      </w:pPr>
      <w:r>
        <w:t>Amt[c] represents monetary amounts denominated in currency c, where c ∈ ISO-4217</w:t>
      </w:r>
    </w:p>
    <w:p w14:paraId="635EB1B6" w14:textId="77777777" w:rsidR="0054548D" w:rsidRDefault="00000000">
      <w:pPr>
        <w:numPr>
          <w:ilvl w:val="0"/>
          <w:numId w:val="4"/>
        </w:numPr>
      </w:pPr>
      <w:r>
        <w:t>α represents currency type variables for polymorphic fee definitions</w:t>
      </w:r>
    </w:p>
    <w:p w14:paraId="42D48C80" w14:textId="77777777" w:rsidR="0054548D" w:rsidRDefault="00000000">
      <w:pPr>
        <w:numPr>
          <w:ilvl w:val="0"/>
          <w:numId w:val="4"/>
        </w:numPr>
      </w:pPr>
      <w:r>
        <w:t>∀α. σ represents universally quantified type schemes</w:t>
      </w:r>
    </w:p>
    <w:p w14:paraId="6F1EEE3A" w14:textId="77777777" w:rsidR="0054548D" w:rsidRDefault="00000000">
      <w:pPr>
        <w:pStyle w:val="FirstParagraph"/>
      </w:pPr>
      <w:r>
        <w:t>Currency type variables range over ISO-4217 currency codes. In the typing context Γ, the notation α : Currency indicates that α is bound as a currency type variable.</w:t>
      </w:r>
    </w:p>
    <w:p w14:paraId="10A61E36" w14:textId="77777777" w:rsidR="0054548D" w:rsidRDefault="00000000">
      <w:pPr>
        <w:pStyle w:val="Heading4"/>
      </w:pPr>
      <w:bookmarkStart w:id="34" w:name="typing-rules"/>
      <w:bookmarkEnd w:id="32"/>
      <w:r>
        <w:t>4.1.2 Typing Rules</w:t>
      </w:r>
    </w:p>
    <w:p w14:paraId="4FE1A9E6" w14:textId="77777777" w:rsidR="0054548D" w:rsidRDefault="00000000">
      <w:pPr>
        <w:pStyle w:val="FirstParagraph"/>
      </w:pPr>
      <w:r>
        <w:t xml:space="preserve">Let Γ denote a typing environment mapping identifiers to types, written Γ(x) = τ. We define the typing judgment Γ ⊢ e : τ, meaning </w:t>
      </w:r>
      <w:r>
        <w:rPr>
          <w:i/>
          <w:iCs/>
        </w:rPr>
        <w:t>under environment Γ, expression e has type τ.</w:t>
      </w:r>
    </w:p>
    <w:p w14:paraId="1F3FC3CF" w14:textId="77777777" w:rsidR="0054548D" w:rsidRDefault="00000000">
      <w:pPr>
        <w:pStyle w:val="BodyText"/>
      </w:pPr>
      <w:r>
        <w:rPr>
          <w:b/>
          <w:bCs/>
        </w:rPr>
        <w:t>Literals and Variables</w:t>
      </w:r>
    </w:p>
    <w:p w14:paraId="6C479B36" w14:textId="77777777" w:rsidR="0054548D" w:rsidRDefault="00000000">
      <w:pPr>
        <w:pStyle w:val="BodyText"/>
      </w:pPr>
      <w:r>
        <w:t>The foundation of the type system rests on three base rules that assign types to the simplest expressions in the language. These rules handle constants (both numeric and currency-annotated) and variable references, forming the leaves of every expression tree that the type checker analyzes.</w:t>
      </w:r>
    </w:p>
    <w:p w14:paraId="121A5D9B" w14:textId="77777777" w:rsidR="0054548D" w:rsidRDefault="00000000">
      <w:pPr>
        <w:pStyle w:val="BodyText"/>
      </w:pPr>
      <w:r>
        <w:t xml:space="preserve">Rule </w:t>
      </w:r>
      <w:r>
        <w:rPr>
          <w:b/>
          <w:bCs/>
        </w:rPr>
        <w:t>T-NUM</w:t>
      </w:r>
      <w:r>
        <w:t xml:space="preserve"> states that any bare numeric literal - such as 42, 3.14, or 0 - receives type Num, representing a dimensionless number without currency association. Such values are used for counts (number of claims, pages, or designated countries), ratios, and multipliers throughout fee calculations.</w:t>
      </w:r>
    </w:p>
    <w:p w14:paraId="1885C7DF" w14:textId="77777777" w:rsidR="0054548D" w:rsidRDefault="00000000">
      <w:pPr>
        <w:pStyle w:val="BodyText"/>
      </w:pPr>
      <w:r>
        <w:t xml:space="preserve">Rule </w:t>
      </w:r>
      <w:r>
        <w:rPr>
          <w:b/>
          <w:bCs/>
        </w:rPr>
        <w:t>T-VAR</w:t>
      </w:r>
      <w:r>
        <w:t xml:space="preserve"> is the standard variable lookup rule found in all typed languages: when an identifier x appears in an expression, its type is determined by consulting the typing environment Γ (gamma), which records the declared types of all variables currently in scope. If the environment contains the binding x : τ, then the expression x has type τ.</w:t>
      </w:r>
    </w:p>
    <w:p w14:paraId="5F517134" w14:textId="77777777" w:rsidR="0054548D" w:rsidRDefault="00000000">
      <w:pPr>
        <w:pStyle w:val="BodyText"/>
      </w:pPr>
      <w:r>
        <w:t xml:space="preserve">Rule </w:t>
      </w:r>
      <w:r>
        <w:rPr>
          <w:b/>
          <w:bCs/>
        </w:rPr>
        <w:t>T-CURR</w:t>
      </w:r>
      <w:r>
        <w:t xml:space="preserve"> handles currency-annotated literals such as 100&lt;EUR&gt; or 50.50&lt;USD&gt;. The rule first verifies that the currency code c is a valid ISO-4217 identifier (one of 161 recognized codes), then assigns the expression the type Amt[c] - read as "amount denominated in currency c." This explicit annotation is the origin of all currency type information in a program; every currency amount ultimately traces back to either a currency literal or an AMOUNT input declaration.</w:t>
      </w:r>
    </w:p>
    <w:p w14:paraId="5270C4C3" w14:textId="77777777" w:rsidR="0054548D" w:rsidRDefault="00000000">
      <w:pPr>
        <w:pStyle w:val="BodyText"/>
      </w:pPr>
      <w:r>
        <w:t xml:space="preserve">[T-NUM] </w:t>
      </w:r>
      <m:oMath>
        <m:f>
          <m:fPr>
            <m:ctrlPr>
              <w:rPr>
                <w:rFonts w:ascii="Cambria Math" w:hAnsi="Cambria Math"/>
              </w:rPr>
            </m:ctrlPr>
          </m:fPr>
          <m:num>
            <m: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 n  </m:t>
            </m:r>
            <m:r>
              <m:rPr>
                <m:sty m:val="p"/>
              </m:rPr>
              <w:rPr>
                <w:rFonts w:ascii="Cambria Math" w:hAnsi="Cambria Math"/>
              </w:rPr>
              <m:t>:</m:t>
            </m:r>
            <m:r>
              <w:rPr>
                <w:rFonts w:ascii="Cambria Math" w:hAnsi="Cambria Math"/>
              </w:rPr>
              <m:t> Num</m:t>
            </m:r>
          </m:den>
        </m:f>
      </m:oMath>
    </w:p>
    <w:p w14:paraId="4B3943C2" w14:textId="77777777" w:rsidR="0054548D" w:rsidRDefault="00000000">
      <w:pPr>
        <w:pStyle w:val="BodyText"/>
      </w:pPr>
      <w:r>
        <w:t xml:space="preserve">[T-VAR]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τ</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m:t>
            </m:r>
            <m:r>
              <m:rPr>
                <m:sty m:val="p"/>
              </m:rPr>
              <w:rPr>
                <w:rFonts w:ascii="Cambria Math" w:hAnsi="Cambria Math"/>
              </w:rPr>
              <m:t>:</m:t>
            </m:r>
            <m:r>
              <w:rPr>
                <w:rFonts w:ascii="Cambria Math" w:hAnsi="Cambria Math"/>
              </w:rPr>
              <m:t> τ</m:t>
            </m:r>
          </m:den>
        </m:f>
      </m:oMath>
    </w:p>
    <w:p w14:paraId="6EE937ED" w14:textId="77777777" w:rsidR="0054548D" w:rsidRDefault="00000000">
      <w:pPr>
        <w:pStyle w:val="BodyText"/>
      </w:pPr>
      <w:r>
        <w:lastRenderedPageBreak/>
        <w:t xml:space="preserve">[T-CURR] </w:t>
      </w:r>
      <m:oMath>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 n</m:t>
            </m:r>
            <m:d>
              <m:dPr>
                <m:begChr m:val="⟨"/>
                <m:endChr m:val="⟩"/>
                <m:ctrlPr>
                  <w:rPr>
                    <w:rFonts w:ascii="Cambria Math" w:hAnsi="Cambria Math"/>
                  </w:rPr>
                </m:ctrlPr>
              </m:dPr>
              <m:e>
                <m:r>
                  <w:rPr>
                    <w:rFonts w:ascii="Cambria Math" w:hAnsi="Cambria Math"/>
                  </w:rPr>
                  <m:t>c</m:t>
                </m:r>
              </m:e>
            </m:d>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04135FC2" w14:textId="77777777" w:rsidR="0054548D" w:rsidRDefault="00000000">
      <w:pPr>
        <w:pStyle w:val="BodyText"/>
      </w:pPr>
      <w:r>
        <w:rPr>
          <w:b/>
          <w:bCs/>
        </w:rPr>
        <w:t>Arithmetic Operations</w:t>
      </w:r>
    </w:p>
    <w:p w14:paraId="764D553D" w14:textId="77777777" w:rsidR="0054548D" w:rsidRDefault="00000000">
      <w:pPr>
        <w:pStyle w:val="BodyText"/>
      </w:pPr>
      <w:r>
        <w:t>Arithmetic operations form the computational core of fee calculations, and the type system enforces strict currency discipline to prevent nonsensical cross-currency computations. The rules partition into four groups - addition, subtraction, multiplication, and division - each with distinct typing behavior reflecting the dimensional semantics of currency amounts.</w:t>
      </w:r>
    </w:p>
    <w:p w14:paraId="0FCBF51B" w14:textId="77777777" w:rsidR="0054548D" w:rsidRDefault="00000000">
      <w:pPr>
        <w:pStyle w:val="BodyText"/>
      </w:pPr>
      <w:r>
        <w:rPr>
          <w:b/>
          <w:bCs/>
        </w:rPr>
        <w:t>Addition.</w:t>
      </w:r>
      <w:r>
        <w:t xml:space="preserve"> Two distinct rules govern addition, reflecting the fundamental distinction between dimensionless numbers and currency amounts.</w:t>
      </w:r>
    </w:p>
    <w:p w14:paraId="1E86CEAC" w14:textId="77777777" w:rsidR="0054548D" w:rsidRDefault="00000000">
      <w:pPr>
        <w:pStyle w:val="BodyText"/>
      </w:pPr>
      <w:r>
        <w:t xml:space="preserve">Rule </w:t>
      </w:r>
      <w:r>
        <w:rPr>
          <w:b/>
          <w:bCs/>
        </w:rPr>
        <w:t>T-ADD-NUM</w:t>
      </w:r>
      <w:r>
        <w:t xml:space="preserve"> permits adding two dimensionless numbers, yielding a dimensionless result. This covers operations like summing claim counts or computing page totals where no currency is involved.</w:t>
      </w:r>
    </w:p>
    <w:p w14:paraId="34B3695D" w14:textId="77777777" w:rsidR="0054548D" w:rsidRDefault="00000000">
      <w:pPr>
        <w:pStyle w:val="BodyText"/>
      </w:pPr>
      <w:r>
        <w:t xml:space="preserve">Rule </w:t>
      </w:r>
      <w:r>
        <w:rPr>
          <w:b/>
          <w:bCs/>
        </w:rPr>
        <w:t>T-ADD-AMT</w:t>
      </w:r>
      <w:r>
        <w:t xml:space="preserve"> is more restrictive and embodies the core currency safety guarantee: it permits adding two monetary amounts </w:t>
      </w:r>
      <w:r>
        <w:rPr>
          <w:i/>
          <w:iCs/>
        </w:rPr>
        <w:t>only when both operands share the identical currency tag</w:t>
      </w:r>
      <w:r>
        <w:t xml:space="preserve"> c. The expression 100&lt;EUR&gt; + 50&lt;EUR&gt; is well-typed with result type Amt[EUR], but 100&lt;EUR&gt; + 50&lt;USD&gt; fails type-checking because no rule permits adding amounts with different currency tags. The type system provides no implicit currency conversion - all conversions must be explicit via the CONVERT function.</w:t>
      </w:r>
    </w:p>
    <w:p w14:paraId="61DDD632" w14:textId="77777777" w:rsidR="0054548D" w:rsidRDefault="00000000">
      <w:pPr>
        <w:pStyle w:val="BodyText"/>
      </w:pPr>
      <w:r>
        <w:t>A deliberate omission is any rule permitting Amt[c] + Num; the expression 100&lt;EUR&gt; + 50 is rejected because adding a dimensionless quantity to a currency amount introduces ambiguity about the intended currency of the dimensionless operand.</w:t>
      </w:r>
    </w:p>
    <w:p w14:paraId="166F2BF6" w14:textId="77777777" w:rsidR="0054548D" w:rsidRDefault="00000000">
      <w:pPr>
        <w:pStyle w:val="BodyText"/>
      </w:pPr>
      <w:r>
        <w:t xml:space="preserve">[T-ADD-NUM]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 Num</m:t>
            </m:r>
          </m:den>
        </m:f>
      </m:oMath>
    </w:p>
    <w:p w14:paraId="41F63025" w14:textId="77777777" w:rsidR="0054548D" w:rsidRDefault="00000000">
      <w:pPr>
        <w:pStyle w:val="BodyText"/>
      </w:pPr>
      <w:r>
        <w:t xml:space="preserve">[T-ADD-AMT]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1CA1C2A0" w14:textId="77777777" w:rsidR="0054548D" w:rsidRDefault="00000000">
      <w:pPr>
        <w:pStyle w:val="BodyText"/>
      </w:pPr>
      <w:r>
        <w:rPr>
          <w:b/>
          <w:bCs/>
        </w:rPr>
        <w:t>Multiplication.</w:t>
      </w:r>
      <w:r>
        <w:t xml:space="preserve"> Multiplication exhibits different behavior from addition because scalar multiplication is dimensionally sound - multiplying a currency amount by a dimensionless count produces another currency amount, not a dimensional mismatch.</w:t>
      </w:r>
    </w:p>
    <w:p w14:paraId="04B43D09" w14:textId="77777777" w:rsidR="0054548D" w:rsidRDefault="00000000">
      <w:pPr>
        <w:pStyle w:val="BodyText"/>
      </w:pPr>
      <w:r>
        <w:t xml:space="preserve">Rule </w:t>
      </w:r>
      <w:r>
        <w:rPr>
          <w:b/>
          <w:bCs/>
        </w:rPr>
        <w:t>T-MUL-NUM</w:t>
      </w:r>
      <w:r>
        <w:t xml:space="preserve"> handles multiplication of two dimensionless numbers, yielding a dimensionless result. This supports calculations like computing the product of claim count and page count.</w:t>
      </w:r>
    </w:p>
    <w:p w14:paraId="11962BA2" w14:textId="77777777" w:rsidR="0054548D" w:rsidRDefault="00000000">
      <w:pPr>
        <w:pStyle w:val="BodyText"/>
      </w:pPr>
      <w:r>
        <w:t xml:space="preserve">Rules </w:t>
      </w:r>
      <w:r>
        <w:rPr>
          <w:b/>
          <w:bCs/>
        </w:rPr>
        <w:t>T-MUL-SCALAR-R</w:t>
      </w:r>
      <w:r>
        <w:t xml:space="preserve"> and </w:t>
      </w:r>
      <w:r>
        <w:rPr>
          <w:b/>
          <w:bCs/>
        </w:rPr>
        <w:t>T-MUL-SCALAR-L</w:t>
      </w:r>
      <w:r>
        <w:t xml:space="preserve"> together establish that multiplying a currency amount by a dimensionless scalar - in either order - preserves the currency tag. Both 100&lt;EUR&gt; * 2 and 2 * 100&lt;EUR&gt; have type Amt[EUR]. The provision of both left and right variants ensures that scalar multiplication is commutative at the type level, matching mathematical intuition and enabling natural fee expressions like ClaimFee * ExcessClaimCount where the fee is currency-denominated and the count is dimensionless. </w:t>
      </w:r>
      <w:r>
        <w:lastRenderedPageBreak/>
        <w:t>The two rules are semantically equivalent but syntactically necessary because inference rule premises distinguish operand positions.</w:t>
      </w:r>
    </w:p>
    <w:p w14:paraId="4914A384" w14:textId="77777777" w:rsidR="0054548D" w:rsidRDefault="00000000">
      <w:pPr>
        <w:pStyle w:val="BodyText"/>
      </w:pPr>
      <w:r>
        <w:t xml:space="preserve">[T-MUL-NUM]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37D1EB9A" w14:textId="77777777" w:rsidR="0054548D" w:rsidRDefault="00000000">
      <w:pPr>
        <w:pStyle w:val="BodyText"/>
      </w:pPr>
      <w:r>
        <w:t xml:space="preserve">[T-MUL-SCALAR-R]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0B4834F6" w14:textId="77777777" w:rsidR="0054548D" w:rsidRDefault="00000000">
      <w:pPr>
        <w:pStyle w:val="BodyText"/>
      </w:pPr>
      <w:r>
        <w:t xml:space="preserve">[T-MUL-SCALAR-L]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6C2475D1" w14:textId="77777777" w:rsidR="0054548D" w:rsidRDefault="00000000">
      <w:pPr>
        <w:pStyle w:val="BodyText"/>
      </w:pPr>
      <w:r>
        <w:rPr>
          <w:b/>
          <w:bCs/>
        </w:rPr>
        <w:t>Subtraction.</w:t>
      </w:r>
      <w:r>
        <w:t xml:space="preserve"> The subtraction rules mirror addition exactly. Rule </w:t>
      </w:r>
      <w:r>
        <w:rPr>
          <w:b/>
          <w:bCs/>
        </w:rPr>
        <w:t>T-SUB-NUM</w:t>
      </w:r>
      <w:r>
        <w:t xml:space="preserve"> allows subtracting dimensionless numbers, while </w:t>
      </w:r>
      <w:r>
        <w:rPr>
          <w:b/>
          <w:bCs/>
        </w:rPr>
        <w:t>T-SUB-AMT</w:t>
      </w:r>
      <w:r>
        <w:t xml:space="preserve"> permits subtracting monetary amounts only when currencies match. The expression 500&lt;EUR&gt; - 100&lt;EUR&gt; yields Amt[EUR], enabling calculations such as computing a net fee after deducting a prior payment.</w:t>
      </w:r>
    </w:p>
    <w:p w14:paraId="4DC8B275" w14:textId="77777777" w:rsidR="0054548D" w:rsidRDefault="00000000">
      <w:pPr>
        <w:pStyle w:val="BodyText"/>
      </w:pPr>
      <w:r>
        <w:t>As with addition, mixed-currency subtraction (100&lt;EUR&gt; - 50&lt;USD&gt;) and subtraction between dimensioned and dimensionless values (100&lt;EUR&gt; - 50) are both prohibited. This consistent treatment ensures that the type system's guarantees apply uniformly across all additive operations.</w:t>
      </w:r>
    </w:p>
    <w:p w14:paraId="2773231F" w14:textId="77777777" w:rsidR="0054548D" w:rsidRDefault="00000000">
      <w:pPr>
        <w:pStyle w:val="BodyText"/>
      </w:pPr>
      <w:r>
        <w:t xml:space="preserve">[T-SUB-NUM]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07173654" w14:textId="77777777" w:rsidR="0054548D" w:rsidRDefault="00000000">
      <w:pPr>
        <w:pStyle w:val="BodyText"/>
      </w:pPr>
      <w:r>
        <w:t xml:space="preserve">[T-SUB-AMT]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208BF4BB" w14:textId="77777777" w:rsidR="0054548D" w:rsidRDefault="00000000">
      <w:pPr>
        <w:pStyle w:val="BodyText"/>
      </w:pPr>
      <w:r>
        <w:rPr>
          <w:b/>
          <w:bCs/>
        </w:rPr>
        <w:t>Division.</w:t>
      </w:r>
      <w:r>
        <w:t xml:space="preserve"> Division follows principles similar to multiplication. Rule </w:t>
      </w:r>
      <w:r>
        <w:rPr>
          <w:b/>
          <w:bCs/>
        </w:rPr>
        <w:t>T-DIV-NUM</w:t>
      </w:r>
      <w:r>
        <w:t xml:space="preserve"> permits dividing one dimensionless number by another, yielding a dimensionless result - useful for computing ratios or averages.</w:t>
      </w:r>
    </w:p>
    <w:p w14:paraId="343876F6" w14:textId="77777777" w:rsidR="0054548D" w:rsidRDefault="00000000">
      <w:pPr>
        <w:pStyle w:val="BodyText"/>
      </w:pPr>
      <w:r>
        <w:t xml:space="preserve">Rule </w:t>
      </w:r>
      <w:r>
        <w:rPr>
          <w:b/>
          <w:bCs/>
        </w:rPr>
        <w:t>T-DIV-AMT-SCALAR</w:t>
      </w:r>
      <w:r>
        <w:t xml:space="preserve"> allows dividing a currency amount by a dimensionless scalar while preserving the currency tag; for example, 100&lt;EUR&gt; / 2 has type Amt[EUR]. This enables calculations such as splitting fees among multiple applicants, computing per-unit costs, or applying percentage-based reductions.</w:t>
      </w:r>
    </w:p>
    <w:p w14:paraId="75388AB7" w14:textId="77777777" w:rsidR="0054548D" w:rsidRDefault="00000000">
      <w:pPr>
        <w:pStyle w:val="BodyText"/>
      </w:pPr>
      <w:r>
        <w:t>Note the asymmetry: while Amt[c] / Num is well-typed (yielding Amt[c]), the reverse Num / Amt[c] has no typing rule and is therefore rejected. Dividing a dimensionless number by a currency amount would yield a nonsensical "inverse currency" type with no practical meaning in fee calculations.</w:t>
      </w:r>
    </w:p>
    <w:p w14:paraId="152E7609" w14:textId="77777777" w:rsidR="0054548D" w:rsidRDefault="00000000">
      <w:pPr>
        <w:pStyle w:val="BodyText"/>
      </w:pPr>
      <w:r>
        <w:t xml:space="preserve">[T-DIV-NUM]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 Num    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den>
        </m:f>
      </m:oMath>
    </w:p>
    <w:p w14:paraId="3272EBF2" w14:textId="77777777" w:rsidR="0054548D" w:rsidRDefault="00000000">
      <w:pPr>
        <w:pStyle w:val="BodyText"/>
      </w:pPr>
      <w:r>
        <w:t xml:space="preserve">[T-DIV-AMT-SCALAR]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 Num</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7DD270FC" w14:textId="77777777" w:rsidR="0054548D" w:rsidRDefault="00000000">
      <w:pPr>
        <w:pStyle w:val="BodyText"/>
      </w:pPr>
      <w:r>
        <w:rPr>
          <w:b/>
          <w:bCs/>
        </w:rPr>
        <w:t>Currency Conversion</w:t>
      </w:r>
    </w:p>
    <w:p w14:paraId="0D457E18" w14:textId="77777777" w:rsidR="0054548D" w:rsidRDefault="00000000">
      <w:pPr>
        <w:pStyle w:val="BodyText"/>
      </w:pPr>
      <w:r>
        <w:t xml:space="preserve">The CONVERT function provides the sole mechanism for changing currency tags, making all cross-currency operations explicit and auditable in the source code. Without this </w:t>
      </w:r>
      <w:r>
        <w:lastRenderedPageBreak/>
        <w:t>function, a well-typed program cannot transform an amount from one currency to another - this is by design, ensuring that currency conversions are deliberate, visible, and traceable.</w:t>
      </w:r>
    </w:p>
    <w:p w14:paraId="3E030CA6" w14:textId="77777777" w:rsidR="0054548D" w:rsidRDefault="00000000">
      <w:pPr>
        <w:pStyle w:val="BodyText"/>
      </w:pPr>
      <w:r>
        <w:t xml:space="preserve">Rule </w:t>
      </w:r>
      <w:r>
        <w:rPr>
          <w:b/>
          <w:bCs/>
        </w:rPr>
        <w:t>T-CONVERT</w:t>
      </w:r>
      <w:r>
        <w:t xml:space="preserve"> requires four premises to be satisfied:</w:t>
      </w:r>
    </w:p>
    <w:p w14:paraId="16092369" w14:textId="77777777" w:rsidR="0054548D" w:rsidRDefault="00000000">
      <w:pPr>
        <w:numPr>
          <w:ilvl w:val="0"/>
          <w:numId w:val="5"/>
        </w:numPr>
      </w:pPr>
      <w:r>
        <w:t>The expression e must have type Amt[c] for some currency c;</w:t>
      </w:r>
    </w:p>
    <w:p w14:paraId="77A02438" w14:textId="77777777" w:rsidR="0054548D" w:rsidRDefault="00000000">
      <w:pPr>
        <w:numPr>
          <w:ilvl w:val="0"/>
          <w:numId w:val="5"/>
        </w:numPr>
      </w:pPr>
      <w:r>
        <w:t>The declared source currency c₁ in the function call must exactly equal the inferred currency c of the expression;</w:t>
      </w:r>
    </w:p>
    <w:p w14:paraId="559A7792" w14:textId="77777777" w:rsidR="0054548D" w:rsidRDefault="00000000">
      <w:pPr>
        <w:numPr>
          <w:ilvl w:val="0"/>
          <w:numId w:val="5"/>
        </w:numPr>
      </w:pPr>
      <w:r>
        <w:t>The source currency c₁ must be a valid ISO-4217 code; and</w:t>
      </w:r>
    </w:p>
    <w:p w14:paraId="21EA065D" w14:textId="77777777" w:rsidR="0054548D" w:rsidRDefault="00000000">
      <w:pPr>
        <w:numPr>
          <w:ilvl w:val="0"/>
          <w:numId w:val="5"/>
        </w:numPr>
      </w:pPr>
      <w:r>
        <w:t>The target currency c₂ must also be a valid ISO-4217 code.</w:t>
      </w:r>
    </w:p>
    <w:p w14:paraId="2A02EDF6" w14:textId="77777777" w:rsidR="0054548D" w:rsidRDefault="00000000">
      <w:pPr>
        <w:pStyle w:val="FirstParagraph"/>
      </w:pPr>
      <w:r>
        <w:t>When all premises are satisfied, the conclusion assigns type Amt[c₂] to the converted expression.</w:t>
      </w:r>
    </w:p>
    <w:p w14:paraId="4D6FB77B" w14:textId="77777777" w:rsidR="0054548D" w:rsidRDefault="00000000">
      <w:pPr>
        <w:pStyle w:val="BodyText"/>
      </w:pPr>
      <w:r>
        <w:t>The premise c₁ = c is critical for soundness and deserves emphasis: it prevents ill-formed conversions such as CONVERT(100&lt;EUR&gt;, USD, GBP) where a programmer mistakenly declares USD as the source currency while the expression is actually denominated in EUR. Such errors - which could silently produce incorrect exchange rate application - are caught at compile time. By requiring the explicit source currency to match the inferred type, the type system forces programmers to acknowledge the actual currency of values being converted.</w:t>
      </w:r>
    </w:p>
    <w:p w14:paraId="51DEBD9A" w14:textId="77777777" w:rsidR="0054548D" w:rsidRDefault="00000000">
      <w:pPr>
        <w:pStyle w:val="BodyText"/>
      </w:pPr>
      <w:r>
        <w:t xml:space="preserve">[T-CONVERT]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  c1</m:t>
            </m:r>
            <m:r>
              <m:rPr>
                <m:sty m:val="p"/>
              </m:rPr>
              <w:rPr>
                <w:rFonts w:ascii="Cambria Math" w:hAnsi="Cambria Math"/>
              </w:rPr>
              <m:t>=</m:t>
            </m:r>
            <m:r>
              <w:rPr>
                <w:rFonts w:ascii="Cambria Math" w:hAnsi="Cambria Math"/>
              </w:rPr>
              <m:t>c  c1</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4217  c2</m:t>
            </m:r>
            <m:r>
              <m:rPr>
                <m:sty m:val="p"/>
              </m:rPr>
              <w:rPr>
                <w:rFonts w:ascii="Cambria Math" w:hAnsi="Cambria Math"/>
              </w:rPr>
              <m:t>∈</m:t>
            </m:r>
            <m:r>
              <w:rPr>
                <w:rFonts w:ascii="Cambria Math" w:hAnsi="Cambria Math"/>
              </w:rPr>
              <m:t>ISO</m:t>
            </m:r>
            <m:r>
              <m:rPr>
                <m:sty m:val="p"/>
              </m:rPr>
              <w:rPr>
                <w:rFonts w:ascii="Cambria Math" w:hAnsi="Cambria Math"/>
              </w:rPr>
              <m:t>-</m:t>
            </m:r>
            <m:r>
              <w:rPr>
                <w:rFonts w:ascii="Cambria Math" w:hAnsi="Cambria Math"/>
              </w:rPr>
              <m:t>4217</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 CONVERT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   c1</m:t>
            </m:r>
            <m:r>
              <m:rPr>
                <m:sty m:val="p"/>
              </m:rPr>
              <w:rPr>
                <w:rFonts w:ascii="Cambria Math" w:hAnsi="Cambria Math"/>
              </w:rPr>
              <m:t>,</m:t>
            </m:r>
            <m:r>
              <w:rPr>
                <w:rFonts w:ascii="Cambria Math" w:hAnsi="Cambria Math"/>
              </w:rPr>
              <m:t>   c2</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c2</m:t>
            </m:r>
            <m:r>
              <m:rPr>
                <m:sty m:val="p"/>
              </m:rPr>
              <w:rPr>
                <w:rFonts w:ascii="Cambria Math" w:hAnsi="Cambria Math"/>
              </w:rPr>
              <m:t>]</m:t>
            </m:r>
          </m:den>
        </m:f>
      </m:oMath>
    </w:p>
    <w:p w14:paraId="691CA791" w14:textId="77777777" w:rsidR="0054548D" w:rsidRDefault="00000000">
      <w:pPr>
        <w:pStyle w:val="BodyText"/>
      </w:pPr>
      <w:r>
        <w:rPr>
          <w:b/>
          <w:bCs/>
        </w:rPr>
        <w:t>Comparisons and Conditions</w:t>
      </w:r>
    </w:p>
    <w:p w14:paraId="0B5551BA" w14:textId="77777777" w:rsidR="0054548D" w:rsidRDefault="00000000">
      <w:pPr>
        <w:pStyle w:val="BodyText"/>
      </w:pPr>
      <w:r>
        <w:t xml:space="preserve">Comparison operations produce Boolean results and are governed by two rules that distinguish </w:t>
      </w:r>
      <w:r>
        <w:rPr>
          <w:i/>
          <w:iCs/>
        </w:rPr>
        <w:t>equality testing</w:t>
      </w:r>
      <w:r>
        <w:t xml:space="preserve"> from </w:t>
      </w:r>
      <w:r>
        <w:rPr>
          <w:i/>
          <w:iCs/>
        </w:rPr>
        <w:t>ordering comparisons</w:t>
      </w:r>
      <w:r>
        <w:t>. This distinction matters because not all types that support equality testing also support meaningful ordering.</w:t>
      </w:r>
    </w:p>
    <w:p w14:paraId="632CFD32" w14:textId="77777777" w:rsidR="0054548D" w:rsidRDefault="00000000">
      <w:pPr>
        <w:pStyle w:val="BodyText"/>
      </w:pPr>
      <w:r>
        <w:t>Rule T-COMP-EQ permits equality (EQ) and inequality (NEQ) comparisons between two values of the same type, where that type must be one that supports equality testing: numbers, Booleans, symbols (LIST choices), dates, or currency amounts (of any single currency). The expression EntityType EQ SmallEntity compares two symbols; TotalFee EQ 0&lt;EUR&gt; compares two EUR amounts. Equality comparisons are rejected between values of different types - 100 EQ TRUE fails because Num and Bool are incompatible.</w:t>
      </w:r>
    </w:p>
    <w:p w14:paraId="4FFA62F2" w14:textId="77777777" w:rsidR="0054548D" w:rsidRDefault="00000000">
      <w:pPr>
        <w:pStyle w:val="BodyText"/>
      </w:pPr>
      <w:r>
        <w:t xml:space="preserve">Rule T-COMP-ORD is more restrictive: ordering comparisons (GT, LT, GTE, LTE) require operands of identical type, but that type must additionally support a natural ordering. Numbers admit ordering (one can ask whether 50 is greater than 30). Dates admit ordering (one can ask whether a filing date is after a priority date). Currency amounts of the same currency admit ordering (one can ask whether 100&lt;EUR&gt; is greater than 50&lt;EUR&gt;). However, symbolic types do not admit ordering - asking whether SmallEntity is "greater than" LargeEntity is semantically meaningless, as LIST choices have no inherent order. Similarly, Boolean values are not ordered - neither TRUE &gt; FALSE nor the reverse makes </w:t>
      </w:r>
      <w:r>
        <w:lastRenderedPageBreak/>
        <w:t>sense. This stratification prevents nonsensical comparisons while permitting all sensible ones.</w:t>
      </w:r>
    </w:p>
    <w:p w14:paraId="53B2BA73" w14:textId="77777777" w:rsidR="0054548D" w:rsidRDefault="00000000">
      <w:pPr>
        <w:pStyle w:val="BodyText"/>
      </w:pPr>
      <w:r>
        <w:t xml:space="preserve">[T-COMP-EQ]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 Bool</m:t>
            </m:r>
            <m:r>
              <m:rPr>
                <m:sty m:val="p"/>
              </m:rPr>
              <w:rPr>
                <w:rFonts w:ascii="Cambria Math" w:hAnsi="Cambria Math"/>
              </w:rPr>
              <m:t>,</m:t>
            </m:r>
            <m:r>
              <w:rPr>
                <w:rFonts w:ascii="Cambria Math" w:hAnsi="Cambria Math"/>
              </w:rPr>
              <m:t> Sym</m:t>
            </m:r>
            <m:r>
              <m:rPr>
                <m:sty m:val="p"/>
              </m:rPr>
              <w:rPr>
                <w:rFonts w:ascii="Cambria Math" w:hAnsi="Cambria Math"/>
              </w:rPr>
              <m:t>,</m:t>
            </m:r>
            <m:r>
              <w:rPr>
                <w:rFonts w:ascii="Cambria Math" w:hAnsi="Cambria Math"/>
              </w:rPr>
              <m:t> Date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EQ</m:t>
            </m:r>
            <m:r>
              <m:rPr>
                <m:sty m:val="p"/>
              </m:rPr>
              <w:rPr>
                <w:rFonts w:ascii="Cambria Math" w:hAnsi="Cambria Math"/>
              </w:rPr>
              <m:t>,</m:t>
            </m:r>
            <m:r>
              <w:rPr>
                <w:rFonts w:ascii="Cambria Math" w:hAnsi="Cambria Math"/>
              </w:rPr>
              <m:t> NEQ</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 Bool</m:t>
            </m:r>
          </m:den>
        </m:f>
      </m:oMath>
    </w:p>
    <w:p w14:paraId="0AA7B422" w14:textId="77777777" w:rsidR="0054548D" w:rsidRDefault="00000000">
      <w:pPr>
        <w:pStyle w:val="BodyText"/>
      </w:pPr>
      <w:r>
        <w:t xml:space="preserve">[T-COMP-ORD]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  Date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 Bool</m:t>
            </m:r>
          </m:den>
        </m:f>
      </m:oMath>
    </w:p>
    <w:p w14:paraId="5EB63479" w14:textId="77777777" w:rsidR="0054548D" w:rsidRDefault="00000000">
      <w:pPr>
        <w:pStyle w:val="BodyText"/>
      </w:pPr>
      <w:r>
        <w:t xml:space="preserve">Rules </w:t>
      </w:r>
      <w:r>
        <w:rPr>
          <w:b/>
          <w:bCs/>
        </w:rPr>
        <w:t>T-AND</w:t>
      </w:r>
      <w:r>
        <w:t xml:space="preserve"> and </w:t>
      </w:r>
      <w:r>
        <w:rPr>
          <w:b/>
          <w:bCs/>
        </w:rPr>
        <w:t>T-OR</w:t>
      </w:r>
      <w:r>
        <w:t xml:space="preserve"> govern logical connectives for building compound conditions. Both rules require their operands to be Boolean expressions and produce Boolean results.</w:t>
      </w:r>
    </w:p>
    <w:p w14:paraId="0F07E1AC" w14:textId="77777777" w:rsidR="0054548D" w:rsidRDefault="00000000">
      <w:pPr>
        <w:pStyle w:val="BodyText"/>
      </w:pPr>
      <w:r>
        <w:t>These rules enable complex conditional logic such as EntityType EQ SmallEntity AND ClaimCount GT 20, combining an equality test on a symbolic type with an ordering comparison on a numeric type. The short-circuit evaluation semantics (described in Section 3.8) do not affect typing - both operands must be well-typed regardless of evaluation order.</w:t>
      </w:r>
    </w:p>
    <w:p w14:paraId="3C69438C" w14:textId="77777777" w:rsidR="0054548D" w:rsidRDefault="00000000">
      <w:pPr>
        <w:pStyle w:val="BodyText"/>
      </w:pPr>
      <w:r>
        <w:t xml:space="preserve">[T-AND]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 φ1  </m:t>
            </m:r>
            <m:r>
              <m:rPr>
                <m:sty m:val="p"/>
              </m:rPr>
              <w:rPr>
                <w:rFonts w:ascii="Cambria Math" w:hAnsi="Cambria Math"/>
              </w:rPr>
              <m:t>:</m:t>
            </m:r>
            <m:r>
              <w:rPr>
                <w:rFonts w:ascii="Cambria Math" w:hAnsi="Cambria Math"/>
              </w:rPr>
              <m:t> Bool   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 φ2  </m:t>
            </m:r>
            <m:r>
              <m:rPr>
                <m:sty m:val="p"/>
              </m:rPr>
              <w:rPr>
                <w:rFonts w:ascii="Cambria Math" w:hAnsi="Cambria Math"/>
              </w:rPr>
              <m:t>:</m:t>
            </m:r>
            <m:r>
              <w:rPr>
                <w:rFonts w:ascii="Cambria Math" w:hAnsi="Cambria Math"/>
              </w:rPr>
              <m:t> Bool</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 φ1 AND φ2  </m:t>
            </m:r>
            <m:r>
              <m:rPr>
                <m:sty m:val="p"/>
              </m:rPr>
              <w:rPr>
                <w:rFonts w:ascii="Cambria Math" w:hAnsi="Cambria Math"/>
              </w:rPr>
              <m:t>:</m:t>
            </m:r>
            <m:r>
              <w:rPr>
                <w:rFonts w:ascii="Cambria Math" w:hAnsi="Cambria Math"/>
              </w:rPr>
              <m:t> Bool</m:t>
            </m:r>
          </m:den>
        </m:f>
      </m:oMath>
    </w:p>
    <w:p w14:paraId="2D513750" w14:textId="77777777" w:rsidR="0054548D" w:rsidRDefault="00000000">
      <w:pPr>
        <w:pStyle w:val="BodyText"/>
      </w:pPr>
      <w:r>
        <w:t xml:space="preserve">[T-OR]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₁</m:t>
            </m:r>
            <m:r>
              <w:rPr>
                <w:rFonts w:ascii="Cambria Math" w:hAnsi="Cambria Math"/>
              </w:rPr>
              <m:t> </m:t>
            </m:r>
            <m:r>
              <m:rPr>
                <m:sty m:val="p"/>
              </m:rPr>
              <w:rPr>
                <w:rFonts w:ascii="Cambria Math" w:hAnsi="Cambria Math"/>
              </w:rPr>
              <m:t>:</m:t>
            </m:r>
            <m:r>
              <w:rPr>
                <w:rFonts w:ascii="Cambria Math" w:hAnsi="Cambria Math"/>
              </w:rPr>
              <m:t> Bool    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₂</m:t>
            </m:r>
            <m:r>
              <w:rPr>
                <w:rFonts w:ascii="Cambria Math" w:hAnsi="Cambria Math"/>
              </w:rPr>
              <m:t> </m:t>
            </m:r>
            <m:r>
              <m:rPr>
                <m:sty m:val="p"/>
              </m:rPr>
              <w:rPr>
                <w:rFonts w:ascii="Cambria Math" w:hAnsi="Cambria Math"/>
              </w:rPr>
              <m:t>:</m:t>
            </m:r>
            <m:r>
              <w:rPr>
                <w:rFonts w:ascii="Cambria Math" w:hAnsi="Cambria Math"/>
              </w:rPr>
              <m:t> Bool</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m:t>
            </m:r>
            <m:r>
              <m:rPr>
                <m:sty m:val="p"/>
              </m:rPr>
              <w:rPr>
                <w:rFonts w:ascii="Cambria Math" w:hAnsi="Cambria Math"/>
              </w:rPr>
              <m:t>₁</m:t>
            </m:r>
            <m:r>
              <w:rPr>
                <w:rFonts w:ascii="Cambria Math" w:hAnsi="Cambria Math"/>
              </w:rPr>
              <m:t> OR φ</m:t>
            </m:r>
            <m:r>
              <m:rPr>
                <m:sty m:val="p"/>
              </m:rPr>
              <w:rPr>
                <w:rFonts w:ascii="Cambria Math" w:hAnsi="Cambria Math"/>
              </w:rPr>
              <m:t>₂</m:t>
            </m:r>
            <m:r>
              <w:rPr>
                <w:rFonts w:ascii="Cambria Math" w:hAnsi="Cambria Math"/>
              </w:rPr>
              <m:t> </m:t>
            </m:r>
            <m:r>
              <m:rPr>
                <m:sty m:val="p"/>
              </m:rPr>
              <w:rPr>
                <w:rFonts w:ascii="Cambria Math" w:hAnsi="Cambria Math"/>
              </w:rPr>
              <m:t>:</m:t>
            </m:r>
            <m:r>
              <w:rPr>
                <w:rFonts w:ascii="Cambria Math" w:hAnsi="Cambria Math"/>
              </w:rPr>
              <m:t> Bool</m:t>
            </m:r>
          </m:den>
        </m:f>
      </m:oMath>
    </w:p>
    <w:p w14:paraId="1FC3CFA8" w14:textId="77777777" w:rsidR="0054548D" w:rsidRDefault="00000000">
      <w:pPr>
        <w:pStyle w:val="BodyText"/>
      </w:pPr>
      <w:r>
        <w:rPr>
          <w:b/>
          <w:bCs/>
        </w:rPr>
        <w:t>Rounding Functions</w:t>
      </w:r>
    </w:p>
    <w:p w14:paraId="36022078" w14:textId="77777777" w:rsidR="0054548D" w:rsidRDefault="00000000">
      <w:pPr>
        <w:pStyle w:val="BodyText"/>
      </w:pPr>
      <w:r>
        <w:t>The rounding functions ROUND, FLOOR, and CEIL adjust numeric precision while preserving types - a critical property for fee calculations that must comply with currency-specific precision requirements (e.g., rounding to whole cents for USD or to whole yen for JPY).</w:t>
      </w:r>
    </w:p>
    <w:p w14:paraId="0AA47D87" w14:textId="77777777" w:rsidR="0054548D" w:rsidRDefault="00000000">
      <w:pPr>
        <w:pStyle w:val="BodyText"/>
      </w:pPr>
      <w:r>
        <w:t xml:space="preserve">Rules T-ROUND, T-FLOOR, and T-CEIL each accept either a dimensionless number or a currency amount of any currency, and return a value of the </w:t>
      </w:r>
      <w:r>
        <w:rPr>
          <w:i/>
          <w:iCs/>
        </w:rPr>
        <w:t>same type</w:t>
      </w:r>
      <w:r>
        <w:t>. Rounding the dimensionless value 3.7 yields a Num. Rounding the currency amount 99.99&lt;EUR&gt; yields an Amt[EUR]. This type preservation ensures that rounding operations - commonly needed to comply with official fee schedule requirements that specify amounts to the nearest whole unit - do not inadvertently strip currency information from monetary values.</w:t>
      </w:r>
    </w:p>
    <w:p w14:paraId="63706707" w14:textId="77777777" w:rsidR="0054548D" w:rsidRDefault="00000000">
      <w:pPr>
        <w:pStyle w:val="BodyText"/>
      </w:pPr>
      <w:r>
        <w:t>The semantic distinction between the three functions is standard: ROUND applies banker's rounding (round half to even), FLOOR rounds toward negative infinity, and CEIL rounds toward positive infinity. The type system treats all three identically; the distinction matters only at evaluation time.</w:t>
      </w:r>
    </w:p>
    <w:p w14:paraId="6A2D6037" w14:textId="77777777" w:rsidR="0054548D" w:rsidRDefault="00000000">
      <w:pPr>
        <w:pStyle w:val="BodyText"/>
      </w:pPr>
      <w:r>
        <w:t xml:space="preserve">[T-ROUND]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 ROUND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69D114AA" w14:textId="77777777" w:rsidR="0054548D" w:rsidRDefault="00000000">
      <w:pPr>
        <w:pStyle w:val="BodyText"/>
      </w:pPr>
      <w:r>
        <w:t xml:space="preserve">[T-FLOOR]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 FLOOR</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1512B32C" w14:textId="77777777" w:rsidR="0054548D" w:rsidRDefault="00000000">
      <w:pPr>
        <w:pStyle w:val="BodyText"/>
      </w:pPr>
      <w:r>
        <w:t xml:space="preserve">[T-CEIL]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 CEIL</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09706AAA" w14:textId="77777777" w:rsidR="0054548D" w:rsidRDefault="00000000">
      <w:pPr>
        <w:pStyle w:val="BodyText"/>
      </w:pPr>
      <w:r>
        <w:rPr>
          <w:b/>
          <w:bCs/>
        </w:rPr>
        <w:lastRenderedPageBreak/>
        <w:t>Property Accessors</w:t>
      </w:r>
    </w:p>
    <w:p w14:paraId="38B8C0C4" w14:textId="77777777" w:rsidR="0054548D" w:rsidRDefault="00000000">
      <w:pPr>
        <w:pStyle w:val="BodyText"/>
      </w:pPr>
      <w:r>
        <w:t>IPFLang provides property accessors that extract derived values from composite types using the ! notation (e.g., Countries!COUNT). These accessors transform structured input values into dimensionless numbers suitable for arithmetic.</w:t>
      </w:r>
    </w:p>
    <w:p w14:paraId="22C80435" w14:textId="77777777" w:rsidR="0054548D" w:rsidRDefault="00000000">
      <w:pPr>
        <w:pStyle w:val="BodyText"/>
      </w:pPr>
      <w:r>
        <w:t>Rule T-COUNT applies to MULTILIST variables (type SymList) and returns the number of selected items as a dimensionless Num. For example, if DesignatedCountries is a MULTILIST input where the user has selected Germany, France, and Italy, then DesignatedCountries!COUNT evaluates to 3. This enables per-item fee calculations such as DesignationFee * DesignatedCountries!COUNT.</w:t>
      </w:r>
    </w:p>
    <w:p w14:paraId="6E563965" w14:textId="77777777" w:rsidR="0054548D" w:rsidRDefault="00000000">
      <w:pPr>
        <w:pStyle w:val="BodyText"/>
      </w:pPr>
      <w:r>
        <w:t>The temporal accessor rules - T-YEARSTONOW, T-MONTHSTONOW, T-DAYSTONOW, and T-MONTHSTONOW-FROMLASTDAY - apply to DATE variables and compute elapsed time from the stored date to the current evaluation date. Each returns a dimensionless Num representing the elapsed interval:</w:t>
      </w:r>
    </w:p>
    <w:p w14:paraId="7CE4D737" w14:textId="77777777" w:rsidR="0054548D" w:rsidRDefault="00000000">
      <w:pPr>
        <w:numPr>
          <w:ilvl w:val="0"/>
          <w:numId w:val="6"/>
        </w:numPr>
      </w:pPr>
      <w:r>
        <w:t>!YEARSTONOW returns the number of complete years elapsed</w:t>
      </w:r>
    </w:p>
    <w:p w14:paraId="72215F2D" w14:textId="77777777" w:rsidR="0054548D" w:rsidRDefault="00000000">
      <w:pPr>
        <w:numPr>
          <w:ilvl w:val="0"/>
          <w:numId w:val="6"/>
        </w:numPr>
      </w:pPr>
      <w:r>
        <w:t>!MONTHSTONOW returns the number of complete months elapsed</w:t>
      </w:r>
    </w:p>
    <w:p w14:paraId="054D277B" w14:textId="77777777" w:rsidR="0054548D" w:rsidRDefault="00000000">
      <w:pPr>
        <w:numPr>
          <w:ilvl w:val="0"/>
          <w:numId w:val="6"/>
        </w:numPr>
      </w:pPr>
      <w:r>
        <w:t>!DAYSTONOW returns the number of days elapsed</w:t>
      </w:r>
    </w:p>
    <w:p w14:paraId="7BF03CF9" w14:textId="77777777" w:rsidR="0054548D" w:rsidRDefault="00000000">
      <w:pPr>
        <w:numPr>
          <w:ilvl w:val="0"/>
          <w:numId w:val="6"/>
        </w:numPr>
      </w:pPr>
      <w:r>
        <w:t>!MONTHSTONOW_FROMLASTDAY computes months from the last day of the date's month, useful for certain deadline calculations where the reference point is month-end rather than the specific day</w:t>
      </w:r>
    </w:p>
    <w:p w14:paraId="4A600B80" w14:textId="77777777" w:rsidR="0054548D" w:rsidRDefault="00000000">
      <w:pPr>
        <w:pStyle w:val="FirstParagraph"/>
      </w:pPr>
      <w:r>
        <w:t>These accessors enable time-dependent fee logic. For example, patent maintenance fees that increase based on years since filing can be expressed as BaseMaintenance * FilingDate!YEARSTONOW, and late fees triggered after a deadline can use conditions like FilingDate!DAYSTONOW GT 30.</w:t>
      </w:r>
    </w:p>
    <w:p w14:paraId="61A60ED5" w14:textId="77777777" w:rsidR="0054548D" w:rsidRDefault="00000000">
      <w:pPr>
        <w:pStyle w:val="BodyText"/>
      </w:pPr>
      <w:r>
        <w:t xml:space="preserve">[T-COUNT]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COUNT </m:t>
            </m:r>
            <m:r>
              <m:rPr>
                <m:sty m:val="p"/>
              </m:rPr>
              <w:rPr>
                <w:rFonts w:ascii="Cambria Math" w:hAnsi="Cambria Math"/>
              </w:rPr>
              <m:t>:</m:t>
            </m:r>
            <m:r>
              <w:rPr>
                <w:rFonts w:ascii="Cambria Math" w:hAnsi="Cambria Math"/>
              </w:rPr>
              <m:t> Num</m:t>
            </m:r>
          </m:den>
        </m:f>
      </m:oMath>
    </w:p>
    <w:p w14:paraId="3A93D958" w14:textId="77777777" w:rsidR="0054548D" w:rsidRDefault="00000000">
      <w:pPr>
        <w:pStyle w:val="BodyText"/>
      </w:pPr>
      <w:r>
        <w:t xml:space="preserve">[T-YEARSTONOW]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YEARSTONOW</m:t>
            </m:r>
            <m:r>
              <m:rPr>
                <m:sty m:val="p"/>
              </m:rPr>
              <w:rPr>
                <w:rFonts w:ascii="Cambria Math" w:hAnsi="Cambria Math"/>
              </w:rPr>
              <m:t>:</m:t>
            </m:r>
            <m:r>
              <w:rPr>
                <w:rFonts w:ascii="Cambria Math" w:hAnsi="Cambria Math"/>
              </w:rPr>
              <m:t> Num</m:t>
            </m:r>
          </m:den>
        </m:f>
      </m:oMath>
    </w:p>
    <w:p w14:paraId="5505E83F" w14:textId="77777777" w:rsidR="0054548D" w:rsidRDefault="00000000">
      <w:pPr>
        <w:pStyle w:val="BodyText"/>
      </w:pPr>
      <w:r>
        <w:t xml:space="preserve">[T-MONTHSTONOW]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MONTHSTONOW</m:t>
            </m:r>
            <m:r>
              <m:rPr>
                <m:sty m:val="p"/>
              </m:rPr>
              <w:rPr>
                <w:rFonts w:ascii="Cambria Math" w:hAnsi="Cambria Math"/>
              </w:rPr>
              <m:t>:</m:t>
            </m:r>
            <m:r>
              <w:rPr>
                <w:rFonts w:ascii="Cambria Math" w:hAnsi="Cambria Math"/>
              </w:rPr>
              <m:t> Num</m:t>
            </m:r>
          </m:den>
        </m:f>
      </m:oMath>
    </w:p>
    <w:p w14:paraId="5EABAC93" w14:textId="77777777" w:rsidR="0054548D" w:rsidRDefault="00000000">
      <w:pPr>
        <w:pStyle w:val="BodyText"/>
      </w:pPr>
      <w:r>
        <w:t xml:space="preserve">[T-DAYSTONOW]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DAYSTONOW</m:t>
            </m:r>
            <m:r>
              <m:rPr>
                <m:sty m:val="p"/>
              </m:rPr>
              <w:rPr>
                <w:rFonts w:ascii="Cambria Math" w:hAnsi="Cambria Math"/>
              </w:rPr>
              <m:t>:</m:t>
            </m:r>
            <m:r>
              <w:rPr>
                <w:rFonts w:ascii="Cambria Math" w:hAnsi="Cambria Math"/>
              </w:rPr>
              <m:t> Num</m:t>
            </m:r>
          </m:den>
        </m:f>
      </m:oMath>
    </w:p>
    <w:p w14:paraId="7B086E9F" w14:textId="77777777" w:rsidR="0054548D" w:rsidRDefault="00000000">
      <w:pPr>
        <w:pStyle w:val="BodyText"/>
      </w:pPr>
      <w:r>
        <w:t xml:space="preserve">[T-MONTHSTONOW-FROMLASTDAY]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 Date</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m:t>
            </m:r>
            <m:r>
              <m:rPr>
                <m:sty m:val="p"/>
              </m:rPr>
              <w:rPr>
                <w:rFonts w:ascii="Cambria Math" w:hAnsi="Cambria Math"/>
              </w:rPr>
              <m:t>!</m:t>
            </m:r>
            <m:r>
              <w:rPr>
                <w:rFonts w:ascii="Cambria Math" w:hAnsi="Cambria Math"/>
              </w:rPr>
              <m:t>MONTHSTONOW</m:t>
            </m:r>
            <m:r>
              <m:rPr>
                <m:sty m:val="p"/>
              </m:rPr>
              <w:rPr>
                <w:rFonts w:ascii="Cambria Math" w:hAnsi="Cambria Math"/>
              </w:rPr>
              <m:t>_</m:t>
            </m:r>
            <m:r>
              <w:rPr>
                <w:rFonts w:ascii="Cambria Math" w:hAnsi="Cambria Math"/>
              </w:rPr>
              <m:t>FROMLASTDAY</m:t>
            </m:r>
            <m:r>
              <m:rPr>
                <m:sty m:val="p"/>
              </m:rPr>
              <w:rPr>
                <w:rFonts w:ascii="Cambria Math" w:hAnsi="Cambria Math"/>
              </w:rPr>
              <m:t>:</m:t>
            </m:r>
            <m:r>
              <w:rPr>
                <w:rFonts w:ascii="Cambria Math" w:hAnsi="Cambria Math"/>
              </w:rPr>
              <m:t> Num</m:t>
            </m:r>
          </m:den>
        </m:f>
      </m:oMath>
    </w:p>
    <w:p w14:paraId="0D88C732" w14:textId="77777777" w:rsidR="0054548D" w:rsidRDefault="00000000">
      <w:pPr>
        <w:pStyle w:val="BodyText"/>
      </w:pPr>
      <w:r>
        <w:rPr>
          <w:b/>
          <w:bCs/>
        </w:rPr>
        <w:t>Set Membership</w:t>
      </w:r>
    </w:p>
    <w:p w14:paraId="534E7F56" w14:textId="77777777" w:rsidR="0054548D" w:rsidRDefault="00000000">
      <w:pPr>
        <w:pStyle w:val="BodyText"/>
      </w:pPr>
      <w:r>
        <w:t>Rules T-IN and T-NIN govern set membership tests for MULTILIST variables, enabling conditional logic based on whether specific choices are among a user's multi-select input.</w:t>
      </w:r>
    </w:p>
    <w:p w14:paraId="0577EC99" w14:textId="77777777" w:rsidR="0054548D" w:rsidRDefault="00000000">
      <w:pPr>
        <w:pStyle w:val="BodyText"/>
      </w:pPr>
      <w:r>
        <w:lastRenderedPageBreak/>
        <w:t>Given a symbol x (typically a LIST choice identifier) and a symbol list y (from a MULTILIST input), the expression x IN y tests whether x is among the selected values in y, returning a Bool. The negated form x NIN y (read as "not in") tests for non-membership.</w:t>
      </w:r>
    </w:p>
    <w:p w14:paraId="64BC61B4" w14:textId="77777777" w:rsidR="0054548D" w:rsidRDefault="00000000">
      <w:pPr>
        <w:pStyle w:val="BodyText"/>
      </w:pPr>
      <w:r>
        <w:t>These operations enable fee rules that depend on specific selections within a multi-choice input. For example, if DesignatedCountries is a MULTILIST and DE is a symbol representing Germany, then DE IN DesignatedCountries returns TRUE if Germany is among the designated countries. This enables conditional fees such as:</w:t>
      </w:r>
    </w:p>
    <w:p w14:paraId="29FD121B" w14:textId="77777777" w:rsidR="0054548D" w:rsidRDefault="00000000">
      <w:pPr>
        <w:pStyle w:val="BodyText"/>
      </w:pPr>
      <w:r>
        <w:t>YIELD 500&lt;EUR&gt; IF DE IN DesignatedCountries # German designation fee</w:t>
      </w:r>
    </w:p>
    <w:p w14:paraId="6CAC55DF" w14:textId="77777777" w:rsidR="0054548D" w:rsidRDefault="00000000">
      <w:pPr>
        <w:pStyle w:val="BodyText"/>
      </w:pPr>
      <w:r>
        <w:t>The type constraints ensure that membership tests are only performed between compatible types: the left operand must be a single symbol (Sym), and the right operand must be a symbol list (SymList).</w:t>
      </w:r>
    </w:p>
    <w:p w14:paraId="2A673177" w14:textId="77777777" w:rsidR="0054548D" w:rsidRDefault="00000000">
      <w:pPr>
        <w:pStyle w:val="BodyText"/>
      </w:pPr>
      <w:r>
        <w:t xml:space="preserve">[T-IN]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 Sym    </m:t>
            </m:r>
            <m:r>
              <m:rPr>
                <m:sty m:val="p"/>
              </m:rPr>
              <w:rPr>
                <w:rFonts w:ascii="Cambria Math" w:hAnsi="Cambria Math"/>
              </w:rPr>
              <m:t>Γ(</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 x IN y </m:t>
            </m:r>
            <m:r>
              <m:rPr>
                <m:sty m:val="p"/>
              </m:rPr>
              <w:rPr>
                <w:rFonts w:ascii="Cambria Math" w:hAnsi="Cambria Math"/>
              </w:rPr>
              <m:t>:</m:t>
            </m:r>
            <m:r>
              <w:rPr>
                <w:rFonts w:ascii="Cambria Math" w:hAnsi="Cambria Math"/>
              </w:rPr>
              <m:t> Bool</m:t>
            </m:r>
          </m:den>
        </m:f>
      </m:oMath>
    </w:p>
    <w:p w14:paraId="53E179F8" w14:textId="77777777" w:rsidR="0054548D" w:rsidRDefault="00000000">
      <w:pPr>
        <w:pStyle w:val="BodyText"/>
      </w:pPr>
      <w:r>
        <w:t xml:space="preserve">[T-NIN] </w:t>
      </w:r>
      <m:oMath>
        <m:f>
          <m:fPr>
            <m:ctrlPr>
              <w:rPr>
                <w:rFonts w:ascii="Cambria Math" w:hAnsi="Cambria Math"/>
              </w:rPr>
            </m:ctrlPr>
          </m:fPr>
          <m:num>
            <m:r>
              <m:rPr>
                <m:sty m:val="p"/>
              </m:rPr>
              <w:rPr>
                <w:rFonts w:ascii="Cambria Math" w:hAnsi="Cambria Math"/>
              </w:rPr>
              <m:t>Γ(</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 Sym    </m:t>
            </m:r>
            <m:r>
              <m:rPr>
                <m:sty m:val="p"/>
              </m:rPr>
              <w:rPr>
                <w:rFonts w:ascii="Cambria Math" w:hAnsi="Cambria Math"/>
              </w:rPr>
              <m:t>Γ(</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 SymList</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 x NIN y </m:t>
            </m:r>
            <m:r>
              <m:rPr>
                <m:sty m:val="p"/>
              </m:rPr>
              <w:rPr>
                <w:rFonts w:ascii="Cambria Math" w:hAnsi="Cambria Math"/>
              </w:rPr>
              <m:t>:</m:t>
            </m:r>
            <m:r>
              <w:rPr>
                <w:rFonts w:ascii="Cambria Math" w:hAnsi="Cambria Math"/>
              </w:rPr>
              <m:t> Bool</m:t>
            </m:r>
          </m:den>
        </m:f>
      </m:oMath>
    </w:p>
    <w:p w14:paraId="0C1113D6" w14:textId="77777777" w:rsidR="0054548D" w:rsidRDefault="00000000">
      <w:pPr>
        <w:pStyle w:val="BodyText"/>
      </w:pPr>
      <w:r>
        <w:rPr>
          <w:b/>
          <w:bCs/>
        </w:rPr>
        <w:t>Let Bindings</w:t>
      </w:r>
    </w:p>
    <w:p w14:paraId="0632AC12" w14:textId="77777777" w:rsidR="0054548D" w:rsidRDefault="00000000">
      <w:pPr>
        <w:pStyle w:val="BodyText"/>
      </w:pPr>
      <w:r>
        <w:t>Rule T-LET governs local variable bindings introduced by the LET construct, enabling named intermediate calculations within fee computation blocks.</w:t>
      </w:r>
    </w:p>
    <w:p w14:paraId="60FFF246" w14:textId="77777777" w:rsidR="0054548D" w:rsidRDefault="00000000">
      <w:pPr>
        <w:pStyle w:val="BodyText"/>
      </w:pPr>
      <w:r>
        <w:t>When typing LET x AS e₁; e₂, the rule proceeds in three steps:</w:t>
      </w:r>
    </w:p>
    <w:p w14:paraId="55FE490F" w14:textId="77777777" w:rsidR="0054548D" w:rsidRDefault="00000000">
      <w:pPr>
        <w:numPr>
          <w:ilvl w:val="0"/>
          <w:numId w:val="7"/>
        </w:numPr>
      </w:pPr>
      <w:r>
        <w:t>First, it infers the type τ₁ for the defining expression e₁;</w:t>
      </w:r>
    </w:p>
    <w:p w14:paraId="1745B84B" w14:textId="77777777" w:rsidR="0054548D" w:rsidRDefault="00000000">
      <w:pPr>
        <w:numPr>
          <w:ilvl w:val="0"/>
          <w:numId w:val="7"/>
        </w:numPr>
      </w:pPr>
      <w:r>
        <w:t>Then, it extends the typing environment Γ with the new binding x ↦ τ₁;</w:t>
      </w:r>
    </w:p>
    <w:p w14:paraId="68BBC1AD" w14:textId="77777777" w:rsidR="0054548D" w:rsidRDefault="00000000">
      <w:pPr>
        <w:numPr>
          <w:ilvl w:val="0"/>
          <w:numId w:val="7"/>
        </w:numPr>
      </w:pPr>
      <w:r>
        <w:t>Finally, it infers the type τ₂ of the body expression e₂ under this extended environment.</w:t>
      </w:r>
    </w:p>
    <w:p w14:paraId="0601FF0A" w14:textId="77777777" w:rsidR="0054548D" w:rsidRDefault="00000000">
      <w:pPr>
        <w:pStyle w:val="FirstParagraph"/>
      </w:pPr>
      <w:r>
        <w:t>The overall LET expression has type τ₂ - the type of its body.</w:t>
      </w:r>
    </w:p>
    <w:p w14:paraId="15A1D969" w14:textId="77777777" w:rsidR="0054548D" w:rsidRDefault="00000000">
      <w:pPr>
        <w:pStyle w:val="BodyText"/>
      </w:pPr>
      <w:r>
        <w:t>This rule enables intermediate calculations with named values, improving readability and avoiding repeated subexpressions. For example:</w:t>
      </w:r>
    </w:p>
    <w:p w14:paraId="7D1E3C26" w14:textId="77777777" w:rsidR="0054548D" w:rsidRDefault="00000000">
      <w:pPr>
        <w:pStyle w:val="BodyText"/>
      </w:pPr>
      <w:r>
        <w:t>LET ClaimFee AS 265&lt;EUR&gt;</w:t>
      </w:r>
    </w:p>
    <w:p w14:paraId="0BF6880D" w14:textId="77777777" w:rsidR="0054548D" w:rsidRDefault="00000000">
      <w:pPr>
        <w:pStyle w:val="BodyText"/>
      </w:pPr>
      <w:r>
        <w:t>LET ExcessClaims AS ClaimCount - 15</w:t>
      </w:r>
    </w:p>
    <w:p w14:paraId="0BCE1326" w14:textId="77777777" w:rsidR="0054548D" w:rsidRDefault="00000000">
      <w:pPr>
        <w:pStyle w:val="BodyText"/>
      </w:pPr>
      <w:r>
        <w:t>YIELD ClaimFee * ExcessClaims</w:t>
      </w:r>
    </w:p>
    <w:p w14:paraId="7BC143A9" w14:textId="77777777" w:rsidR="0054548D" w:rsidRDefault="00000000">
      <w:pPr>
        <w:pStyle w:val="BodyText"/>
      </w:pPr>
      <w:r>
        <w:t>Here, ClaimFee is bound to type Amt[EUR], ExcessClaims is bound to type Num, and the multiplication yields Amt[EUR] by rule T-MUL-SCALAR-R.</w:t>
      </w:r>
    </w:p>
    <w:p w14:paraId="404DA6B3" w14:textId="77777777" w:rsidR="0054548D" w:rsidRDefault="00000000">
      <w:pPr>
        <w:pStyle w:val="BodyText"/>
      </w:pPr>
      <w:r>
        <w:t xml:space="preserve">[T-LET]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 τ1    </m:t>
            </m:r>
            <m:r>
              <m:rPr>
                <m:sty m:val="p"/>
              </m:rPr>
              <w:rPr>
                <w:rFonts w:ascii="Cambria Math" w:hAnsi="Cambria Math"/>
              </w:rPr>
              <m:t>Γ[</m:t>
            </m:r>
            <m:r>
              <w:rPr>
                <w:rFonts w:ascii="Cambria Math" w:hAnsi="Cambria Math"/>
              </w:rPr>
              <m:t>x </m:t>
            </m:r>
            <m:r>
              <m:rPr>
                <m:sty m:val="p"/>
              </m:rPr>
              <w:rPr>
                <w:rFonts w:ascii="Cambria Math" w:hAnsi="Cambria Math"/>
              </w:rPr>
              <m:t>↦</m:t>
            </m:r>
            <m:r>
              <w:rPr>
                <w:rFonts w:ascii="Cambria Math" w:hAnsi="Cambria Math"/>
              </w:rPr>
              <m:t> τ1</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 e2  </m:t>
            </m:r>
            <m:r>
              <m:rPr>
                <m:sty m:val="p"/>
              </m:rPr>
              <w:rPr>
                <w:rFonts w:ascii="Cambria Math" w:hAnsi="Cambria Math"/>
              </w:rPr>
              <m:t>:</m:t>
            </m:r>
            <m:r>
              <w:rPr>
                <w:rFonts w:ascii="Cambria Math" w:hAnsi="Cambria Math"/>
              </w:rPr>
              <m:t> τ2 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 LET x AS e1</m:t>
            </m:r>
            <m:r>
              <m:rPr>
                <m:sty m:val="p"/>
              </m:rPr>
              <w:rPr>
                <w:rFonts w:ascii="Cambria Math" w:hAnsi="Cambria Math"/>
              </w:rPr>
              <m:t>;</m:t>
            </m:r>
            <m:r>
              <w:rPr>
                <w:rFonts w:ascii="Cambria Math" w:hAnsi="Cambria Math"/>
              </w:rPr>
              <m:t>e2  </m:t>
            </m:r>
            <m:r>
              <m:rPr>
                <m:sty m:val="p"/>
              </m:rPr>
              <w:rPr>
                <w:rFonts w:ascii="Cambria Math" w:hAnsi="Cambria Math"/>
              </w:rPr>
              <m:t>:</m:t>
            </m:r>
            <m:r>
              <w:rPr>
                <w:rFonts w:ascii="Cambria Math" w:hAnsi="Cambria Math"/>
              </w:rPr>
              <m:t> τ2</m:t>
            </m:r>
          </m:den>
        </m:f>
      </m:oMath>
    </w:p>
    <w:p w14:paraId="7E01080D" w14:textId="77777777" w:rsidR="0054548D" w:rsidRDefault="00000000">
      <w:pPr>
        <w:pStyle w:val="BodyText"/>
      </w:pPr>
      <w:r>
        <w:rPr>
          <w:b/>
          <w:bCs/>
        </w:rPr>
        <w:lastRenderedPageBreak/>
        <w:t>Fee Body Typing</w:t>
      </w:r>
    </w:p>
    <w:p w14:paraId="089ED190" w14:textId="77777777" w:rsidR="0054548D" w:rsidRDefault="00000000">
      <w:pPr>
        <w:pStyle w:val="BodyText"/>
      </w:pPr>
      <w:r>
        <w:t>Typing fee computations - especially polymorphic fees that work across multiple currencies - requires reasoning about all possible YIELD statements within a fee body. The type system must verify that every execution path produces a value of the same type; a fee that might return EUR amounts on some paths and USD amounts on others would violate type safety.</w:t>
      </w:r>
    </w:p>
    <w:p w14:paraId="4FDA3816" w14:textId="77777777" w:rsidR="0054548D" w:rsidRDefault="00000000">
      <w:pPr>
        <w:pStyle w:val="BodyText"/>
      </w:pPr>
      <w:r>
        <w:t>To express this requirement, we introduce an auxiliary judgment Γ ⊢ body yields τ, read as "under environment Γ, all YIELD expressions in the fee body have type τ." This judgment is distinct from the expression typing judgment Γ ⊢ e : τ and captures the constraint that all yield points must agree on their result type.</w:t>
      </w:r>
    </w:p>
    <w:p w14:paraId="01A6755E" w14:textId="77777777" w:rsidR="0054548D" w:rsidRDefault="00000000">
      <w:pPr>
        <w:pStyle w:val="BodyText"/>
      </w:pPr>
      <w:r>
        <w:t xml:space="preserve">Rule </w:t>
      </w:r>
      <w:r>
        <w:rPr>
          <w:b/>
          <w:bCs/>
        </w:rPr>
        <w:t>T-YIELD-STMT</w:t>
      </w:r>
      <w:r>
        <w:t xml:space="preserve"> types a conditional yield statement: if expression e has type τ and condition φ is Boolean, then YIELD e IF φ yields type τ. The condition φ does not affect the yield type - it only determines whether this yield is selected at runtime.</w:t>
      </w:r>
    </w:p>
    <w:p w14:paraId="69F154AA" w14:textId="77777777" w:rsidR="0054548D" w:rsidRDefault="00000000">
      <w:pPr>
        <w:pStyle w:val="BodyText"/>
      </w:pPr>
      <w:r>
        <w:t xml:space="preserve">Rule </w:t>
      </w:r>
      <w:r>
        <w:rPr>
          <w:b/>
          <w:bCs/>
        </w:rPr>
        <w:t>T-YIELD-UNCONDITIONAL</w:t>
      </w:r>
      <w:r>
        <w:t xml:space="preserve"> handles unconditional yields: if e has type τ, then YIELD e yields type τ.</w:t>
      </w:r>
    </w:p>
    <w:p w14:paraId="6A49DC77" w14:textId="77777777" w:rsidR="0054548D" w:rsidRDefault="00000000">
      <w:pPr>
        <w:pStyle w:val="BodyText"/>
      </w:pPr>
      <w:r>
        <w:t xml:space="preserve">Rule </w:t>
      </w:r>
      <w:r>
        <w:rPr>
          <w:b/>
          <w:bCs/>
        </w:rPr>
        <w:t>T-YIELD-SEQ</w:t>
      </w:r>
      <w:r>
        <w:t xml:space="preserve"> is the critical compositionality rule: when multiple yield statements (or CASE blocks containing yields) appear in sequence, they must all yield the </w:t>
      </w:r>
      <w:r>
        <w:rPr>
          <w:i/>
          <w:iCs/>
        </w:rPr>
        <w:t>same</w:t>
      </w:r>
      <w:r>
        <w:t xml:space="preserve"> type τ. If stmt yields τ and rest yields τ, then their sequence yields τ. This rule prevents type inconsistency across branches - a fee with YIELD 100&lt;EUR&gt; IF cond1 followed by YIELD 200&lt;USD&gt; IF cond2 would fail to type-check because the two yields disagree on currency.</w:t>
      </w:r>
    </w:p>
    <w:p w14:paraId="2E9BBD50" w14:textId="77777777" w:rsidR="0054548D" w:rsidRDefault="00000000">
      <w:pPr>
        <w:pStyle w:val="BodyText"/>
      </w:pPr>
      <w:r>
        <w:t xml:space="preserve">Rule </w:t>
      </w:r>
      <w:r>
        <w:rPr>
          <w:b/>
          <w:bCs/>
        </w:rPr>
        <w:t>T-LET-IN-BODY</w:t>
      </w:r>
      <w:r>
        <w:t xml:space="preserve"> extends the environment with a local binding before typing the remainder of the fee body. The bound variable's type τ₁ becomes available when checking subsequent yields, enabling local calculations that feed into yield expressions.</w:t>
      </w:r>
    </w:p>
    <w:p w14:paraId="27BA781C" w14:textId="77777777" w:rsidR="0054548D" w:rsidRDefault="00000000">
      <w:pPr>
        <w:pStyle w:val="BodyText"/>
      </w:pPr>
      <w:r>
        <w:t xml:space="preserve">[T-YIELD-STMT]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 φ  </m:t>
            </m:r>
            <m:r>
              <m:rPr>
                <m:sty m:val="p"/>
              </m:rPr>
              <w:rPr>
                <w:rFonts w:ascii="Cambria Math" w:hAnsi="Cambria Math"/>
              </w:rPr>
              <m:t>:</m:t>
            </m:r>
            <m:r>
              <w:rPr>
                <w:rFonts w:ascii="Cambria Math" w:hAnsi="Cambria Math"/>
              </w:rPr>
              <m:t> Bool 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YIELD e IF φ</m:t>
            </m:r>
            <m:r>
              <m:rPr>
                <m:sty m:val="p"/>
              </m:rPr>
              <w:rPr>
                <w:rFonts w:ascii="Cambria Math" w:hAnsi="Cambria Math"/>
              </w:rPr>
              <m:t>)</m:t>
            </m:r>
            <m:r>
              <w:rPr>
                <w:rFonts w:ascii="Cambria Math" w:hAnsi="Cambria Math"/>
              </w:rPr>
              <m:t> yields τ </m:t>
            </m:r>
          </m:den>
        </m:f>
      </m:oMath>
    </w:p>
    <w:p w14:paraId="379EA00A" w14:textId="77777777" w:rsidR="0054548D" w:rsidRDefault="00000000">
      <w:pPr>
        <w:pStyle w:val="BodyText"/>
      </w:pPr>
      <w:r>
        <w:t xml:space="preserve">[T-YIELD-UNCONDITIONAL]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 e  </m:t>
            </m:r>
            <m:r>
              <m:rPr>
                <m:sty m:val="p"/>
              </m:rPr>
              <w:rPr>
                <w:rFonts w:ascii="Cambria Math" w:hAnsi="Cambria Math"/>
              </w:rPr>
              <m:t>:</m:t>
            </m:r>
            <m:r>
              <w:rPr>
                <w:rFonts w:ascii="Cambria Math" w:hAnsi="Cambria Math"/>
              </w:rPr>
              <m:t> τ 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YIELD e</m:t>
            </m:r>
            <m:r>
              <m:rPr>
                <m:sty m:val="p"/>
              </m:rPr>
              <w:rPr>
                <w:rFonts w:ascii="Cambria Math" w:hAnsi="Cambria Math"/>
              </w:rPr>
              <m:t>)</m:t>
            </m:r>
            <m:r>
              <w:rPr>
                <w:rFonts w:ascii="Cambria Math" w:hAnsi="Cambria Math"/>
              </w:rPr>
              <m:t> yields τ </m:t>
            </m:r>
          </m:den>
        </m:f>
      </m:oMath>
    </w:p>
    <w:p w14:paraId="5B6E7F9D" w14:textId="77777777" w:rsidR="0054548D" w:rsidRDefault="00000000">
      <w:pPr>
        <w:pStyle w:val="BodyText"/>
      </w:pPr>
      <w:r>
        <w:t xml:space="preserve">[T-YIELD-SEQ]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 stmt yields τ   </m:t>
            </m:r>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 rest yields τ 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stmt</m:t>
            </m:r>
            <m:r>
              <m:rPr>
                <m:sty m:val="p"/>
              </m:rPr>
              <w:rPr>
                <w:rFonts w:ascii="Cambria Math" w:hAnsi="Cambria Math"/>
              </w:rPr>
              <m:t>;</m:t>
            </m:r>
            <m:r>
              <w:rPr>
                <w:rFonts w:ascii="Cambria Math" w:hAnsi="Cambria Math"/>
              </w:rPr>
              <m:t> rest</m:t>
            </m:r>
            <m:r>
              <m:rPr>
                <m:sty m:val="p"/>
              </m:rPr>
              <w:rPr>
                <w:rFonts w:ascii="Cambria Math" w:hAnsi="Cambria Math"/>
              </w:rPr>
              <m:t>)</m:t>
            </m:r>
            <m:r>
              <w:rPr>
                <w:rFonts w:ascii="Cambria Math" w:hAnsi="Cambria Math"/>
              </w:rPr>
              <m:t> yields τ </m:t>
            </m:r>
          </m:den>
        </m:f>
      </m:oMath>
    </w:p>
    <w:p w14:paraId="39229E06" w14:textId="77777777" w:rsidR="0054548D" w:rsidRDefault="00000000">
      <w:pPr>
        <w:pStyle w:val="BodyText"/>
      </w:pPr>
      <w:r>
        <w:t xml:space="preserve">[T-LET-IN-BODY]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 e1  </m:t>
            </m:r>
            <m:r>
              <m:rPr>
                <m:sty m:val="p"/>
              </m:rPr>
              <w:rPr>
                <w:rFonts w:ascii="Cambria Math" w:hAnsi="Cambria Math"/>
              </w:rPr>
              <m:t>:</m:t>
            </m:r>
            <m:r>
              <w:rPr>
                <w:rFonts w:ascii="Cambria Math" w:hAnsi="Cambria Math"/>
              </w:rPr>
              <m:t> τ1   </m:t>
            </m:r>
            <m:r>
              <m:rPr>
                <m:sty m:val="p"/>
              </m:rPr>
              <w:rPr>
                <w:rFonts w:ascii="Cambria Math" w:hAnsi="Cambria Math"/>
              </w:rPr>
              <m:t>Γ[</m:t>
            </m:r>
            <m:r>
              <w:rPr>
                <w:rFonts w:ascii="Cambria Math" w:hAnsi="Cambria Math"/>
              </w:rPr>
              <m:t>x </m:t>
            </m:r>
            <m:r>
              <m:rPr>
                <m:sty m:val="p"/>
              </m:rPr>
              <w:rPr>
                <w:rFonts w:ascii="Cambria Math" w:hAnsi="Cambria Math"/>
              </w:rPr>
              <m:t>↦</m:t>
            </m:r>
            <m:r>
              <w:rPr>
                <w:rFonts w:ascii="Cambria Math" w:hAnsi="Cambria Math"/>
              </w:rPr>
              <m:t> τ</m:t>
            </m:r>
            <m:r>
              <m:rPr>
                <m:sty m:val="p"/>
              </m:rPr>
              <w:rPr>
                <w:rFonts w:ascii="Cambria Math" w:hAnsi="Cambria Math"/>
              </w:rPr>
              <m:t>₁]</m:t>
            </m:r>
            <m:r>
              <w:rPr>
                <w:rFonts w:ascii="Cambria Math" w:hAnsi="Cambria Math"/>
              </w:rPr>
              <m:t> </m:t>
            </m:r>
            <m:r>
              <m:rPr>
                <m:sty m:val="p"/>
              </m:rPr>
              <w:rPr>
                <w:rFonts w:ascii="Cambria Math" w:hAnsi="Cambria Math"/>
              </w:rPr>
              <m:t>⊢</m:t>
            </m:r>
            <m:r>
              <w:rPr>
                <w:rFonts w:ascii="Cambria Math" w:hAnsi="Cambria Math"/>
              </w:rPr>
              <m:t> rest yields τ2 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LET x AS e1</m:t>
            </m:r>
            <m:r>
              <m:rPr>
                <m:sty m:val="p"/>
              </m:rPr>
              <w:rPr>
                <w:rFonts w:ascii="Cambria Math" w:hAnsi="Cambria Math"/>
              </w:rPr>
              <m:t>;</m:t>
            </m:r>
            <m:r>
              <w:rPr>
                <w:rFonts w:ascii="Cambria Math" w:hAnsi="Cambria Math"/>
              </w:rPr>
              <m:t> rest</m:t>
            </m:r>
            <m:r>
              <m:rPr>
                <m:sty m:val="p"/>
              </m:rPr>
              <w:rPr>
                <w:rFonts w:ascii="Cambria Math" w:hAnsi="Cambria Math"/>
              </w:rPr>
              <m:t>)</m:t>
            </m:r>
            <m:r>
              <w:rPr>
                <w:rFonts w:ascii="Cambria Math" w:hAnsi="Cambria Math"/>
              </w:rPr>
              <m:t> yields τ2</m:t>
            </m:r>
          </m:den>
        </m:f>
      </m:oMath>
    </w:p>
    <w:p w14:paraId="00152CEB" w14:textId="77777777" w:rsidR="0054548D" w:rsidRDefault="00000000">
      <w:pPr>
        <w:pStyle w:val="BodyText"/>
      </w:pPr>
      <w:r>
        <w:rPr>
          <w:b/>
          <w:bCs/>
        </w:rPr>
        <w:t>Non-Polymorphic Fee Rules</w:t>
      </w:r>
    </w:p>
    <w:p w14:paraId="4768D397" w14:textId="77777777" w:rsidR="0054548D" w:rsidRDefault="00000000">
      <w:pPr>
        <w:pStyle w:val="BodyText"/>
      </w:pPr>
      <w:r>
        <w:t>Most fee computations target a specific currency determined by the jurisdiction - EPO fees are in EUR, USPTO fees are in USD, JPO fees are in JPY. The non-polymorphic fee rules type such single-currency fee definitions.</w:t>
      </w:r>
    </w:p>
    <w:p w14:paraId="1B8A25BF" w14:textId="77777777" w:rsidR="0054548D" w:rsidRDefault="00000000">
      <w:pPr>
        <w:pStyle w:val="BodyText"/>
      </w:pPr>
      <w:r>
        <w:t xml:space="preserve">Rule T-FEE types a fee block without an explicit currency declaration. If the fee body yields type τ - which must be either Num (for dimensionless intermediate calculations) or Amt[c] </w:t>
      </w:r>
      <w:r>
        <w:lastRenderedPageBreak/>
        <w:t>for some currency c - then the entire COMPUTE FEE block has that type. The type is inferred from the yield expressions within the body.</w:t>
      </w:r>
    </w:p>
    <w:p w14:paraId="1DD6C1FE" w14:textId="77777777" w:rsidR="0054548D" w:rsidRDefault="00000000">
      <w:pPr>
        <w:pStyle w:val="BodyText"/>
      </w:pPr>
      <w:r>
        <w:t>Rule T-FEE-RETURN handles fees with explicit RETURN currency declarations, providing documentation and additional type checking. The declaration RETURN c constrains the body to yield Amt[c]; if the body's yields are inconsistent with the declared currency, type checking fails. For example:</w:t>
      </w:r>
    </w:p>
    <w:p w14:paraId="52DCEA30" w14:textId="77777777" w:rsidR="0054548D" w:rsidRDefault="00000000">
      <w:pPr>
        <w:pStyle w:val="BodyText"/>
      </w:pPr>
      <w:r>
        <w:t>COMPUTE FEE FilingFee RETURN EUR</w:t>
      </w:r>
    </w:p>
    <w:p w14:paraId="00112722" w14:textId="77777777" w:rsidR="0054548D" w:rsidRDefault="00000000">
      <w:pPr>
        <w:pStyle w:val="BodyText"/>
      </w:pPr>
      <w:r>
        <w:t>YIELD 135&lt;EUR&gt;</w:t>
      </w:r>
    </w:p>
    <w:p w14:paraId="2D16E1D9" w14:textId="77777777" w:rsidR="0054548D" w:rsidRDefault="00000000">
      <w:pPr>
        <w:pStyle w:val="BodyText"/>
      </w:pPr>
      <w:r>
        <w:t>ENDCOMPUTE</w:t>
      </w:r>
    </w:p>
    <w:p w14:paraId="61E318E6" w14:textId="77777777" w:rsidR="0054548D" w:rsidRDefault="00000000">
      <w:pPr>
        <w:pStyle w:val="BodyText"/>
      </w:pPr>
      <w:r>
        <w:t>The explicit RETURN EUR documents the fee's currency and catches errors if someone later modifies a yield to use a different currency.</w:t>
      </w:r>
    </w:p>
    <w:p w14:paraId="603F1994" w14:textId="77777777" w:rsidR="0054548D" w:rsidRDefault="00000000">
      <w:pPr>
        <w:pStyle w:val="BodyText"/>
      </w:pPr>
      <w:r>
        <w:t xml:space="preserve">[T-FEE]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 body yields τ    τ 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Num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 τ</m:t>
            </m:r>
          </m:den>
        </m:f>
      </m:oMath>
    </w:p>
    <w:p w14:paraId="6FC51D6D" w14:textId="77777777" w:rsidR="0054548D" w:rsidRDefault="00000000">
      <w:pPr>
        <w:pStyle w:val="BodyText"/>
      </w:pPr>
      <w:r>
        <w:t xml:space="preserve">[T-FEE-RETURN]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 body yields Amt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COMPUTE FEE f RETURN c body ENDCOMPUTE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7806D68E" w14:textId="77777777" w:rsidR="0054548D" w:rsidRDefault="00000000">
      <w:pPr>
        <w:pStyle w:val="BodyText"/>
      </w:pPr>
      <w:r>
        <w:rPr>
          <w:b/>
          <w:bCs/>
        </w:rPr>
        <w:t>Polymorphic Fee Rules</w:t>
      </w:r>
    </w:p>
    <w:p w14:paraId="3961FE72" w14:textId="77777777" w:rsidR="0054548D" w:rsidRDefault="00000000">
      <w:pPr>
        <w:pStyle w:val="BodyText"/>
      </w:pPr>
      <w:r>
        <w:t>Some fee definitions must work across multiple currencies - for example, a base fee structure that different jurisdictions instantiate with their local currency, or a template fee that regional patent organizations share among member states. Polymorphic fees address this need by abstracting over the currency type.</w:t>
      </w:r>
    </w:p>
    <w:p w14:paraId="7F6B34CD" w14:textId="77777777" w:rsidR="0054548D" w:rsidRDefault="00000000">
      <w:pPr>
        <w:pStyle w:val="BodyText"/>
      </w:pPr>
      <w:r>
        <w:t xml:space="preserve">Rule T-POLY-FEE types such generic fee definitions. The syntax COMPUTE FEE f&lt;α&gt; RETURN α introduces a </w:t>
      </w:r>
      <w:r>
        <w:rPr>
          <w:i/>
          <w:iCs/>
        </w:rPr>
        <w:t>type variable</w:t>
      </w:r>
      <w:r>
        <w:t xml:space="preserve"> α that stands for an unknown currency. The premise α ∉ dom(Γ) ensures this variable is fresh - not already bound to a specific currency in the current context.</w:t>
      </w:r>
    </w:p>
    <w:p w14:paraId="4ED5910F" w14:textId="77777777" w:rsidR="0054548D" w:rsidRDefault="00000000">
      <w:pPr>
        <w:pStyle w:val="BodyText"/>
      </w:pPr>
      <w:r>
        <w:t>The extended context Γ, α : Currency treats α as a placeholder that ranges over any ISO-4217 currency code. Under this extended context, the fee body must yield type Amt[α] - an amount denominated in the placeholder currency. Within the body, currency literals use the type variable: 100&lt;α&gt; represents "100 units of whatever currency α is instantiated to."</w:t>
      </w:r>
    </w:p>
    <w:p w14:paraId="722ADE90" w14:textId="77777777" w:rsidR="0054548D" w:rsidRDefault="00000000">
      <w:pPr>
        <w:pStyle w:val="BodyText"/>
      </w:pPr>
      <w:r>
        <w:t>The resulting fee has polymorphic type ∀α. Amt[α], read as "for all currencies α, an amount in α." This type indicates the fee can be instantiated at any concrete currency to produce a fee of that specific currency.</w:t>
      </w:r>
    </w:p>
    <w:p w14:paraId="71A92CA6" w14:textId="77777777" w:rsidR="0054548D" w:rsidRDefault="00000000">
      <w:pPr>
        <w:pStyle w:val="BodyText"/>
      </w:pPr>
      <w:r>
        <w:t xml:space="preserve">[T-POLY-FEE] </w:t>
      </w:r>
      <m:oMath>
        <m:f>
          <m:fPr>
            <m:ctrlPr>
              <w:rPr>
                <w:rFonts w:ascii="Cambria Math" w:hAnsi="Cambria Math"/>
              </w:rPr>
            </m:ctrlPr>
          </m:fPr>
          <m:num>
            <m:r>
              <w:rPr>
                <w:rFonts w:ascii="Cambria Math" w:hAnsi="Cambria Math"/>
              </w:rPr>
              <m:t>α </m:t>
            </m:r>
            <m:r>
              <m:rPr>
                <m:sty m:val="p"/>
              </m:rPr>
              <w:rPr>
                <w:rFonts w:ascii="Cambria Math" w:hAnsi="Cambria Math"/>
              </w:rPr>
              <m:t>∉</m:t>
            </m:r>
            <m:r>
              <w:rPr>
                <w:rFonts w:ascii="Cambria Math" w:hAnsi="Cambria Math"/>
              </w:rPr>
              <m:t> dom</m:t>
            </m:r>
            <m:r>
              <m:rPr>
                <m:sty m:val="p"/>
              </m:rPr>
              <w:rPr>
                <w:rFonts w:ascii="Cambria Math" w:hAnsi="Cambria Math"/>
              </w:rPr>
              <m:t>(Γ)</m:t>
            </m:r>
            <m:r>
              <w:rPr>
                <w:rFonts w:ascii="Cambria Math" w:hAnsi="Cambria Math"/>
              </w:rPr>
              <m:t>    </m:t>
            </m:r>
            <m:r>
              <m:rPr>
                <m:sty m:val="p"/>
              </m:rPr>
              <w:rPr>
                <w:rFonts w:ascii="Cambria Math" w:hAnsi="Cambria Math"/>
              </w:rPr>
              <m:t>Γ,</m:t>
            </m:r>
            <m:r>
              <w:rPr>
                <w:rFonts w:ascii="Cambria Math" w:hAnsi="Cambria Math"/>
              </w:rPr>
              <m:t> α </m:t>
            </m:r>
            <m:r>
              <m:rPr>
                <m:sty m:val="p"/>
              </m:rPr>
              <w:rPr>
                <w:rFonts w:ascii="Cambria Math" w:hAnsi="Cambria Math"/>
              </w:rPr>
              <m:t>:</m:t>
            </m:r>
            <m:r>
              <w:rPr>
                <w:rFonts w:ascii="Cambria Math" w:hAnsi="Cambria Math"/>
              </w:rPr>
              <m:t> Currency </m:t>
            </m:r>
            <m:r>
              <m:rPr>
                <m:sty m:val="p"/>
              </m:rPr>
              <w:rPr>
                <w:rFonts w:ascii="Cambria Math" w:hAnsi="Cambria Math"/>
              </w:rPr>
              <m:t>⊢</m:t>
            </m:r>
            <m:r>
              <w:rPr>
                <w:rFonts w:ascii="Cambria Math" w:hAnsi="Cambria Math"/>
              </w:rPr>
              <m:t> body yields Amt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COMPUTE FEE f</m:t>
            </m:r>
            <m:r>
              <m:rPr>
                <m:sty m:val="p"/>
              </m:rPr>
              <w:rPr>
                <w:rFonts w:ascii="Cambria Math" w:hAnsi="Cambria Math"/>
              </w:rPr>
              <m:t>&lt;</m:t>
            </m:r>
            <m:r>
              <w:rPr>
                <w:rFonts w:ascii="Cambria Math" w:hAnsi="Cambria Math"/>
              </w:rPr>
              <m:t>α</m:t>
            </m:r>
            <m:r>
              <m:rPr>
                <m:sty m:val="p"/>
              </m:rPr>
              <w:rPr>
                <w:rFonts w:ascii="Cambria Math" w:hAnsi="Cambria Math"/>
              </w:rPr>
              <m:t>&gt;</m:t>
            </m:r>
            <m:r>
              <w:rPr>
                <w:rFonts w:ascii="Cambria Math" w:hAnsi="Cambria Math"/>
              </w:rPr>
              <m:t> RETURN α body ENDCOMPUTE</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α</m:t>
            </m:r>
            <m:r>
              <m:rPr>
                <m:sty m:val="p"/>
              </m:rPr>
              <w:rPr>
                <w:rFonts w:ascii="Cambria Math" w:hAnsi="Cambria Math"/>
              </w:rPr>
              <m:t>]</m:t>
            </m:r>
          </m:den>
        </m:f>
      </m:oMath>
    </w:p>
    <w:p w14:paraId="0222E3B4" w14:textId="77777777" w:rsidR="0054548D" w:rsidRDefault="00000000">
      <w:pPr>
        <w:pStyle w:val="BodyText"/>
      </w:pPr>
      <w:r>
        <w:rPr>
          <w:b/>
          <w:bCs/>
        </w:rPr>
        <w:t>Type Instantiation</w:t>
      </w:r>
    </w:p>
    <w:p w14:paraId="0F862C90" w14:textId="77777777" w:rsidR="0054548D" w:rsidRDefault="00000000">
      <w:pPr>
        <w:pStyle w:val="BodyText"/>
      </w:pPr>
      <w:r>
        <w:t xml:space="preserve">Rule </w:t>
      </w:r>
      <w:r>
        <w:rPr>
          <w:b/>
          <w:bCs/>
        </w:rPr>
        <w:t>T-INST</w:t>
      </w:r>
      <w:r>
        <w:t xml:space="preserve"> eliminates polymorphism by instantiating a generic fee at a concrete currency, converting the abstract fee definition into a currency-specific one.</w:t>
      </w:r>
    </w:p>
    <w:p w14:paraId="29683E53" w14:textId="77777777" w:rsidR="0054548D" w:rsidRDefault="00000000">
      <w:pPr>
        <w:pStyle w:val="BodyText"/>
      </w:pPr>
      <w:r>
        <w:lastRenderedPageBreak/>
        <w:t>Given a fee f with polymorphic type ∀α. Amt[α] and a specific ISO-4217 currency code c, the instantiation f@c has type Amt[c]. The @ operator is the instantiation operator that substitutes the concrete currency for the type variable throughout the fee's type.</w:t>
      </w:r>
    </w:p>
    <w:p w14:paraId="1F2BAE80" w14:textId="77777777" w:rsidR="0054548D" w:rsidRDefault="00000000">
      <w:pPr>
        <w:pStyle w:val="BodyText"/>
      </w:pPr>
      <w:r>
        <w:t>Instantiation typically occurs in two contexts:</w:t>
      </w:r>
    </w:p>
    <w:p w14:paraId="69D22EC0" w14:textId="77777777" w:rsidR="0054548D" w:rsidRDefault="00000000">
      <w:pPr>
        <w:numPr>
          <w:ilvl w:val="0"/>
          <w:numId w:val="8"/>
        </w:numPr>
      </w:pPr>
      <w:r>
        <w:rPr>
          <w:b/>
          <w:bCs/>
        </w:rPr>
        <w:t>Explicit composition</w:t>
      </w:r>
      <w:r>
        <w:t>: When a child jurisdiction composes with a parent that defines polymorphic fees, the child specifies concrete currencies for inherited fees. For example, if base_ep.ipf defines a polymorphic BaseFee&lt;α&gt;, then de.ipf (German national phase) might instantiate it as BaseFee@EUR.</w:t>
      </w:r>
    </w:p>
    <w:p w14:paraId="3F587C2D" w14:textId="77777777" w:rsidR="0054548D" w:rsidRDefault="00000000">
      <w:pPr>
        <w:numPr>
          <w:ilvl w:val="0"/>
          <w:numId w:val="8"/>
        </w:numPr>
      </w:pPr>
      <w:r>
        <w:rPr>
          <w:b/>
          <w:bCs/>
        </w:rPr>
        <w:t>Implicit inference</w:t>
      </w:r>
      <w:r>
        <w:t>: When a polymorphic fee is used in a context requiring a specific currency - such as being added to a EUR amount - the type checker infers the necessary instantiation.</w:t>
      </w:r>
    </w:p>
    <w:p w14:paraId="40A0B0ED" w14:textId="77777777" w:rsidR="0054548D" w:rsidRDefault="00000000">
      <w:pPr>
        <w:pStyle w:val="FirstParagraph"/>
      </w:pPr>
      <w:r>
        <w:t>After instantiation, the fee behaves exactly like a non-polymorphic fee of the concrete currency type, with all the same type-checking rules applying to its results.</w:t>
      </w:r>
    </w:p>
    <w:p w14:paraId="6FB0411F" w14:textId="77777777" w:rsidR="0054548D" w:rsidRDefault="00000000">
      <w:pPr>
        <w:pStyle w:val="BodyText"/>
      </w:pPr>
      <w:r>
        <w:t xml:space="preserve">[T-INST] </w:t>
      </w:r>
      <m:oMath>
        <m:f>
          <m:fPr>
            <m:ctrlPr>
              <w:rPr>
                <w:rFonts w:ascii="Cambria Math" w:hAnsi="Cambria Math"/>
              </w:rPr>
            </m:ctrlPr>
          </m:fPr>
          <m:num>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    c </m:t>
            </m:r>
            <m:r>
              <m:rPr>
                <m:sty m:val="p"/>
              </m:rPr>
              <w:rPr>
                <w:rFonts w:ascii="Cambria Math" w:hAnsi="Cambria Math"/>
              </w:rPr>
              <m:t>∈</m:t>
            </m:r>
            <m:r>
              <w:rPr>
                <w:rFonts w:ascii="Cambria Math" w:hAnsi="Cambria Math"/>
              </w:rPr>
              <m:t> ISO</m:t>
            </m:r>
            <m:r>
              <m:rPr>
                <m:sty m:val="p"/>
              </m:rPr>
              <w:rPr>
                <w:rFonts w:ascii="Cambria Math" w:hAnsi="Cambria Math"/>
              </w:rPr>
              <m:t>-</m:t>
            </m:r>
            <m:r>
              <w:rPr>
                <w:rFonts w:ascii="Cambria Math" w:hAnsi="Cambria Math"/>
              </w:rPr>
              <m:t>4217 </m:t>
            </m:r>
          </m:num>
          <m:den>
            <m:r>
              <m:rPr>
                <m:sty m:val="p"/>
              </m:rPr>
              <w:rPr>
                <w:rFonts w:ascii="Cambria Math" w:hAnsi="Cambria Math"/>
              </w:rPr>
              <m:t>Γ</m:t>
            </m:r>
            <m:r>
              <w:rPr>
                <w:rFonts w:ascii="Cambria Math" w:hAnsi="Cambria Math"/>
              </w:rPr>
              <m:t> </m:t>
            </m:r>
            <m:r>
              <m:rPr>
                <m:sty m:val="p"/>
              </m:rPr>
              <w:rPr>
                <w:rFonts w:ascii="Cambria Math" w:hAnsi="Cambria Math"/>
              </w:rPr>
              <m:t>⊢</m:t>
            </m:r>
            <m:r>
              <w:rPr>
                <w:rFonts w:ascii="Cambria Math" w:hAnsi="Cambria Math"/>
              </w:rPr>
              <m:t> f</m:t>
            </m:r>
            <m:r>
              <m:rPr>
                <m:sty m:val="p"/>
              </m:rPr>
              <w:rPr>
                <w:rFonts w:ascii="Cambria Math" w:hAnsi="Cambria Math"/>
              </w:rPr>
              <m:t>@</m:t>
            </m:r>
            <m:r>
              <w:rPr>
                <w:rFonts w:ascii="Cambria Math" w:hAnsi="Cambria Math"/>
              </w:rPr>
              <m:t>c </m:t>
            </m:r>
            <m:r>
              <m:rPr>
                <m:sty m:val="p"/>
              </m:rPr>
              <w:rPr>
                <w:rFonts w:ascii="Cambria Math" w:hAnsi="Cambria Math"/>
              </w:rPr>
              <m:t>:</m:t>
            </m:r>
            <m:r>
              <w:rPr>
                <w:rFonts w:ascii="Cambria Math" w:hAnsi="Cambria Math"/>
              </w:rPr>
              <m:t> Amt</m:t>
            </m:r>
            <m:r>
              <m:rPr>
                <m:sty m:val="p"/>
              </m:rPr>
              <w:rPr>
                <w:rFonts w:ascii="Cambria Math" w:hAnsi="Cambria Math"/>
              </w:rPr>
              <m:t>[</m:t>
            </m:r>
            <m:r>
              <w:rPr>
                <w:rFonts w:ascii="Cambria Math" w:hAnsi="Cambria Math"/>
              </w:rPr>
              <m:t>c</m:t>
            </m:r>
            <m:r>
              <m:rPr>
                <m:sty m:val="p"/>
              </m:rPr>
              <w:rPr>
                <w:rFonts w:ascii="Cambria Math" w:hAnsi="Cambria Math"/>
              </w:rPr>
              <m:t>]</m:t>
            </m:r>
          </m:den>
        </m:f>
      </m:oMath>
    </w:p>
    <w:p w14:paraId="57BF37F9" w14:textId="77777777" w:rsidR="0054548D" w:rsidRDefault="00000000">
      <w:pPr>
        <w:pStyle w:val="Heading4"/>
      </w:pPr>
      <w:bookmarkStart w:id="35" w:name="type-system-summary"/>
      <w:bookmarkEnd w:id="34"/>
      <w:r>
        <w:t>4.1.3 Type System Summary</w:t>
      </w:r>
    </w:p>
    <w:tbl>
      <w:tblPr>
        <w:tblStyle w:val="ListTable3"/>
        <w:tblW w:w="4625" w:type="pct"/>
        <w:tblLayout w:type="fixed"/>
        <w:tblLook w:val="0020" w:firstRow="1" w:lastRow="0" w:firstColumn="0" w:lastColumn="0" w:noHBand="0" w:noVBand="0"/>
      </w:tblPr>
      <w:tblGrid>
        <w:gridCol w:w="3883"/>
        <w:gridCol w:w="905"/>
        <w:gridCol w:w="4070"/>
      </w:tblGrid>
      <w:tr w:rsidR="003C6BFC" w:rsidRPr="003C6BFC" w14:paraId="4CEDFB65" w14:textId="77777777" w:rsidTr="003C6BF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5DD33315" w14:textId="77777777" w:rsidR="0054548D" w:rsidRPr="003C6BFC" w:rsidRDefault="00000000">
            <w:pPr>
              <w:pStyle w:val="Heading4"/>
              <w:rPr>
                <w:color w:val="FFFFFF" w:themeColor="background1"/>
              </w:rPr>
            </w:pPr>
            <w:bookmarkStart w:id="36" w:name="expression"/>
            <w:r w:rsidRPr="003C6BFC">
              <w:rPr>
                <w:color w:val="FFFFFF" w:themeColor="background1"/>
              </w:rPr>
              <w:t xml:space="preserve"> Expression </w:t>
            </w:r>
            <w:bookmarkEnd w:id="36"/>
          </w:p>
        </w:tc>
        <w:tc>
          <w:tcPr>
            <w:tcW w:w="748" w:type="dxa"/>
          </w:tcPr>
          <w:p w14:paraId="0A5B8E7D" w14:textId="77777777" w:rsidR="0054548D" w:rsidRPr="003C6BFC" w:rsidRDefault="00000000">
            <w:pPr>
              <w:pStyle w:val="Heading4"/>
              <w:cnfStyle w:val="100000000000" w:firstRow="1" w:lastRow="0" w:firstColumn="0" w:lastColumn="0" w:oddVBand="0" w:evenVBand="0" w:oddHBand="0" w:evenHBand="0" w:firstRowFirstColumn="0" w:firstRowLastColumn="0" w:lastRowFirstColumn="0" w:lastRowLastColumn="0"/>
              <w:rPr>
                <w:color w:val="FFFFFF" w:themeColor="background1"/>
              </w:rPr>
            </w:pPr>
            <w:bookmarkStart w:id="37" w:name="valid"/>
            <w:r w:rsidRPr="003C6BFC">
              <w:rPr>
                <w:color w:val="FFFFFF" w:themeColor="background1"/>
              </w:rPr>
              <w:t xml:space="preserve"> Valid </w:t>
            </w:r>
            <w:bookmarkEnd w:id="37"/>
          </w:p>
        </w:tc>
        <w:tc>
          <w:tcPr>
            <w:cnfStyle w:val="000010000000" w:firstRow="0" w:lastRow="0" w:firstColumn="0" w:lastColumn="0" w:oddVBand="1" w:evenVBand="0" w:oddHBand="0" w:evenHBand="0" w:firstRowFirstColumn="0" w:firstRowLastColumn="0" w:lastRowFirstColumn="0" w:lastRowLastColumn="0"/>
            <w:tcW w:w="3365" w:type="dxa"/>
          </w:tcPr>
          <w:p w14:paraId="75760D6D" w14:textId="77777777" w:rsidR="0054548D" w:rsidRPr="003C6BFC" w:rsidRDefault="00000000">
            <w:pPr>
              <w:pStyle w:val="Heading4"/>
              <w:rPr>
                <w:color w:val="FFFFFF" w:themeColor="background1"/>
              </w:rPr>
            </w:pPr>
            <w:bookmarkStart w:id="38" w:name="reason"/>
            <w:r w:rsidRPr="003C6BFC">
              <w:rPr>
                <w:color w:val="FFFFFF" w:themeColor="background1"/>
              </w:rPr>
              <w:t xml:space="preserve"> Reason </w:t>
            </w:r>
            <w:bookmarkEnd w:id="38"/>
          </w:p>
        </w:tc>
      </w:tr>
      <w:tr w:rsidR="0054548D" w14:paraId="7A08FA90"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60D221A3" w14:textId="77777777" w:rsidR="0054548D" w:rsidRDefault="00000000">
            <w:pPr>
              <w:pStyle w:val="Heading4"/>
            </w:pPr>
            <w:bookmarkStart w:id="39" w:name="eur-50eur"/>
            <w:r>
              <w:t xml:space="preserve">100&lt;EUR&gt; + 50&lt;EUR&gt; </w:t>
            </w:r>
            <w:bookmarkEnd w:id="39"/>
          </w:p>
        </w:tc>
        <w:tc>
          <w:tcPr>
            <w:tcW w:w="748" w:type="dxa"/>
          </w:tcPr>
          <w:p w14:paraId="78616325"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40" w:name="yes"/>
            <w:r>
              <w:t xml:space="preserve"> YES</w:t>
            </w:r>
            <w:bookmarkEnd w:id="40"/>
          </w:p>
        </w:tc>
        <w:tc>
          <w:tcPr>
            <w:cnfStyle w:val="000010000000" w:firstRow="0" w:lastRow="0" w:firstColumn="0" w:lastColumn="0" w:oddVBand="1" w:evenVBand="0" w:oddHBand="0" w:evenHBand="0" w:firstRowFirstColumn="0" w:firstRowLastColumn="0" w:lastRowFirstColumn="0" w:lastRowLastColumn="0"/>
            <w:tcW w:w="3365" w:type="dxa"/>
          </w:tcPr>
          <w:p w14:paraId="4B258916" w14:textId="77777777" w:rsidR="0054548D" w:rsidRDefault="00000000">
            <w:pPr>
              <w:pStyle w:val="Heading4"/>
            </w:pPr>
            <w:bookmarkStart w:id="41" w:name="same-currency"/>
            <w:r>
              <w:t xml:space="preserve">Same currency </w:t>
            </w:r>
            <w:bookmarkEnd w:id="41"/>
          </w:p>
        </w:tc>
      </w:tr>
      <w:tr w:rsidR="0054548D" w14:paraId="05286516"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458163E4" w14:textId="77777777" w:rsidR="0054548D" w:rsidRDefault="00000000">
            <w:pPr>
              <w:pStyle w:val="Heading4"/>
            </w:pPr>
            <w:bookmarkStart w:id="42" w:name="eur-2"/>
            <w:r>
              <w:t xml:space="preserve">100&lt;EUR&gt; * 2 </w:t>
            </w:r>
            <w:bookmarkEnd w:id="42"/>
          </w:p>
        </w:tc>
        <w:tc>
          <w:tcPr>
            <w:tcW w:w="748" w:type="dxa"/>
          </w:tcPr>
          <w:p w14:paraId="0FE20C28"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43" w:name="yes-1"/>
            <w:r>
              <w:t xml:space="preserve"> YES</w:t>
            </w:r>
            <w:bookmarkEnd w:id="43"/>
          </w:p>
        </w:tc>
        <w:tc>
          <w:tcPr>
            <w:cnfStyle w:val="000010000000" w:firstRow="0" w:lastRow="0" w:firstColumn="0" w:lastColumn="0" w:oddVBand="1" w:evenVBand="0" w:oddHBand="0" w:evenHBand="0" w:firstRowFirstColumn="0" w:firstRowLastColumn="0" w:lastRowFirstColumn="0" w:lastRowLastColumn="0"/>
            <w:tcW w:w="3365" w:type="dxa"/>
          </w:tcPr>
          <w:p w14:paraId="6DF90457" w14:textId="77777777" w:rsidR="0054548D" w:rsidRDefault="00000000">
            <w:pPr>
              <w:pStyle w:val="Heading4"/>
            </w:pPr>
            <w:bookmarkStart w:id="44" w:name="scalar-multiplication"/>
            <w:r>
              <w:t xml:space="preserve">Scalar multiplication </w:t>
            </w:r>
            <w:bookmarkEnd w:id="44"/>
          </w:p>
        </w:tc>
      </w:tr>
      <w:tr w:rsidR="0054548D" w14:paraId="2257FE21"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79BAAA9F" w14:textId="77777777" w:rsidR="0054548D" w:rsidRDefault="00000000">
            <w:pPr>
              <w:pStyle w:val="Heading4"/>
            </w:pPr>
            <w:bookmarkStart w:id="45" w:name="eur"/>
            <w:r>
              <w:t xml:space="preserve">2 * 100&lt;EUR&gt; </w:t>
            </w:r>
            <w:bookmarkEnd w:id="45"/>
          </w:p>
        </w:tc>
        <w:tc>
          <w:tcPr>
            <w:tcW w:w="748" w:type="dxa"/>
          </w:tcPr>
          <w:p w14:paraId="0930875B"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46" w:name="yes-2"/>
            <w:r>
              <w:t xml:space="preserve"> YES</w:t>
            </w:r>
            <w:bookmarkEnd w:id="46"/>
          </w:p>
        </w:tc>
        <w:tc>
          <w:tcPr>
            <w:cnfStyle w:val="000010000000" w:firstRow="0" w:lastRow="0" w:firstColumn="0" w:lastColumn="0" w:oddVBand="1" w:evenVBand="0" w:oddHBand="0" w:evenHBand="0" w:firstRowFirstColumn="0" w:firstRowLastColumn="0" w:lastRowFirstColumn="0" w:lastRowLastColumn="0"/>
            <w:tcW w:w="3365" w:type="dxa"/>
          </w:tcPr>
          <w:p w14:paraId="25C56F9F" w14:textId="77777777" w:rsidR="0054548D" w:rsidRDefault="00000000">
            <w:pPr>
              <w:pStyle w:val="Heading4"/>
            </w:pPr>
            <w:bookmarkStart w:id="47" w:name="scalar-multiplication-commutative"/>
            <w:r>
              <w:t xml:space="preserve">Scalar multiplication (commutative) </w:t>
            </w:r>
            <w:bookmarkEnd w:id="47"/>
          </w:p>
        </w:tc>
      </w:tr>
      <w:tr w:rsidR="0054548D" w14:paraId="07EEFF41"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24BD09E3" w14:textId="77777777" w:rsidR="0054548D" w:rsidRDefault="00000000">
            <w:pPr>
              <w:pStyle w:val="Heading4"/>
            </w:pPr>
            <w:bookmarkStart w:id="48" w:name="eur-2-1"/>
            <w:r>
              <w:t xml:space="preserve">100&lt;EUR&gt; / 2 </w:t>
            </w:r>
            <w:bookmarkEnd w:id="48"/>
          </w:p>
        </w:tc>
        <w:tc>
          <w:tcPr>
            <w:tcW w:w="748" w:type="dxa"/>
          </w:tcPr>
          <w:p w14:paraId="03311166"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49" w:name="yes-3"/>
            <w:r>
              <w:t xml:space="preserve"> YES</w:t>
            </w:r>
            <w:bookmarkEnd w:id="49"/>
          </w:p>
        </w:tc>
        <w:tc>
          <w:tcPr>
            <w:cnfStyle w:val="000010000000" w:firstRow="0" w:lastRow="0" w:firstColumn="0" w:lastColumn="0" w:oddVBand="1" w:evenVBand="0" w:oddHBand="0" w:evenHBand="0" w:firstRowFirstColumn="0" w:firstRowLastColumn="0" w:lastRowFirstColumn="0" w:lastRowLastColumn="0"/>
            <w:tcW w:w="3365" w:type="dxa"/>
          </w:tcPr>
          <w:p w14:paraId="0C7537EC" w14:textId="77777777" w:rsidR="0054548D" w:rsidRDefault="00000000">
            <w:pPr>
              <w:pStyle w:val="Heading4"/>
            </w:pPr>
            <w:bookmarkStart w:id="50" w:name="scalar-division"/>
            <w:r>
              <w:t xml:space="preserve">Scalar division </w:t>
            </w:r>
            <w:bookmarkEnd w:id="50"/>
          </w:p>
        </w:tc>
      </w:tr>
      <w:tr w:rsidR="0054548D" w14:paraId="23907628"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76C312A7" w14:textId="77777777" w:rsidR="0054548D" w:rsidRDefault="00000000">
            <w:pPr>
              <w:pStyle w:val="Heading4"/>
            </w:pPr>
            <w:bookmarkStart w:id="51" w:name="eur-50usd"/>
            <w:r>
              <w:t xml:space="preserve">100&lt;EUR&gt; + 50&lt;USD&gt; </w:t>
            </w:r>
            <w:bookmarkEnd w:id="51"/>
          </w:p>
        </w:tc>
        <w:tc>
          <w:tcPr>
            <w:tcW w:w="748" w:type="dxa"/>
          </w:tcPr>
          <w:p w14:paraId="34AF8E80"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52" w:name="no"/>
            <w:r>
              <w:t xml:space="preserve"> NO</w:t>
            </w:r>
            <w:bookmarkEnd w:id="52"/>
          </w:p>
        </w:tc>
        <w:tc>
          <w:tcPr>
            <w:cnfStyle w:val="000010000000" w:firstRow="0" w:lastRow="0" w:firstColumn="0" w:lastColumn="0" w:oddVBand="1" w:evenVBand="0" w:oddHBand="0" w:evenHBand="0" w:firstRowFirstColumn="0" w:firstRowLastColumn="0" w:lastRowFirstColumn="0" w:lastRowLastColumn="0"/>
            <w:tcW w:w="3365" w:type="dxa"/>
          </w:tcPr>
          <w:p w14:paraId="4DFAA4C8" w14:textId="77777777" w:rsidR="0054548D" w:rsidRDefault="00000000">
            <w:pPr>
              <w:pStyle w:val="Heading4"/>
            </w:pPr>
            <w:bookmarkStart w:id="53" w:name="mixed-currencies"/>
            <w:r>
              <w:t xml:space="preserve">Mixed currencies </w:t>
            </w:r>
            <w:bookmarkEnd w:id="53"/>
          </w:p>
        </w:tc>
      </w:tr>
      <w:tr w:rsidR="0054548D" w14:paraId="232AA93F"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7811ACC7" w14:textId="77777777" w:rsidR="0054548D" w:rsidRDefault="00000000">
            <w:pPr>
              <w:pStyle w:val="Heading4"/>
            </w:pPr>
            <w:bookmarkStart w:id="54" w:name="eur-50"/>
            <w:r>
              <w:t xml:space="preserve">100&lt;EUR&gt; + 50 </w:t>
            </w:r>
            <w:bookmarkEnd w:id="54"/>
          </w:p>
        </w:tc>
        <w:tc>
          <w:tcPr>
            <w:tcW w:w="748" w:type="dxa"/>
          </w:tcPr>
          <w:p w14:paraId="591E3CBC"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55" w:name="no-1"/>
            <w:r>
              <w:t xml:space="preserve"> NO</w:t>
            </w:r>
            <w:bookmarkEnd w:id="55"/>
          </w:p>
        </w:tc>
        <w:tc>
          <w:tcPr>
            <w:cnfStyle w:val="000010000000" w:firstRow="0" w:lastRow="0" w:firstColumn="0" w:lastColumn="0" w:oddVBand="1" w:evenVBand="0" w:oddHBand="0" w:evenHBand="0" w:firstRowFirstColumn="0" w:firstRowLastColumn="0" w:lastRowFirstColumn="0" w:lastRowLastColumn="0"/>
            <w:tcW w:w="3365" w:type="dxa"/>
            <w:vMerge w:val="restart"/>
          </w:tcPr>
          <w:p w14:paraId="780CEE9B" w14:textId="77777777" w:rsidR="0054548D" w:rsidRDefault="00000000">
            <w:pPr>
              <w:pStyle w:val="Heading4"/>
            </w:pPr>
            <w:bookmarkStart w:id="56" w:name="Xeeea29459ac5a7a581d5cdca88c01055815c2c3"/>
            <w:r>
              <w:t xml:space="preserve">Cannot add/subtract dimensionless to dimensioned </w:t>
            </w:r>
            <w:bookmarkEnd w:id="56"/>
          </w:p>
        </w:tc>
      </w:tr>
      <w:tr w:rsidR="0054548D" w14:paraId="20BA2456" w14:textId="77777777" w:rsidTr="003C6BF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11" w:type="dxa"/>
          </w:tcPr>
          <w:p w14:paraId="36AB8FF5" w14:textId="77777777" w:rsidR="0054548D" w:rsidRDefault="00000000">
            <w:pPr>
              <w:pStyle w:val="Heading4"/>
            </w:pPr>
            <w:bookmarkStart w:id="57" w:name="eur---50"/>
            <w:r>
              <w:t xml:space="preserve">100&lt;EUR&gt; - 50 </w:t>
            </w:r>
            <w:bookmarkEnd w:id="57"/>
          </w:p>
        </w:tc>
        <w:tc>
          <w:tcPr>
            <w:tcW w:w="748" w:type="dxa"/>
          </w:tcPr>
          <w:p w14:paraId="6EBE7B13" w14:textId="77777777" w:rsidR="0054548D" w:rsidRDefault="00000000">
            <w:pPr>
              <w:pStyle w:val="Heading4"/>
              <w:cnfStyle w:val="000000100000" w:firstRow="0" w:lastRow="0" w:firstColumn="0" w:lastColumn="0" w:oddVBand="0" w:evenVBand="0" w:oddHBand="1" w:evenHBand="0" w:firstRowFirstColumn="0" w:firstRowLastColumn="0" w:lastRowFirstColumn="0" w:lastRowLastColumn="0"/>
            </w:pPr>
            <w:bookmarkStart w:id="58" w:name="no-2"/>
            <w:r>
              <w:t xml:space="preserve"> NO</w:t>
            </w:r>
            <w:bookmarkEnd w:id="58"/>
          </w:p>
        </w:tc>
        <w:tc>
          <w:tcPr>
            <w:cnfStyle w:val="000010000000" w:firstRow="0" w:lastRow="0" w:firstColumn="0" w:lastColumn="0" w:oddVBand="1" w:evenVBand="0" w:oddHBand="0" w:evenHBand="0" w:firstRowFirstColumn="0" w:firstRowLastColumn="0" w:lastRowFirstColumn="0" w:lastRowLastColumn="0"/>
            <w:tcW w:w="3365" w:type="dxa"/>
            <w:vMerge/>
          </w:tcPr>
          <w:p w14:paraId="1C847646" w14:textId="77777777" w:rsidR="0054548D" w:rsidRDefault="0054548D"/>
        </w:tc>
      </w:tr>
      <w:tr w:rsidR="0054548D" w14:paraId="2CEA6DA3" w14:textId="77777777" w:rsidTr="003C6BFC">
        <w:tc>
          <w:tcPr>
            <w:cnfStyle w:val="000010000000" w:firstRow="0" w:lastRow="0" w:firstColumn="0" w:lastColumn="0" w:oddVBand="1" w:evenVBand="0" w:oddHBand="0" w:evenHBand="0" w:firstRowFirstColumn="0" w:firstRowLastColumn="0" w:lastRowFirstColumn="0" w:lastRowLastColumn="0"/>
            <w:tcW w:w="3211" w:type="dxa"/>
          </w:tcPr>
          <w:p w14:paraId="2010C6F8" w14:textId="77777777" w:rsidR="0054548D" w:rsidRDefault="00000000">
            <w:pPr>
              <w:pStyle w:val="Heading4"/>
            </w:pPr>
            <w:bookmarkStart w:id="59" w:name="convertx-usd-eur-50eur"/>
            <w:r>
              <w:t xml:space="preserve">CONVERT(x, USD, EUR) + 50&lt;EUR&gt; </w:t>
            </w:r>
            <w:bookmarkEnd w:id="59"/>
          </w:p>
        </w:tc>
        <w:tc>
          <w:tcPr>
            <w:tcW w:w="748" w:type="dxa"/>
          </w:tcPr>
          <w:p w14:paraId="3EADD5C3" w14:textId="77777777" w:rsidR="0054548D" w:rsidRDefault="00000000">
            <w:pPr>
              <w:pStyle w:val="Heading4"/>
              <w:cnfStyle w:val="000000000000" w:firstRow="0" w:lastRow="0" w:firstColumn="0" w:lastColumn="0" w:oddVBand="0" w:evenVBand="0" w:oddHBand="0" w:evenHBand="0" w:firstRowFirstColumn="0" w:firstRowLastColumn="0" w:lastRowFirstColumn="0" w:lastRowLastColumn="0"/>
            </w:pPr>
            <w:bookmarkStart w:id="60" w:name="yes-4"/>
            <w:r>
              <w:t xml:space="preserve"> YES</w:t>
            </w:r>
            <w:bookmarkEnd w:id="60"/>
          </w:p>
        </w:tc>
        <w:tc>
          <w:tcPr>
            <w:cnfStyle w:val="000010000000" w:firstRow="0" w:lastRow="0" w:firstColumn="0" w:lastColumn="0" w:oddVBand="1" w:evenVBand="0" w:oddHBand="0" w:evenHBand="0" w:firstRowFirstColumn="0" w:firstRowLastColumn="0" w:lastRowFirstColumn="0" w:lastRowLastColumn="0"/>
            <w:tcW w:w="3365" w:type="dxa"/>
          </w:tcPr>
          <w:p w14:paraId="2DEE6020" w14:textId="77777777" w:rsidR="0054548D" w:rsidRDefault="00000000">
            <w:pPr>
              <w:pStyle w:val="Heading4"/>
            </w:pPr>
            <w:bookmarkStart w:id="61" w:name="explicit-conversion"/>
            <w:r>
              <w:t xml:space="preserve">Explicit conversion </w:t>
            </w:r>
            <w:bookmarkEnd w:id="61"/>
          </w:p>
        </w:tc>
      </w:tr>
    </w:tbl>
    <w:p w14:paraId="387CE107" w14:textId="77777777" w:rsidR="0054548D" w:rsidRDefault="00000000">
      <w:pPr>
        <w:pStyle w:val="FirstParagraph"/>
      </w:pPr>
      <w:r>
        <w:t>Dimensionless numbers (Num) cannot be added to or subtracted from currency amounts (Amt[c]). This design decision prevents ambiguous expressions like 100&lt;EUR&gt; + 50 where the intended currency of 50 is unclear - should it be interpreted as 50 EUR, or is it a programming error where a currency annotation was forgotten? Scalar multiplication and division remain valid as these operations preserve dimensional correctness: multiplying an amount by a count or dividing by a ratio produces an amount in the same currency. This approach follows established principles from dimensional type systems [11] and ensures that all currency amounts in fee calculations have explicit, verifiable currency designations.</w:t>
      </w:r>
    </w:p>
    <w:p w14:paraId="29D1A914" w14:textId="77777777" w:rsidR="0054548D" w:rsidRDefault="00000000">
      <w:pPr>
        <w:pStyle w:val="Heading4"/>
      </w:pPr>
      <w:bookmarkStart w:id="62" w:name="type-safety"/>
      <w:bookmarkEnd w:id="35"/>
      <w:r>
        <w:lastRenderedPageBreak/>
        <w:t>4.1.4 Type Safety</w:t>
      </w:r>
    </w:p>
    <w:p w14:paraId="6B502E71" w14:textId="77777777" w:rsidR="0054548D" w:rsidRDefault="00000000">
      <w:pPr>
        <w:pStyle w:val="FirstParagraph"/>
      </w:pPr>
      <w:r>
        <w:rPr>
          <w:b/>
          <w:bCs/>
        </w:rPr>
        <w:t>Theorem 1 (Type Soundness).</w:t>
      </w:r>
      <w:r>
        <w:t xml:space="preserve"> If program P type-checks under environment Γ (written Γ ⊢ P : ok), then during evaluation:</w:t>
      </w:r>
    </w:p>
    <w:p w14:paraId="7E129E82" w14:textId="77777777" w:rsidR="0054548D" w:rsidRDefault="00000000">
      <w:pPr>
        <w:numPr>
          <w:ilvl w:val="0"/>
          <w:numId w:val="9"/>
        </w:numPr>
      </w:pPr>
      <w:r>
        <w:t>Every arithmetic expression evaluates without currency mismatch errors</w:t>
      </w:r>
    </w:p>
    <w:p w14:paraId="2B57CC00" w14:textId="77777777" w:rsidR="0054548D" w:rsidRDefault="00000000">
      <w:pPr>
        <w:numPr>
          <w:ilvl w:val="0"/>
          <w:numId w:val="9"/>
        </w:numPr>
      </w:pPr>
      <w:r>
        <w:t>Every fee f computes to a value of its declared type</w:t>
      </w:r>
    </w:p>
    <w:p w14:paraId="6239EFB1" w14:textId="77777777" w:rsidR="0054548D" w:rsidRDefault="00000000">
      <w:pPr>
        <w:numPr>
          <w:ilvl w:val="0"/>
          <w:numId w:val="9"/>
        </w:numPr>
      </w:pPr>
      <w:r>
        <w:t>Currency conversions occur only where CONVERT is explicitly used</w:t>
      </w:r>
    </w:p>
    <w:p w14:paraId="63AD5561" w14:textId="77777777" w:rsidR="0054548D" w:rsidRDefault="00000000">
      <w:pPr>
        <w:pStyle w:val="FirstParagraph"/>
      </w:pPr>
      <w:r>
        <w:rPr>
          <w:b/>
          <w:bCs/>
          <w:i/>
          <w:iCs/>
        </w:rPr>
        <w:t>Soundness Argument.</w:t>
      </w:r>
      <w:r>
        <w:t xml:space="preserve"> The type rules enforce currency consistency at each AST node through the following mechanisms:</w:t>
      </w:r>
    </w:p>
    <w:p w14:paraId="0BB162A7" w14:textId="77777777" w:rsidR="0054548D" w:rsidRDefault="00000000">
      <w:pPr>
        <w:numPr>
          <w:ilvl w:val="0"/>
          <w:numId w:val="10"/>
        </w:numPr>
      </w:pPr>
      <w:r>
        <w:rPr>
          <w:b/>
          <w:bCs/>
        </w:rPr>
        <w:t>Currency preservation in arithmetic:</w:t>
      </w:r>
      <w:r>
        <w:t xml:space="preserve"> Rule T-ADD-AMT requires both operands of addition to have type Amt[c] for the same currency c; no rule permits Amt[c₁] + Amt[c₂] when c₁ ≠ c₂. Similarly, T-SUB-AMT enforces matching currencies for subtraction. Rules T-MUL-SCALAR-R, T-MUL-SCALAR-L, and T-DIV-AMT-SCALAR preserve the currency tag through scalar operations. By design, no rule permits adding a dimensionless number to a currency amount (e.g., 100&lt;EUR&gt; + 50 is rejected), as this would introduce dimensional ambiguity.</w:t>
      </w:r>
    </w:p>
    <w:p w14:paraId="2F22502D" w14:textId="77777777" w:rsidR="0054548D" w:rsidRDefault="00000000">
      <w:pPr>
        <w:numPr>
          <w:ilvl w:val="0"/>
          <w:numId w:val="10"/>
        </w:numPr>
      </w:pPr>
      <w:r>
        <w:rPr>
          <w:b/>
          <w:bCs/>
        </w:rPr>
        <w:t>Explicit conversion requirement:</w:t>
      </w:r>
      <w:r>
        <w:t xml:space="preserve"> Rule T-CONVERT is the only rule that changes a currency tag from one ISO-4217 code to another. Its premises require the source currency argument to match the expression's inferred type, and the target currency to be a valid ISO-4217 code. Thus, every currency change in a well-typed program corresponds to an explicit CONVERT call in the source text.</w:t>
      </w:r>
    </w:p>
    <w:p w14:paraId="526A87F7" w14:textId="77777777" w:rsidR="0054548D" w:rsidRDefault="00000000">
      <w:pPr>
        <w:numPr>
          <w:ilvl w:val="0"/>
          <w:numId w:val="10"/>
        </w:numPr>
      </w:pPr>
      <w:r>
        <w:rPr>
          <w:b/>
          <w:bCs/>
        </w:rPr>
        <w:t>Implementation correspondence:</w:t>
      </w:r>
      <w:r>
        <w:t xml:space="preserve"> The type checker implements these rules via depth-first AST traversal. Method InferArithmeticType() implements T-ADD-AMT, T-SUB-AMT, T-MUL-SCALAR-R, T-MUL-SCALAR-L, and T-DIV-AMT-SCALAR. Method InferConvertType() implements T-CONVERT with explicit source currency verification. Type errors are reported via TypeError.MixedCurrencyArithmetic() before evaluation begins.</w:t>
      </w:r>
    </w:p>
    <w:p w14:paraId="5BEF02B8" w14:textId="77777777" w:rsidR="0054548D" w:rsidRDefault="00000000">
      <w:pPr>
        <w:pStyle w:val="FirstParagraph"/>
      </w:pPr>
      <w:r>
        <w:t>This establishes type soundness informally. A formal proof in the style of Wright and Felleisen [27] would require defining operational semantics and proving progress and preservation lemmas; we leave such endeavor to future work. The implementation test suite (260 tests, including 31 currency type safety tests) provides empirical validation that the type checker correctly rejects ill-typed programs and accepts well-typed ones.</w:t>
      </w:r>
    </w:p>
    <w:p w14:paraId="7B482D93" w14:textId="77777777" w:rsidR="0054548D" w:rsidRDefault="00000000">
      <w:pPr>
        <w:pStyle w:val="Heading3"/>
      </w:pPr>
      <w:bookmarkStart w:id="63" w:name="completeness-analysis"/>
      <w:bookmarkEnd w:id="31"/>
      <w:bookmarkEnd w:id="62"/>
      <w:r>
        <w:t>4.2 Completeness Analysis</w:t>
      </w:r>
    </w:p>
    <w:p w14:paraId="1B094D5A" w14:textId="77777777" w:rsidR="0054548D"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and </w:t>
      </w:r>
      <w:r>
        <w:rPr>
          <w:i/>
          <w:iCs/>
        </w:rPr>
        <w:t>boundary-based testing</w:t>
      </w:r>
      <w:r>
        <w:t xml:space="preserve"> for large domains.</w:t>
      </w:r>
    </w:p>
    <w:p w14:paraId="4EE92D5E" w14:textId="77777777" w:rsidR="0054548D" w:rsidRDefault="00000000">
      <w:pPr>
        <w:pStyle w:val="Heading4"/>
      </w:pPr>
      <w:bookmarkStart w:id="64" w:name="formal-definitions"/>
      <w:r>
        <w:lastRenderedPageBreak/>
        <w:t>4.2.1 Formal Definitions</w:t>
      </w:r>
    </w:p>
    <w:p w14:paraId="627E476A" w14:textId="77777777" w:rsidR="0054548D"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2186864D" w14:textId="77777777" w:rsidR="0054548D" w:rsidRDefault="00000000">
      <w:pPr>
        <w:pStyle w:val="BodyText"/>
      </w:pPr>
      <w:r>
        <w:rPr>
          <w:b/>
          <w:bCs/>
        </w:rPr>
        <w:t>Definition 2 (Valuation Space).</w:t>
      </w:r>
      <w:r>
        <w:t xml:space="preserve"> The valuation space Σ is the Cartesian product of all input domains: Σ = Dom₁ × Dom₂ × … × Domₘ</w:t>
      </w:r>
    </w:p>
    <w:p w14:paraId="40DAF4D1" w14:textId="77777777" w:rsidR="0054548D" w:rsidRDefault="00000000">
      <w:pPr>
        <w:pStyle w:val="BodyText"/>
      </w:pPr>
      <w:r>
        <w:rPr>
          <w:b/>
          <w:bCs/>
        </w:rPr>
        <w:t>Definition 3 (Coverage).</w:t>
      </w:r>
      <w:r>
        <w:t xml:space="preserve"> For fee f with conditional yields guarded by conditions φ₁, …, φₙ, the coverage is:</w:t>
      </w:r>
    </w:p>
    <w:p w14:paraId="2AEEBC49" w14:textId="77777777" w:rsidR="0054548D" w:rsidRDefault="00000000">
      <w:pPr>
        <w:pStyle w:val="BodyText"/>
      </w:pPr>
      <w:r>
        <w:t>Cov(f) = {σ∈Σ:∃i.σ⊨φi}</w:t>
      </w:r>
    </w:p>
    <w:p w14:paraId="23BA0580" w14:textId="77777777" w:rsidR="0054548D"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3271D631" w14:textId="77777777" w:rsidR="0054548D" w:rsidRDefault="00000000">
      <w:pPr>
        <w:pStyle w:val="Heading4"/>
      </w:pPr>
      <w:bookmarkStart w:id="65" w:name="analysis-algorithm"/>
      <w:bookmarkEnd w:id="64"/>
      <w:r>
        <w:t>4.2.2 Analysis Algorithm</w:t>
      </w:r>
    </w:p>
    <w:p w14:paraId="5432F5B5" w14:textId="77777777" w:rsidR="0054548D" w:rsidRDefault="00000000">
      <w:pPr>
        <w:pStyle w:val="FirstParagraph"/>
      </w:pPr>
      <w:r>
        <w:t>The completeness analysis employs two strategies depending on domain size:</w:t>
      </w:r>
    </w:p>
    <w:p w14:paraId="42090DC6" w14:textId="77777777" w:rsidR="0054548D" w:rsidRPr="003C6BFC" w:rsidRDefault="00000000">
      <w:pPr>
        <w:pStyle w:val="SourceCode"/>
        <w:rPr>
          <w:sz w:val="22"/>
          <w:szCs w:val="22"/>
        </w:rPr>
      </w:pPr>
      <w:r w:rsidRPr="003C6BFC">
        <w:rPr>
          <w:rStyle w:val="VerbatimChar"/>
          <w:sz w:val="20"/>
          <w:szCs w:val="22"/>
        </w:rPr>
        <w:t>Algorithm 1: Completeness Analysis</w:t>
      </w:r>
      <w:r w:rsidRPr="003C6BFC">
        <w:rPr>
          <w:sz w:val="22"/>
          <w:szCs w:val="22"/>
        </w:rPr>
        <w:br/>
      </w:r>
      <w:r w:rsidRPr="003C6BFC">
        <w:rPr>
          <w:rStyle w:val="VerbatimChar"/>
          <w:sz w:val="20"/>
          <w:szCs w:val="22"/>
        </w:rPr>
        <w:t>─────────────────────────────────────────────────────────────────────</w:t>
      </w:r>
      <w:r w:rsidRPr="003C6BFC">
        <w:rPr>
          <w:sz w:val="22"/>
          <w:szCs w:val="22"/>
        </w:rPr>
        <w:br/>
      </w:r>
      <w:r w:rsidRPr="003C6BFC">
        <w:rPr>
          <w:rStyle w:val="VerbatimChar"/>
          <w:sz w:val="20"/>
          <w:szCs w:val="22"/>
        </w:rPr>
        <w:t>Input:  Fee f with conditions Φ = {φ₁, ..., φₙ}</w:t>
      </w:r>
      <w:r w:rsidRPr="003C6BFC">
        <w:rPr>
          <w:sz w:val="22"/>
          <w:szCs w:val="22"/>
        </w:rPr>
        <w:br/>
      </w:r>
      <w:r w:rsidRPr="003C6BFC">
        <w:rPr>
          <w:rStyle w:val="VerbatimChar"/>
          <w:sz w:val="20"/>
          <w:szCs w:val="22"/>
        </w:rPr>
        <w:t xml:space="preserve">        Input domains D = {D₁, ..., Dₘ}</w:t>
      </w:r>
      <w:r w:rsidRPr="003C6BFC">
        <w:rPr>
          <w:sz w:val="22"/>
          <w:szCs w:val="22"/>
        </w:rPr>
        <w:br/>
      </w:r>
      <w:r w:rsidRPr="003C6BFC">
        <w:rPr>
          <w:rStyle w:val="VerbatimChar"/>
          <w:sz w:val="20"/>
          <w:szCs w:val="22"/>
        </w:rPr>
        <w:t>Output: (complete: Bool, gaps: Set⟨InputCombination⟩)</w:t>
      </w:r>
      <w:r w:rsidRPr="003C6BFC">
        <w:rPr>
          <w:sz w:val="22"/>
          <w:szCs w:val="22"/>
        </w:rPr>
        <w:br/>
      </w:r>
      <w:r w:rsidRPr="003C6BFC">
        <w:rPr>
          <w:sz w:val="22"/>
          <w:szCs w:val="22"/>
        </w:rPr>
        <w:br/>
      </w:r>
      <w:r w:rsidRPr="003C6BFC">
        <w:rPr>
          <w:rStyle w:val="VerbatimChar"/>
          <w:sz w:val="20"/>
          <w:szCs w:val="22"/>
        </w:rPr>
        <w:t xml:space="preserve"> 1: Σ ← D₁ × D₂ × ... × Dₘ                    // Valuation space</w:t>
      </w:r>
      <w:r w:rsidRPr="003C6BFC">
        <w:rPr>
          <w:sz w:val="22"/>
          <w:szCs w:val="22"/>
        </w:rPr>
        <w:br/>
      </w:r>
      <w:r w:rsidRPr="003C6BFC">
        <w:rPr>
          <w:rStyle w:val="VerbatimChar"/>
          <w:sz w:val="20"/>
          <w:szCs w:val="22"/>
        </w:rPr>
        <w:t xml:space="preserve"> 2: |Σ| ← ∏ᵢ |Dᵢ|                             // Domain size</w:t>
      </w:r>
      <w:r w:rsidRPr="003C6BFC">
        <w:rPr>
          <w:sz w:val="22"/>
          <w:szCs w:val="22"/>
        </w:rPr>
        <w:br/>
      </w:r>
      <w:r w:rsidRPr="003C6BFC">
        <w:rPr>
          <w:rStyle w:val="VerbatimChar"/>
          <w:sz w:val="20"/>
          <w:szCs w:val="22"/>
        </w:rPr>
        <w:t xml:space="preserve"> 3: gaps ← ∅</w:t>
      </w:r>
      <w:r w:rsidRPr="003C6BFC">
        <w:rPr>
          <w:sz w:val="22"/>
          <w:szCs w:val="22"/>
        </w:rPr>
        <w:br/>
      </w:r>
      <w:r w:rsidRPr="003C6BFC">
        <w:rPr>
          <w:rStyle w:val="VerbatimChar"/>
          <w:sz w:val="20"/>
          <w:szCs w:val="22"/>
        </w:rPr>
        <w:t xml:space="preserve"> 4:</w:t>
      </w:r>
      <w:r w:rsidRPr="003C6BFC">
        <w:rPr>
          <w:sz w:val="22"/>
          <w:szCs w:val="22"/>
        </w:rPr>
        <w:br/>
      </w:r>
      <w:r w:rsidRPr="003C6BFC">
        <w:rPr>
          <w:rStyle w:val="VerbatimChar"/>
          <w:sz w:val="20"/>
          <w:szCs w:val="22"/>
        </w:rPr>
        <w:t xml:space="preserve"> 5: if |Σ| ≤ EXHAUSTIVE_THRESHOLD then        // Default: 10⁶</w:t>
      </w:r>
      <w:r w:rsidRPr="003C6BFC">
        <w:rPr>
          <w:sz w:val="22"/>
          <w:szCs w:val="22"/>
        </w:rPr>
        <w:br/>
      </w:r>
      <w:r w:rsidRPr="003C6BFC">
        <w:rPr>
          <w:rStyle w:val="VerbatimChar"/>
          <w:sz w:val="20"/>
          <w:szCs w:val="22"/>
        </w:rPr>
        <w:t xml:space="preserve"> 6:     // EXHAUSTIVE VERIFICATION (provides formal guarantee)</w:t>
      </w:r>
      <w:r w:rsidRPr="003C6BFC">
        <w:rPr>
          <w:sz w:val="22"/>
          <w:szCs w:val="22"/>
        </w:rPr>
        <w:br/>
      </w:r>
      <w:r w:rsidRPr="003C6BFC">
        <w:rPr>
          <w:rStyle w:val="VerbatimChar"/>
          <w:sz w:val="20"/>
          <w:szCs w:val="22"/>
        </w:rPr>
        <w:t xml:space="preserve"> 7:     for each σ ∈ Σ do</w:t>
      </w:r>
      <w:r w:rsidRPr="003C6BFC">
        <w:rPr>
          <w:sz w:val="22"/>
          <w:szCs w:val="22"/>
        </w:rPr>
        <w:br/>
      </w:r>
      <w:r w:rsidRPr="003C6BFC">
        <w:rPr>
          <w:rStyle w:val="VerbatimChar"/>
          <w:sz w:val="20"/>
          <w:szCs w:val="22"/>
        </w:rPr>
        <w:t xml:space="preserve"> 8:         if ¬∃φᵢ ∈ Φ : σ ⊨ φᵢ then</w:t>
      </w:r>
      <w:r w:rsidRPr="003C6BFC">
        <w:rPr>
          <w:sz w:val="22"/>
          <w:szCs w:val="22"/>
        </w:rPr>
        <w:br/>
      </w:r>
      <w:r w:rsidRPr="003C6BFC">
        <w:rPr>
          <w:rStyle w:val="VerbatimChar"/>
          <w:sz w:val="20"/>
          <w:szCs w:val="22"/>
        </w:rPr>
        <w:t xml:space="preserve"> 9:             gaps ← gaps ∪ {σ}</w:t>
      </w:r>
      <w:r w:rsidRPr="003C6BFC">
        <w:rPr>
          <w:sz w:val="22"/>
          <w:szCs w:val="22"/>
        </w:rPr>
        <w:br/>
      </w:r>
      <w:r w:rsidRPr="003C6BFC">
        <w:rPr>
          <w:rStyle w:val="VerbatimChar"/>
          <w:sz w:val="20"/>
          <w:szCs w:val="22"/>
        </w:rPr>
        <w:t>10:             if |gaps| ≥ MAX_GAPS then break</w:t>
      </w:r>
      <w:r w:rsidRPr="003C6BFC">
        <w:rPr>
          <w:sz w:val="22"/>
          <w:szCs w:val="22"/>
        </w:rPr>
        <w:br/>
      </w:r>
      <w:r w:rsidRPr="003C6BFC">
        <w:rPr>
          <w:rStyle w:val="VerbatimChar"/>
          <w:sz w:val="20"/>
          <w:szCs w:val="22"/>
        </w:rPr>
        <w:t>11: else</w:t>
      </w:r>
      <w:r w:rsidRPr="003C6BFC">
        <w:rPr>
          <w:sz w:val="22"/>
          <w:szCs w:val="22"/>
        </w:rPr>
        <w:br/>
      </w:r>
      <w:r w:rsidRPr="003C6BFC">
        <w:rPr>
          <w:rStyle w:val="VerbatimChar"/>
          <w:sz w:val="20"/>
          <w:szCs w:val="22"/>
        </w:rPr>
        <w:t>12:     // BOUNDARY-BASED TESTING (heuristic, no formal guarantee)</w:t>
      </w:r>
      <w:r w:rsidRPr="003C6BFC">
        <w:rPr>
          <w:sz w:val="22"/>
          <w:szCs w:val="22"/>
        </w:rPr>
        <w:br/>
      </w:r>
      <w:r w:rsidRPr="003C6BFC">
        <w:rPr>
          <w:rStyle w:val="VerbatimChar"/>
          <w:sz w:val="20"/>
          <w:szCs w:val="22"/>
        </w:rPr>
        <w:t>13:     S ← SampleRepresentative(D)           // Boundary sampling</w:t>
      </w:r>
      <w:r w:rsidRPr="003C6BFC">
        <w:rPr>
          <w:sz w:val="22"/>
          <w:szCs w:val="22"/>
        </w:rPr>
        <w:br/>
      </w:r>
      <w:r w:rsidRPr="003C6BFC">
        <w:rPr>
          <w:rStyle w:val="VerbatimChar"/>
          <w:sz w:val="20"/>
          <w:szCs w:val="22"/>
        </w:rPr>
        <w:t>14:     for each σ ∈ S do</w:t>
      </w:r>
      <w:r w:rsidRPr="003C6BFC">
        <w:rPr>
          <w:sz w:val="22"/>
          <w:szCs w:val="22"/>
        </w:rPr>
        <w:br/>
      </w:r>
      <w:r w:rsidRPr="003C6BFC">
        <w:rPr>
          <w:rStyle w:val="VerbatimChar"/>
          <w:sz w:val="20"/>
          <w:szCs w:val="22"/>
        </w:rPr>
        <w:t>15:         if ¬∃φᵢ ∈ Φ : σ ⊨ φᵢ then</w:t>
      </w:r>
      <w:r w:rsidRPr="003C6BFC">
        <w:rPr>
          <w:sz w:val="22"/>
          <w:szCs w:val="22"/>
        </w:rPr>
        <w:br/>
      </w:r>
      <w:r w:rsidRPr="003C6BFC">
        <w:rPr>
          <w:rStyle w:val="VerbatimChar"/>
          <w:sz w:val="20"/>
          <w:szCs w:val="22"/>
        </w:rPr>
        <w:t>16:             gaps ← gaps ∪ {σ}</w:t>
      </w:r>
      <w:r w:rsidRPr="003C6BFC">
        <w:rPr>
          <w:sz w:val="22"/>
          <w:szCs w:val="22"/>
        </w:rPr>
        <w:br/>
      </w:r>
      <w:r w:rsidRPr="003C6BFC">
        <w:rPr>
          <w:rStyle w:val="VerbatimChar"/>
          <w:sz w:val="20"/>
          <w:szCs w:val="22"/>
        </w:rPr>
        <w:t>17:</w:t>
      </w:r>
      <w:r w:rsidRPr="003C6BFC">
        <w:rPr>
          <w:sz w:val="22"/>
          <w:szCs w:val="22"/>
        </w:rPr>
        <w:br/>
      </w:r>
      <w:r w:rsidRPr="003C6BFC">
        <w:rPr>
          <w:rStyle w:val="VerbatimChar"/>
          <w:sz w:val="20"/>
          <w:szCs w:val="22"/>
        </w:rPr>
        <w:t>18: return (gaps = ∅, gaps)</w:t>
      </w:r>
    </w:p>
    <w:p w14:paraId="706249C8" w14:textId="77777777" w:rsidR="0054548D" w:rsidRDefault="00000000">
      <w:pPr>
        <w:pStyle w:val="Heading4"/>
      </w:pPr>
      <w:bookmarkStart w:id="66" w:name="complexity-analysis"/>
      <w:bookmarkEnd w:id="65"/>
      <w:r>
        <w:t>4.2.3 Complexity Analysis</w:t>
      </w:r>
    </w:p>
    <w:p w14:paraId="05B56A3B" w14:textId="77777777" w:rsidR="0054548D"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1BB9148E" w14:textId="77777777" w:rsidR="0054548D" w:rsidRDefault="00000000">
      <w:pPr>
        <w:pStyle w:val="Compact"/>
        <w:numPr>
          <w:ilvl w:val="0"/>
          <w:numId w:val="11"/>
        </w:numPr>
      </w:pPr>
      <w:r>
        <w:rPr>
          <w:b/>
          <w:bCs/>
        </w:rPr>
        <w:lastRenderedPageBreak/>
        <w:t>Exhaustive verification</w:t>
      </w:r>
      <w:r>
        <w:t xml:space="preserve"> (N ≤ 10⁶): O(N · n · k) time, O(|gaps|) space. Provides formal guarantee.</w:t>
      </w:r>
    </w:p>
    <w:p w14:paraId="26564B21" w14:textId="77777777" w:rsidR="0054548D" w:rsidRDefault="00000000">
      <w:pPr>
        <w:pStyle w:val="Compact"/>
        <w:numPr>
          <w:ilvl w:val="0"/>
          <w:numId w:val="11"/>
        </w:numPr>
      </w:pPr>
      <w:r>
        <w:rPr>
          <w:b/>
          <w:bCs/>
        </w:rPr>
        <w:t>Boundary-based testing</w:t>
      </w:r>
      <w:r>
        <w:t xml:space="preserve"> (N &gt; 10⁶): O(S · n · k) time where S = O(5ᵐ) for boundary sampling with 5 representatives per domain. Provides heuristic assurance only.</w:t>
      </w:r>
    </w:p>
    <w:p w14:paraId="578CE5A9" w14:textId="77777777" w:rsidR="0054548D" w:rsidRDefault="00000000">
      <w:pPr>
        <w:pStyle w:val="FirstParagraph"/>
      </w:pPr>
      <w:r>
        <w:t>For MULTILIST inputs, domain size grows exponentially: k choices yield 2</w:t>
      </w:r>
      <w:r>
        <w:rPr>
          <w:vertAlign w:val="superscript"/>
        </w:rPr>
        <w:t>k</w:t>
      </w:r>
      <w:r>
        <w:t xml:space="preserve"> possible selections. A single MULTILIST with 20 choices produces approximately 10</w:t>
      </w:r>
      <w:r>
        <w:rPr>
          <w:vertAlign w:val="superscript"/>
        </w:rPr>
        <w:t>6</w:t>
      </w:r>
      <w:r>
        <w:t xml:space="preserve"> valuations, immediately reaching the exhaustive verification threshold. Practitioners should be aware that multiple MULTILIST inputs or large choice sets may push verification into boundary-based testing mode. Fee schedule designers can mitigate this by decomposing large multi-select inputs into multiple smaller inputs or by accepting heuristic verification for complex designation scenarios.</w:t>
      </w:r>
    </w:p>
    <w:p w14:paraId="535378D5" w14:textId="77777777" w:rsidR="0054548D" w:rsidRDefault="00000000">
      <w:pPr>
        <w:pStyle w:val="Heading4"/>
      </w:pPr>
      <w:bookmarkStart w:id="67" w:name="sampling-strategy"/>
      <w:bookmarkEnd w:id="66"/>
      <w:r>
        <w:t>4.2.4 Sampling Strategy</w:t>
      </w:r>
    </w:p>
    <w:p w14:paraId="444F678F" w14:textId="77777777" w:rsidR="0054548D" w:rsidRDefault="00000000">
      <w:pPr>
        <w:pStyle w:val="FirstParagraph"/>
      </w:pPr>
      <w:r>
        <w:t>The SampleRepresentative function generates a representative subset of the valuation space:</w:t>
      </w:r>
    </w:p>
    <w:p w14:paraId="3219E199" w14:textId="77777777" w:rsidR="003C6BFC" w:rsidRPr="00E45F22" w:rsidRDefault="003C6BFC" w:rsidP="003C6BFC">
      <w:pPr>
        <w:pStyle w:val="BodyText"/>
        <w:rPr>
          <w:rFonts w:ascii="Consolas" w:hAnsi="Consolas"/>
          <w:sz w:val="20"/>
          <w:szCs w:val="20"/>
        </w:rPr>
      </w:pPr>
      <w:r w:rsidRPr="00E45F22">
        <w:rPr>
          <w:rFonts w:ascii="Consolas" w:hAnsi="Consolas"/>
          <w:sz w:val="20"/>
          <w:szCs w:val="20"/>
        </w:rPr>
        <w:t xml:space="preserve">Function </w:t>
      </w:r>
      <w:proofErr w:type="spellStart"/>
      <w:proofErr w:type="gramStart"/>
      <w:r w:rsidRPr="00E45F22">
        <w:rPr>
          <w:rFonts w:ascii="Consolas" w:hAnsi="Consolas"/>
          <w:sz w:val="20"/>
          <w:szCs w:val="20"/>
        </w:rPr>
        <w:t>SampleRepresentative</w:t>
      </w:r>
      <w:proofErr w:type="spellEnd"/>
      <w:r w:rsidRPr="00E45F22">
        <w:rPr>
          <w:rFonts w:ascii="Consolas" w:hAnsi="Consolas"/>
          <w:sz w:val="20"/>
          <w:szCs w:val="20"/>
        </w:rPr>
        <w:t>(</w:t>
      </w:r>
      <w:proofErr w:type="gramEnd"/>
      <w:r w:rsidRPr="00E45F22">
        <w:rPr>
          <w:rFonts w:ascii="Consolas" w:hAnsi="Consolas"/>
          <w:sz w:val="20"/>
          <w:szCs w:val="20"/>
        </w:rPr>
        <w:t>D, Φ):</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 xml:space="preserve"> Input: </w:t>
      </w:r>
      <w:r>
        <w:rPr>
          <w:rFonts w:ascii="Consolas" w:hAnsi="Consolas"/>
          <w:sz w:val="20"/>
          <w:szCs w:val="20"/>
        </w:rPr>
        <w:t xml:space="preserve"> </w:t>
      </w:r>
      <w:r w:rsidRPr="00E45F22">
        <w:rPr>
          <w:rFonts w:ascii="Consolas" w:hAnsi="Consolas"/>
          <w:sz w:val="20"/>
          <w:szCs w:val="20"/>
        </w:rPr>
        <w:t>Domain specifications D = {D₁, ..., D</w:t>
      </w:r>
      <w:r w:rsidRPr="00E45F22">
        <w:rPr>
          <w:rFonts w:ascii="Cambria Math" w:hAnsi="Cambria Math" w:cs="Cambria Math"/>
          <w:sz w:val="20"/>
          <w:szCs w:val="20"/>
        </w:rPr>
        <w:t>ₘ</w:t>
      </w:r>
      <w:r w:rsidRPr="00E45F22">
        <w:rPr>
          <w:rFonts w:ascii="Consolas" w:hAnsi="Consolas"/>
          <w:sz w:val="20"/>
          <w:szCs w:val="20"/>
        </w:rPr>
        <w:t xml:space="preserve">}, conditions </w:t>
      </w:r>
      <w:r w:rsidRPr="00E45F22">
        <w:rPr>
          <w:rFonts w:ascii="Consolas" w:hAnsi="Consolas" w:cs="Aptos"/>
          <w:sz w:val="20"/>
          <w:szCs w:val="20"/>
        </w:rPr>
        <w:t>Φ</w:t>
      </w:r>
      <w:r w:rsidRPr="00E45F22">
        <w:rPr>
          <w:rFonts w:ascii="Consolas" w:hAnsi="Consolas" w:cs="Aptos"/>
          <w:sz w:val="20"/>
          <w:szCs w:val="20"/>
        </w:rPr>
        <w:br/>
      </w:r>
      <w:r>
        <w:rPr>
          <w:rFonts w:ascii="Consolas" w:hAnsi="Consolas"/>
          <w:sz w:val="20"/>
          <w:szCs w:val="20"/>
        </w:rPr>
        <w:t xml:space="preserve"> </w:t>
      </w:r>
      <w:r w:rsidRPr="00E45F22">
        <w:rPr>
          <w:rFonts w:ascii="Consolas" w:hAnsi="Consolas"/>
          <w:sz w:val="20"/>
          <w:szCs w:val="20"/>
        </w:rPr>
        <w:t xml:space="preserve"> Output: Representative sample S </w:t>
      </w:r>
      <w:r w:rsidRPr="00E45F22">
        <w:rPr>
          <w:rFonts w:ascii="Cambria Math" w:hAnsi="Cambria Math" w:cs="Cambria Math"/>
          <w:sz w:val="20"/>
          <w:szCs w:val="20"/>
        </w:rPr>
        <w:t>⊆</w:t>
      </w:r>
      <w:r w:rsidRPr="00E45F22">
        <w:rPr>
          <w:rFonts w:ascii="Consolas" w:hAnsi="Consolas"/>
          <w:sz w:val="20"/>
          <w:szCs w:val="20"/>
        </w:rPr>
        <w:t xml:space="preserve"> D</w:t>
      </w:r>
      <w:r w:rsidRPr="00E45F22">
        <w:rPr>
          <w:rFonts w:ascii="Consolas" w:hAnsi="Consolas" w:cs="Aptos"/>
          <w:sz w:val="20"/>
          <w:szCs w:val="20"/>
        </w:rPr>
        <w:t>₁</w:t>
      </w:r>
      <w:r w:rsidRPr="00E45F22">
        <w:rPr>
          <w:rFonts w:ascii="Consolas" w:hAnsi="Consolas"/>
          <w:sz w:val="20"/>
          <w:szCs w:val="20"/>
        </w:rPr>
        <w:t xml:space="preserve"> </w:t>
      </w:r>
      <w:r w:rsidRPr="00E45F22">
        <w:rPr>
          <w:rFonts w:ascii="Consolas" w:hAnsi="Consolas" w:cs="Aptos"/>
          <w:sz w:val="20"/>
          <w:szCs w:val="20"/>
        </w:rPr>
        <w:t>×</w:t>
      </w:r>
      <w:r w:rsidRPr="00E45F22">
        <w:rPr>
          <w:rFonts w:ascii="Consolas" w:hAnsi="Consolas"/>
          <w:sz w:val="20"/>
          <w:szCs w:val="20"/>
        </w:rPr>
        <w:t xml:space="preserve"> ... </w:t>
      </w:r>
      <w:r w:rsidRPr="00E45F22">
        <w:rPr>
          <w:rFonts w:ascii="Consolas" w:hAnsi="Consolas" w:cs="Aptos"/>
          <w:sz w:val="20"/>
          <w:szCs w:val="20"/>
        </w:rPr>
        <w:t>×</w:t>
      </w:r>
      <w:r w:rsidRPr="00E45F22">
        <w:rPr>
          <w:rFonts w:ascii="Consolas" w:hAnsi="Consolas"/>
          <w:sz w:val="20"/>
          <w:szCs w:val="20"/>
        </w:rPr>
        <w:t xml:space="preserve"> D</w:t>
      </w:r>
      <w:r w:rsidRPr="00E45F22">
        <w:rPr>
          <w:rFonts w:ascii="Cambria Math" w:hAnsi="Cambria Math" w:cs="Cambria Math"/>
          <w:sz w:val="20"/>
          <w:szCs w:val="20"/>
        </w:rPr>
        <w:t>ₘ</w:t>
      </w:r>
    </w:p>
    <w:p w14:paraId="25F081CD" w14:textId="77777777" w:rsidR="003C6BFC" w:rsidRPr="00E45F22" w:rsidRDefault="003C6BFC" w:rsidP="003C6BFC">
      <w:pPr>
        <w:pStyle w:val="BodyText"/>
        <w:rPr>
          <w:rFonts w:ascii="Consolas" w:hAnsi="Consolas"/>
          <w:sz w:val="20"/>
          <w:szCs w:val="20"/>
        </w:rPr>
      </w:pPr>
      <w:r>
        <w:rPr>
          <w:rFonts w:ascii="Consolas" w:hAnsi="Consolas"/>
          <w:sz w:val="20"/>
          <w:szCs w:val="20"/>
        </w:rPr>
        <w:t xml:space="preserve"> </w:t>
      </w:r>
      <w:r w:rsidRPr="00E45F22">
        <w:rPr>
          <w:rFonts w:ascii="Consolas" w:hAnsi="Consolas"/>
          <w:sz w:val="20"/>
          <w:szCs w:val="20"/>
        </w:rPr>
        <w:t>1:</w:t>
      </w:r>
      <w:r>
        <w:rPr>
          <w:rFonts w:ascii="Consolas" w:hAnsi="Consolas"/>
          <w:sz w:val="20"/>
          <w:szCs w:val="20"/>
        </w:rPr>
        <w:t xml:space="preserve"> </w:t>
      </w:r>
      <w:r w:rsidRPr="00E45F22">
        <w:rPr>
          <w:rFonts w:ascii="Consolas" w:hAnsi="Consolas"/>
          <w:sz w:val="20"/>
          <w:szCs w:val="20"/>
        </w:rPr>
        <w:t xml:space="preserve"> for </w:t>
      </w:r>
      <w:proofErr w:type="spellStart"/>
      <w:r w:rsidRPr="00E45F22">
        <w:rPr>
          <w:rFonts w:ascii="Consolas" w:hAnsi="Consolas"/>
          <w:sz w:val="20"/>
          <w:szCs w:val="20"/>
        </w:rPr>
        <w:t>i</w:t>
      </w:r>
      <w:proofErr w:type="spellEnd"/>
      <w:r w:rsidRPr="00E45F22">
        <w:rPr>
          <w:rFonts w:ascii="Consolas" w:hAnsi="Consolas"/>
          <w:sz w:val="20"/>
          <w:szCs w:val="20"/>
        </w:rPr>
        <w:t xml:space="preserve"> = 1 to m do</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2:</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case D</w:t>
      </w:r>
      <w:r w:rsidRPr="00E45F22">
        <w:rPr>
          <w:rFonts w:ascii="Consolas" w:hAnsi="Consolas" w:cs="Arial"/>
          <w:sz w:val="20"/>
          <w:szCs w:val="20"/>
        </w:rPr>
        <w:t>ᵢ</w:t>
      </w:r>
      <w:r w:rsidRPr="00E45F22">
        <w:rPr>
          <w:rFonts w:ascii="Consolas" w:hAnsi="Consolas"/>
          <w:sz w:val="20"/>
          <w:szCs w:val="20"/>
        </w:rPr>
        <w:t xml:space="preserve"> of</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3:</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NUMBER [min, max]:</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4:</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{min, min+1, </w:t>
      </w:r>
      <w:r w:rsidRPr="00E45F22">
        <w:rPr>
          <w:rFonts w:ascii="Cambria Math" w:hAnsi="Cambria Math" w:cs="Cambria Math"/>
          <w:sz w:val="20"/>
          <w:szCs w:val="20"/>
        </w:rPr>
        <w:t>⌊</w:t>
      </w:r>
      <w:r w:rsidRPr="00E45F22">
        <w:rPr>
          <w:rFonts w:ascii="Consolas" w:hAnsi="Consolas"/>
          <w:sz w:val="20"/>
          <w:szCs w:val="20"/>
        </w:rPr>
        <w:t>(</w:t>
      </w:r>
      <w:proofErr w:type="spellStart"/>
      <w:r w:rsidRPr="00E45F22">
        <w:rPr>
          <w:rFonts w:ascii="Consolas" w:hAnsi="Consolas"/>
          <w:sz w:val="20"/>
          <w:szCs w:val="20"/>
        </w:rPr>
        <w:t>min+max</w:t>
      </w:r>
      <w:proofErr w:type="spellEnd"/>
      <w:r w:rsidRPr="00E45F22">
        <w:rPr>
          <w:rFonts w:ascii="Consolas" w:hAnsi="Consolas"/>
          <w:sz w:val="20"/>
          <w:szCs w:val="20"/>
        </w:rPr>
        <w:t>)/2</w:t>
      </w:r>
      <w:r w:rsidRPr="00E45F22">
        <w:rPr>
          <w:rFonts w:ascii="Cambria Math" w:hAnsi="Cambria Math" w:cs="Cambria Math"/>
          <w:sz w:val="20"/>
          <w:szCs w:val="20"/>
        </w:rPr>
        <w:t>⌋</w:t>
      </w:r>
      <w:r w:rsidRPr="00E45F22">
        <w:rPr>
          <w:rFonts w:ascii="Consolas" w:hAnsi="Consolas"/>
          <w:sz w:val="20"/>
          <w:szCs w:val="20"/>
        </w:rPr>
        <w:t>, max-1, max}</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5:</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S</w:t>
      </w:r>
      <w:r w:rsidRPr="00E45F22">
        <w:rPr>
          <w:rFonts w:ascii="Consolas" w:hAnsi="Consolas" w:cs="Arial"/>
          <w:sz w:val="20"/>
          <w:szCs w:val="20"/>
        </w:rPr>
        <w:t>ᵢ</w:t>
      </w:r>
      <w:r w:rsidRPr="00E45F22">
        <w:rPr>
          <w:rFonts w:ascii="Consolas" w:hAnsi="Consolas"/>
          <w:sz w:val="20"/>
          <w:szCs w:val="20"/>
        </w:rPr>
        <w:t xml:space="preserve"> </w:t>
      </w:r>
      <w:r w:rsidRPr="00E45F22">
        <w:rPr>
          <w:rFonts w:ascii="Cambria Math" w:hAnsi="Cambria Math" w:cs="Cambria Math"/>
          <w:sz w:val="20"/>
          <w:szCs w:val="20"/>
        </w:rPr>
        <w:t>∪</w:t>
      </w:r>
      <w:r w:rsidRPr="00E45F22">
        <w:rPr>
          <w:rFonts w:ascii="Consolas" w:hAnsi="Consolas"/>
          <w:sz w:val="20"/>
          <w:szCs w:val="20"/>
        </w:rPr>
        <w:t xml:space="preserve"> {t : t appears as threshold in </w:t>
      </w:r>
      <w:r w:rsidRPr="00E45F22">
        <w:rPr>
          <w:rFonts w:ascii="Consolas" w:hAnsi="Consolas" w:cs="Aptos"/>
          <w:sz w:val="20"/>
          <w:szCs w:val="20"/>
        </w:rPr>
        <w:t>Φ</w:t>
      </w:r>
      <w:r w:rsidRPr="00E45F22">
        <w:rPr>
          <w:rFonts w:ascii="Consolas" w:hAnsi="Consolas"/>
          <w:sz w:val="20"/>
          <w:szCs w:val="20"/>
        </w:rPr>
        <w:t xml:space="preserve"> for variable </w:t>
      </w:r>
      <w:proofErr w:type="spellStart"/>
      <w:r w:rsidRPr="00E45F22">
        <w:rPr>
          <w:rFonts w:ascii="Consolas" w:hAnsi="Consolas"/>
          <w:sz w:val="20"/>
          <w:szCs w:val="20"/>
        </w:rPr>
        <w:t>i</w:t>
      </w:r>
      <w:proofErr w:type="spellEnd"/>
      <w:r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6:</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BOOLEAN:</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7:</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{TRUE, FALSE}</w:t>
      </w:r>
      <w:r w:rsidRPr="00E45F22">
        <w:rPr>
          <w:rFonts w:ascii="Consolas" w:hAnsi="Consolas"/>
          <w:sz w:val="20"/>
          <w:szCs w:val="20"/>
        </w:rPr>
        <w:br/>
      </w:r>
      <w:r>
        <w:rPr>
          <w:rFonts w:ascii="Consolas" w:hAnsi="Consolas"/>
          <w:sz w:val="20"/>
          <w:szCs w:val="20"/>
        </w:rPr>
        <w:t xml:space="preserve"> 8</w:t>
      </w:r>
      <w:r w:rsidRPr="00E45F22">
        <w:rPr>
          <w:rFonts w:ascii="Consolas" w:hAnsi="Consolas"/>
          <w:sz w:val="20"/>
          <w:szCs w:val="20"/>
        </w:rPr>
        <w:t>:</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LIST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r>
      <w:r>
        <w:rPr>
          <w:rFonts w:ascii="Consolas" w:hAnsi="Consolas"/>
          <w:sz w:val="20"/>
          <w:szCs w:val="20"/>
        </w:rPr>
        <w:t xml:space="preserve"> </w:t>
      </w:r>
      <w:r w:rsidRPr="00E45F22">
        <w:rPr>
          <w:rFonts w:ascii="Consolas" w:hAnsi="Consolas"/>
          <w:sz w:val="20"/>
          <w:szCs w:val="20"/>
        </w:rPr>
        <w:t>9:</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10:</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MULTILIST {c₁,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11:</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w:t>
      </w:r>
      <w:r>
        <w:rPr>
          <w:rFonts w:ascii="Consolas" w:hAnsi="Consolas"/>
          <w:sz w:val="20"/>
          <w:szCs w:val="20"/>
        </w:rPr>
        <w:t xml:space="preserve"> </w:t>
      </w:r>
      <w:r w:rsidRPr="00E45F22">
        <w:rPr>
          <w:rFonts w:ascii="Consolas" w:hAnsi="Consolas"/>
          <w:sz w:val="20"/>
          <w:szCs w:val="20"/>
        </w:rPr>
        <w:t xml:space="preserve"> S</w:t>
      </w:r>
      <w:r w:rsidRPr="00E45F22">
        <w:rPr>
          <w:rFonts w:ascii="Consolas" w:hAnsi="Consolas" w:cs="Arial"/>
          <w:sz w:val="20"/>
          <w:szCs w:val="20"/>
        </w:rPr>
        <w:t>ᵢ</w:t>
      </w:r>
      <w:r w:rsidRPr="00E45F22">
        <w:rPr>
          <w:rFonts w:ascii="Consolas" w:hAnsi="Consolas"/>
          <w:sz w:val="20"/>
          <w:szCs w:val="20"/>
        </w:rPr>
        <w:t xml:space="preserve"> ← {</w:t>
      </w:r>
      <w:r w:rsidRPr="00E45F22">
        <w:rPr>
          <w:rFonts w:ascii="Cambria Math" w:hAnsi="Cambria Math" w:cs="Cambria Math"/>
          <w:sz w:val="20"/>
          <w:szCs w:val="20"/>
        </w:rPr>
        <w:t>∅</w:t>
      </w:r>
      <w:r w:rsidRPr="00E45F22">
        <w:rPr>
          <w:rFonts w:ascii="Consolas" w:hAnsi="Consolas"/>
          <w:sz w:val="20"/>
          <w:szCs w:val="20"/>
        </w:rPr>
        <w:t xml:space="preserve">} </w:t>
      </w:r>
      <w:r w:rsidRPr="00E45F22">
        <w:rPr>
          <w:rFonts w:ascii="Cambria Math" w:hAnsi="Cambria Math" w:cs="Cambria Math"/>
          <w:sz w:val="20"/>
          <w:szCs w:val="20"/>
        </w:rPr>
        <w:t>∪</w:t>
      </w:r>
      <w:r w:rsidRPr="00E45F22">
        <w:rPr>
          <w:rFonts w:ascii="Consolas" w:hAnsi="Consolas"/>
          <w:sz w:val="20"/>
          <w:szCs w:val="20"/>
        </w:rPr>
        <w:t xml:space="preserve"> {{c</w:t>
      </w:r>
      <w:r w:rsidRPr="00E45F22">
        <w:rPr>
          <w:rFonts w:ascii="Consolas" w:hAnsi="Consolas" w:cs="Arial"/>
          <w:sz w:val="20"/>
          <w:szCs w:val="20"/>
        </w:rPr>
        <w:t>ⱼ</w:t>
      </w:r>
      <w:r w:rsidRPr="00E45F22">
        <w:rPr>
          <w:rFonts w:ascii="Consolas" w:hAnsi="Consolas"/>
          <w:sz w:val="20"/>
          <w:szCs w:val="20"/>
        </w:rPr>
        <w:t xml:space="preserve">} : j = 1..k} </w:t>
      </w:r>
      <w:r w:rsidRPr="00E45F22">
        <w:rPr>
          <w:rFonts w:ascii="Cambria Math" w:hAnsi="Cambria Math" w:cs="Cambria Math"/>
          <w:sz w:val="20"/>
          <w:szCs w:val="20"/>
        </w:rPr>
        <w:t>∪</w:t>
      </w:r>
      <w:r w:rsidRPr="00E45F22">
        <w:rPr>
          <w:rFonts w:ascii="Consolas" w:hAnsi="Consolas"/>
          <w:sz w:val="20"/>
          <w:szCs w:val="20"/>
        </w:rPr>
        <w:t xml:space="preserve"> {{c</w:t>
      </w:r>
      <w:r w:rsidRPr="00E45F22">
        <w:rPr>
          <w:rFonts w:ascii="Consolas" w:hAnsi="Consolas" w:cs="Aptos"/>
          <w:sz w:val="20"/>
          <w:szCs w:val="20"/>
        </w:rPr>
        <w:t>₁</w:t>
      </w:r>
      <w:r w:rsidRPr="00E45F22">
        <w:rPr>
          <w:rFonts w:ascii="Consolas" w:hAnsi="Consolas"/>
          <w:sz w:val="20"/>
          <w:szCs w:val="20"/>
        </w:rPr>
        <w:t>, ..., c</w:t>
      </w:r>
      <w:r w:rsidRPr="00E45F22">
        <w:rPr>
          <w:rFonts w:ascii="Cambria Math" w:hAnsi="Cambria Math" w:cs="Cambria Math"/>
          <w:sz w:val="20"/>
          <w:szCs w:val="20"/>
        </w:rPr>
        <w:t>ₖ</w:t>
      </w:r>
      <w:r w:rsidRPr="00E45F22">
        <w:rPr>
          <w:rFonts w:ascii="Consolas" w:hAnsi="Consolas"/>
          <w:sz w:val="20"/>
          <w:szCs w:val="20"/>
        </w:rPr>
        <w:t>}}</w:t>
      </w:r>
      <w:r w:rsidRPr="00E45F22">
        <w:rPr>
          <w:rFonts w:ascii="Consolas" w:hAnsi="Consolas"/>
          <w:sz w:val="20"/>
          <w:szCs w:val="20"/>
        </w:rPr>
        <w:br/>
        <w:t>12:</w:t>
      </w:r>
      <w:r>
        <w:rPr>
          <w:rFonts w:ascii="Consolas" w:hAnsi="Consolas"/>
          <w:sz w:val="20"/>
          <w:szCs w:val="20"/>
        </w:rPr>
        <w:t xml:space="preserve"> </w:t>
      </w:r>
      <w:r w:rsidRPr="00E45F22">
        <w:rPr>
          <w:rFonts w:ascii="Consolas" w:hAnsi="Consolas"/>
          <w:sz w:val="20"/>
          <w:szCs w:val="20"/>
        </w:rPr>
        <w:t xml:space="preserve"> return S₁ × S₂ × ... × S</w:t>
      </w:r>
      <w:r w:rsidRPr="00E45F22">
        <w:rPr>
          <w:rFonts w:ascii="Cambria Math" w:hAnsi="Cambria Math" w:cs="Cambria Math"/>
          <w:sz w:val="20"/>
          <w:szCs w:val="20"/>
        </w:rPr>
        <w:t>ₘ</w:t>
      </w:r>
    </w:p>
    <w:p w14:paraId="68D909AC" w14:textId="77777777" w:rsidR="0054548D" w:rsidRDefault="00000000">
      <w:pPr>
        <w:pStyle w:val="BodyText"/>
      </w:pPr>
      <w:r>
        <w:t xml:space="preserve">For numeric domains [min, max], the representative sampling selects boundary values (min and max), near-boundary values (min+1 and max-1), the </w:t>
      </w:r>
      <w:proofErr w:type="gramStart"/>
      <w:r>
        <w:t>midpoint ⌊(</w:t>
      </w:r>
      <w:proofErr w:type="gramEnd"/>
      <w:r>
        <w:t>min+max)/</w:t>
      </w:r>
      <w:proofErr w:type="gramStart"/>
      <w:r>
        <w:t>2⌋,</w:t>
      </w:r>
      <w:proofErr w:type="gramEnd"/>
      <w:r>
        <w:t xml:space="preserve"> and threshold values extracted from conditions in Φ (e.g., the values 15 and 50 appearing in ClaimCount GT 15). For Boolean domains, both values are included exhaustively. For LIST domains, all choices are included. For MULTILIST domains, sampling includes the empty set, all singleton sets, and the full set - this captures boundary behavior while avoiding exponential enumeration.</w:t>
      </w:r>
    </w:p>
    <w:p w14:paraId="69550A56" w14:textId="77777777" w:rsidR="0054548D" w:rsidRDefault="00000000">
      <w:pPr>
        <w:pStyle w:val="Heading4"/>
      </w:pPr>
      <w:bookmarkStart w:id="68" w:name="soundness-and-guarantees"/>
      <w:bookmarkEnd w:id="67"/>
      <w:r>
        <w:t>4.2.5 Soundness and Guarantees</w:t>
      </w:r>
    </w:p>
    <w:p w14:paraId="7E7A72EF" w14:textId="77777777" w:rsidR="0054548D" w:rsidRDefault="00000000">
      <w:pPr>
        <w:pStyle w:val="FirstParagraph"/>
      </w:pPr>
      <w:r>
        <w:rPr>
          <w:b/>
          <w:bCs/>
        </w:rPr>
        <w:t>Proposition 1 (Soundness of Exhaustive Mode).</w:t>
      </w:r>
      <w:r>
        <w:t xml:space="preserve"> If the exhaustive algorithm reports complete, the fee is genuinely complete.</w:t>
      </w:r>
    </w:p>
    <w:p w14:paraId="3A983808" w14:textId="77777777" w:rsidR="0054548D" w:rsidRDefault="00000000">
      <w:pPr>
        <w:pStyle w:val="BodyText"/>
      </w:pPr>
      <w:r>
        <w:rPr>
          <w:i/>
          <w:iCs/>
        </w:rPr>
        <w:t>Proof.</w:t>
      </w:r>
      <w:r>
        <w:t xml:space="preserve"> The algorithm checks all σ ∈ Σ. If no gap is found, then ∀σ ∈ Σ. ∃φᵢ. σ ⊨ φᵢ, which is the definition of completeness.</w:t>
      </w:r>
    </w:p>
    <w:p w14:paraId="7CAA5276" w14:textId="77777777" w:rsidR="0054548D" w:rsidRDefault="00000000">
      <w:pPr>
        <w:pStyle w:val="BodyText"/>
      </w:pPr>
      <w:r>
        <w:rPr>
          <w:b/>
          <w:bCs/>
        </w:rPr>
        <w:lastRenderedPageBreak/>
        <w:t>Proposition 2 (Completeness of Exhaustive Mode).</w:t>
      </w:r>
      <w:r>
        <w:t xml:space="preserve"> If a gap exists, the exhaustive algorithm will find it (up to MAX_GAPS reporting limit).</w:t>
      </w:r>
    </w:p>
    <w:p w14:paraId="2D2A649E" w14:textId="77777777" w:rsidR="0054548D"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This mode does not provide formal guarantees; users requiring provable completeness should ensure domain sizes permit exhaustive verification or employ manual analysis. The distinction between exhaustive verification and heuristic sampling reflects fundamental tradeoffs in static analysis between precision and scalability [25].</w:t>
      </w:r>
    </w:p>
    <w:p w14:paraId="4E62BCAB" w14:textId="77777777" w:rsidR="0054548D" w:rsidRDefault="00000000">
      <w:pPr>
        <w:pStyle w:val="BodyText"/>
      </w:pPr>
      <w:r>
        <w:rPr>
          <w:b/>
          <w:bCs/>
        </w:rPr>
        <w:t>Example - Gap Detection:</w:t>
      </w:r>
    </w:p>
    <w:p w14:paraId="3CECB999" w14:textId="77777777" w:rsidR="0054548D" w:rsidRDefault="00000000">
      <w:pPr>
        <w:pStyle w:val="SourceCode"/>
      </w:pPr>
      <w:r>
        <w:rPr>
          <w:rStyle w:val="VerbatimChar"/>
        </w:rPr>
        <w:t>COMPUTE FEE ClaimFee</w:t>
      </w:r>
      <w:r>
        <w:br/>
      </w:r>
      <w:r>
        <w:rPr>
          <w:rStyle w:val="VerbatimChar"/>
        </w:rPr>
        <w:t xml:space="preserve">  YIELD 100&lt;EUR&gt; * (ClaimCount - 20) IF EntityType EQ Large AND ClaimCount GT 20</w:t>
      </w:r>
      <w:r>
        <w:br/>
      </w:r>
      <w:r>
        <w:rPr>
          <w:rStyle w:val="VerbatimChar"/>
        </w:rPr>
        <w:t xml:space="preserve">  YIELD 50&lt;EUR&gt; * (ClaimCount - 20) IF EntityType EQ Small AND ClaimCount GT 20</w:t>
      </w:r>
      <w:r>
        <w:br/>
      </w:r>
      <w:r>
        <w:rPr>
          <w:rStyle w:val="VerbatimChar"/>
        </w:rPr>
        <w:t>ENDCOMPUTE</w:t>
      </w:r>
      <w:r>
        <w:br/>
      </w:r>
      <w:r>
        <w:br/>
      </w:r>
      <w:r>
        <w:rPr>
          <w:rStyle w:val="VerbatimChar"/>
        </w:rPr>
        <w:t>VERIFY COMPLETE FEE ClaimFee</w:t>
      </w:r>
    </w:p>
    <w:p w14:paraId="6098F560" w14:textId="77777777" w:rsidR="0054548D" w:rsidRDefault="00000000">
      <w:pPr>
        <w:pStyle w:val="FirstParagraph"/>
      </w:pPr>
      <w:r>
        <w:t>Output: “Gap: {EntityType=Micro}” and “Gap: {ClaimCount ≤ 20}”</w:t>
      </w:r>
    </w:p>
    <w:p w14:paraId="670A5910" w14:textId="77777777" w:rsidR="0054548D" w:rsidRDefault="00000000">
      <w:pPr>
        <w:pStyle w:val="Heading3"/>
      </w:pPr>
      <w:bookmarkStart w:id="69" w:name="monotonicity-verification"/>
      <w:bookmarkEnd w:id="63"/>
      <w:bookmarkEnd w:id="68"/>
      <w:r>
        <w:t>4.3 Monotonicity Verification</w:t>
      </w:r>
    </w:p>
    <w:p w14:paraId="130797F4" w14:textId="77777777" w:rsidR="0054548D" w:rsidRDefault="00000000">
      <w:pPr>
        <w:pStyle w:val="FirstParagraph"/>
      </w:pPr>
      <w:r>
        <w:t>Fee schedules should exhibit predictable behavior: increasing claim count should never decrease the fee.</w:t>
      </w:r>
    </w:p>
    <w:p w14:paraId="255D16A7" w14:textId="77777777" w:rsidR="0054548D" w:rsidRDefault="00000000">
      <w:pPr>
        <w:pStyle w:val="Heading4"/>
      </w:pPr>
      <w:bookmarkStart w:id="70" w:name="formal-definition"/>
      <w:r>
        <w:t>4.3.1 Formal Definition</w:t>
      </w:r>
    </w:p>
    <w:p w14:paraId="7F3AC22E" w14:textId="77777777" w:rsidR="0054548D"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0C3863C9" w14:textId="77777777" w:rsidR="0054548D" w:rsidRDefault="00000000">
      <w:pPr>
        <w:pStyle w:val="BodyText"/>
      </w:pPr>
      <w:r>
        <w:t>∀σ−x. ∀v1,v2∈Dom(x). v1&lt;v2 ⟹ f(σ−x[x↦v1]) ≤ f(σ−x[x↦v2])</w:t>
      </w:r>
    </w:p>
    <w:p w14:paraId="6A58E045" w14:textId="77777777" w:rsidR="0054548D"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6EA0B77E" w14:textId="77777777" w:rsidR="0054548D" w:rsidRDefault="00000000">
      <w:pPr>
        <w:pStyle w:val="Heading4"/>
      </w:pPr>
      <w:bookmarkStart w:id="71" w:name="verification-algorithm"/>
      <w:bookmarkEnd w:id="70"/>
      <w:r>
        <w:t>4.3.2 Verification Algorithm</w:t>
      </w:r>
    </w:p>
    <w:p w14:paraId="26AC435A" w14:textId="77777777" w:rsidR="0054548D" w:rsidRPr="003C6BFC" w:rsidRDefault="00000000">
      <w:pPr>
        <w:pStyle w:val="SourceCode"/>
        <w:rPr>
          <w:sz w:val="22"/>
          <w:szCs w:val="22"/>
        </w:rPr>
      </w:pPr>
      <w:r w:rsidRPr="003C6BFC">
        <w:rPr>
          <w:rStyle w:val="VerbatimChar"/>
          <w:sz w:val="20"/>
          <w:szCs w:val="22"/>
        </w:rPr>
        <w:t>Algorithm 2: Monotonicity Verification</w:t>
      </w:r>
      <w:r w:rsidRPr="003C6BFC">
        <w:rPr>
          <w:sz w:val="22"/>
          <w:szCs w:val="22"/>
        </w:rPr>
        <w:br/>
      </w:r>
      <w:r w:rsidRPr="003C6BFC">
        <w:rPr>
          <w:rStyle w:val="VerbatimChar"/>
          <w:sz w:val="20"/>
          <w:szCs w:val="22"/>
        </w:rPr>
        <w:t>─────────────────────────────────────────────────────────────────────</w:t>
      </w:r>
      <w:r w:rsidRPr="003C6BFC">
        <w:rPr>
          <w:sz w:val="22"/>
          <w:szCs w:val="22"/>
        </w:rPr>
        <w:br/>
      </w:r>
      <w:r w:rsidRPr="003C6BFC">
        <w:rPr>
          <w:rStyle w:val="VerbatimChar"/>
          <w:sz w:val="20"/>
          <w:szCs w:val="22"/>
        </w:rPr>
        <w:t>Input:  Fee f, numeric input x with domain Dₓ = [min, max]</w:t>
      </w:r>
      <w:r w:rsidRPr="003C6BFC">
        <w:rPr>
          <w:sz w:val="22"/>
          <w:szCs w:val="22"/>
        </w:rPr>
        <w:br/>
      </w:r>
      <w:r w:rsidRPr="003C6BFC">
        <w:rPr>
          <w:rStyle w:val="VerbatimChar"/>
          <w:sz w:val="20"/>
          <w:szCs w:val="22"/>
        </w:rPr>
        <w:t xml:space="preserve">        Other domains D₋ₓ, expected direction d</w:t>
      </w:r>
      <w:r w:rsidRPr="003C6BFC">
        <w:rPr>
          <w:sz w:val="22"/>
          <w:szCs w:val="22"/>
        </w:rPr>
        <w:br/>
      </w:r>
      <w:r w:rsidRPr="003C6BFC">
        <w:rPr>
          <w:rStyle w:val="VerbatimChar"/>
          <w:sz w:val="20"/>
          <w:szCs w:val="22"/>
        </w:rPr>
        <w:t>Output: (monotonic: Bool, violations: List⟨Violation⟩)</w:t>
      </w:r>
      <w:r w:rsidRPr="003C6BFC">
        <w:rPr>
          <w:sz w:val="22"/>
          <w:szCs w:val="22"/>
        </w:rPr>
        <w:br/>
      </w:r>
      <w:r w:rsidRPr="003C6BFC">
        <w:rPr>
          <w:sz w:val="22"/>
          <w:szCs w:val="22"/>
        </w:rPr>
        <w:br/>
      </w:r>
      <w:r w:rsidRPr="003C6BFC">
        <w:rPr>
          <w:rStyle w:val="VerbatimChar"/>
          <w:sz w:val="20"/>
          <w:szCs w:val="22"/>
        </w:rPr>
        <w:t xml:space="preserve"> 1: violations ← []</w:t>
      </w:r>
      <w:r w:rsidRPr="003C6BFC">
        <w:rPr>
          <w:sz w:val="22"/>
          <w:szCs w:val="22"/>
        </w:rPr>
        <w:br/>
      </w:r>
      <w:r w:rsidRPr="003C6BFC">
        <w:rPr>
          <w:rStyle w:val="VerbatimChar"/>
          <w:sz w:val="20"/>
          <w:szCs w:val="22"/>
        </w:rPr>
        <w:t xml:space="preserve"> 2: for each σ₋ₓ ∈ SampleRepresentative(D₋ₓ) do   // Context sampling</w:t>
      </w:r>
      <w:r w:rsidRPr="003C6BFC">
        <w:rPr>
          <w:sz w:val="22"/>
          <w:szCs w:val="22"/>
        </w:rPr>
        <w:br/>
      </w:r>
      <w:r w:rsidRPr="003C6BFC">
        <w:rPr>
          <w:rStyle w:val="VerbatimChar"/>
          <w:sz w:val="20"/>
          <w:szCs w:val="22"/>
        </w:rPr>
        <w:t xml:space="preserve"> 3:     V ← SampleMonotonic(Dₓ, 20)               // 20 ordered values</w:t>
      </w:r>
      <w:r w:rsidRPr="003C6BFC">
        <w:rPr>
          <w:sz w:val="22"/>
          <w:szCs w:val="22"/>
        </w:rPr>
        <w:br/>
      </w:r>
      <w:r w:rsidRPr="003C6BFC">
        <w:rPr>
          <w:rStyle w:val="VerbatimChar"/>
          <w:sz w:val="20"/>
          <w:szCs w:val="22"/>
        </w:rPr>
        <w:t xml:space="preserve"> 4:     prev_fee ← ⊥</w:t>
      </w:r>
      <w:r w:rsidRPr="003C6BFC">
        <w:rPr>
          <w:sz w:val="22"/>
          <w:szCs w:val="22"/>
        </w:rPr>
        <w:br/>
      </w:r>
      <w:r w:rsidRPr="003C6BFC">
        <w:rPr>
          <w:rStyle w:val="VerbatimChar"/>
          <w:sz w:val="20"/>
          <w:szCs w:val="22"/>
        </w:rPr>
        <w:lastRenderedPageBreak/>
        <w:t xml:space="preserve"> 5:     for each v ∈ sort(V) do</w:t>
      </w:r>
      <w:r w:rsidRPr="003C6BFC">
        <w:rPr>
          <w:sz w:val="22"/>
          <w:szCs w:val="22"/>
        </w:rPr>
        <w:br/>
      </w:r>
      <w:r w:rsidRPr="003C6BFC">
        <w:rPr>
          <w:rStyle w:val="VerbatimChar"/>
          <w:sz w:val="20"/>
          <w:szCs w:val="22"/>
        </w:rPr>
        <w:t xml:space="preserve"> 6:         curr_fee ← Evaluate(f, σ₋ₓ[x ↦ v])</w:t>
      </w:r>
      <w:r w:rsidRPr="003C6BFC">
        <w:rPr>
          <w:sz w:val="22"/>
          <w:szCs w:val="22"/>
        </w:rPr>
        <w:br/>
      </w:r>
      <w:r w:rsidRPr="003C6BFC">
        <w:rPr>
          <w:rStyle w:val="VerbatimChar"/>
          <w:sz w:val="20"/>
          <w:szCs w:val="22"/>
        </w:rPr>
        <w:t xml:space="preserve"> 7:         if prev_fee ≠ ⊥ then</w:t>
      </w:r>
      <w:r w:rsidRPr="003C6BFC">
        <w:rPr>
          <w:sz w:val="22"/>
          <w:szCs w:val="22"/>
        </w:rPr>
        <w:br/>
      </w:r>
      <w:r w:rsidRPr="003C6BFC">
        <w:rPr>
          <w:rStyle w:val="VerbatimChar"/>
          <w:sz w:val="20"/>
          <w:szCs w:val="22"/>
        </w:rPr>
        <w:t xml:space="preserve"> 8:             if Violates(prev_fee, curr_fee, d) then</w:t>
      </w:r>
      <w:r w:rsidRPr="003C6BFC">
        <w:rPr>
          <w:sz w:val="22"/>
          <w:szCs w:val="22"/>
        </w:rPr>
        <w:br/>
      </w:r>
      <w:r w:rsidRPr="003C6BFC">
        <w:rPr>
          <w:rStyle w:val="VerbatimChar"/>
          <w:sz w:val="20"/>
          <w:szCs w:val="22"/>
        </w:rPr>
        <w:t xml:space="preserve"> 9:                 violations.append((σ₋ₓ, prev_v, prev_fee, v, curr_fee))</w:t>
      </w:r>
      <w:r w:rsidRPr="003C6BFC">
        <w:rPr>
          <w:sz w:val="22"/>
          <w:szCs w:val="22"/>
        </w:rPr>
        <w:br/>
      </w:r>
      <w:r w:rsidRPr="003C6BFC">
        <w:rPr>
          <w:rStyle w:val="VerbatimChar"/>
          <w:sz w:val="20"/>
          <w:szCs w:val="22"/>
        </w:rPr>
        <w:t>10:         prev_fee ← curr_fee; prev_v ← v</w:t>
      </w:r>
      <w:r w:rsidRPr="003C6BFC">
        <w:rPr>
          <w:sz w:val="22"/>
          <w:szCs w:val="22"/>
        </w:rPr>
        <w:br/>
      </w:r>
      <w:r w:rsidRPr="003C6BFC">
        <w:rPr>
          <w:rStyle w:val="VerbatimChar"/>
          <w:sz w:val="20"/>
          <w:szCs w:val="22"/>
        </w:rPr>
        <w:t>11: return (violations = [], violations)</w:t>
      </w:r>
    </w:p>
    <w:p w14:paraId="39A0A0CC" w14:textId="77777777" w:rsidR="0054548D" w:rsidRDefault="00000000">
      <w:pPr>
        <w:pStyle w:val="FirstParagraph"/>
      </w:pPr>
      <w:r>
        <w:t>where Violates(p, c, d) returns true if and only if: d = NonDecreasing and c &lt; p; d = NonIncreasing and c &gt; p; d = StrictlyIncreasing and c ≤ p; or d = StrictlyDecreasing and c ≥ p.</w:t>
      </w:r>
    </w:p>
    <w:p w14:paraId="6245886D" w14:textId="77777777" w:rsidR="0054548D" w:rsidRDefault="00000000">
      <w:pPr>
        <w:pStyle w:val="BodyText"/>
      </w:pPr>
      <w:r>
        <w:t>The sample size of 20 ordered values in line 3 provides coverage of typical fee schedule thresholds (commonly at intervals of 5, 10, 15, 20 items) while maintaining efficient verification. This parameter is currently fixed in the implementation, and future versions may expose this as a configurable parameter.</w:t>
      </w:r>
    </w:p>
    <w:p w14:paraId="208FA108" w14:textId="77777777" w:rsidR="0054548D" w:rsidRDefault="00000000">
      <w:pPr>
        <w:pStyle w:val="BodyText"/>
      </w:pPr>
      <w:r>
        <w:t>Algorithm 2 employs sampling and may miss violations occurring at unsampled points within the domain. Exhaustive monotonicity checking (iterating over all adjacent value pairs) is identified as future work for domains within the exhaustive threshold.</w:t>
      </w:r>
    </w:p>
    <w:p w14:paraId="412164CE" w14:textId="77777777" w:rsidR="0054548D" w:rsidRDefault="00000000">
      <w:pPr>
        <w:pStyle w:val="BodyText"/>
      </w:pPr>
      <w:r>
        <w:rPr>
          <w:b/>
          <w:bCs/>
        </w:rPr>
        <w:t>Example:</w:t>
      </w:r>
    </w:p>
    <w:p w14:paraId="392515D1" w14:textId="77777777" w:rsidR="0054548D"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5EC2CABD" w14:textId="77777777" w:rsidR="0054548D" w:rsidRDefault="00000000">
      <w:pPr>
        <w:pStyle w:val="Heading1"/>
      </w:pPr>
      <w:bookmarkStart w:id="72" w:name="provenance-and-auditability"/>
      <w:bookmarkEnd w:id="30"/>
      <w:bookmarkEnd w:id="69"/>
      <w:bookmarkEnd w:id="71"/>
      <w:r>
        <w:t>5. Provenance and Auditability</w:t>
      </w:r>
    </w:p>
    <w:p w14:paraId="71E8B05D" w14:textId="77777777" w:rsidR="0054548D" w:rsidRDefault="00000000">
      <w:pPr>
        <w:pStyle w:val="Heading3"/>
      </w:pPr>
      <w:bookmarkStart w:id="73" w:name="foundations-of-computational-provenance"/>
      <w:r>
        <w:t>5.1 Foundations of Computational Provenance</w:t>
      </w:r>
    </w:p>
    <w:p w14:paraId="06C2DBB8" w14:textId="77777777" w:rsidR="0054548D" w:rsidRDefault="00000000">
      <w:pPr>
        <w:pStyle w:val="FirstParagraph"/>
      </w:pPr>
      <w:r>
        <w:t>Provenance - the complete documentation of the process that led to an output - has emerged as a foundational concern in computational systems requiring transparency and accountability. In regulatory fee calculations, provenance serves multiple critical functions: it enables practitioners to verify that computed amounts match authoritative fee schedules, supports dispute resolution when calculated and actual fees diverge, and provides the evidentiary basis for compliance audits.</w:t>
      </w:r>
    </w:p>
    <w:p w14:paraId="7C73E61A" w14:textId="77777777" w:rsidR="0054548D" w:rsidRDefault="00000000">
      <w:pPr>
        <w:pStyle w:val="BodyText"/>
      </w:pPr>
      <w:r>
        <w:t>Recent work in explainable AI has highlighted provenance as essential infrastructure for trustworthy automated systems. Herschel et al. [28] establish that provenance documentation enables explainable and trustworthy AI by capturing the lineage of data transformations and decision points. The FATE framework (Fairness, Accountability, Transparency, and Ethics) positions provenance tracking as a core mechanism for algorithmic accountability, particularly in regulated domains where calculation correctness carries legal consequences.</w:t>
      </w:r>
    </w:p>
    <w:p w14:paraId="054F5F7F" w14:textId="77777777" w:rsidR="0054548D" w:rsidRDefault="00000000">
      <w:pPr>
        <w:pStyle w:val="BodyText"/>
      </w:pPr>
      <w:r>
        <w:t xml:space="preserve">IPFLang's provenance model draws on these principles while addressing domain-specific requirements. Unlike general-purpose provenance systems designed for complex machine </w:t>
      </w:r>
      <w:r>
        <w:lastRenderedPageBreak/>
        <w:t>learning pipelines, IPFLang's declarative semantics enable complete, deterministic provenance capture: every fee computation produces an identical trace for identical inputs, and the trace fully explains the derivation path from input parameters through intermediate calculations to final amounts.</w:t>
      </w:r>
    </w:p>
    <w:p w14:paraId="510F3BEA" w14:textId="77777777" w:rsidR="0054548D" w:rsidRDefault="00000000">
      <w:pPr>
        <w:pStyle w:val="Heading3"/>
      </w:pPr>
      <w:bookmarkStart w:id="74" w:name="execution-tracing-in-ipflang"/>
      <w:bookmarkEnd w:id="73"/>
      <w:r>
        <w:t>5.2 Execution Tracing in IPFLang</w:t>
      </w:r>
    </w:p>
    <w:p w14:paraId="507A635D" w14:textId="77777777" w:rsidR="0054548D"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242BB15" w14:textId="77777777" w:rsidR="0054548D" w:rsidRDefault="00000000">
      <w:pPr>
        <w:pStyle w:val="BodyText"/>
      </w:pPr>
      <w:r>
        <w:t>This trace enables practitioners to verify calculations against official schedules and assists in dispute resolution.</w:t>
      </w:r>
    </w:p>
    <w:p w14:paraId="550FD55E" w14:textId="77777777" w:rsidR="0054548D" w:rsidRDefault="00000000">
      <w:pPr>
        <w:pStyle w:val="Heading3"/>
      </w:pPr>
      <w:bookmarkStart w:id="75" w:name="auditability-for-regulatory-compliance"/>
      <w:bookmarkEnd w:id="74"/>
      <w:r>
        <w:t>5.3 Auditability for Regulatory Compliance</w:t>
      </w:r>
    </w:p>
    <w:p w14:paraId="5B794E97" w14:textId="77777777" w:rsidR="0054548D" w:rsidRDefault="00000000">
      <w:pPr>
        <w:pStyle w:val="FirstParagraph"/>
      </w:pPr>
      <w:r>
        <w:t xml:space="preserve">Auditability extends provenance by structuring trace information for systematic review and verification. While provenance answers </w:t>
      </w:r>
      <w:r>
        <w:rPr>
          <w:i/>
          <w:iCs/>
        </w:rPr>
        <w:t>"how was this value computed?"</w:t>
      </w:r>
      <w:r>
        <w:t xml:space="preserve">, auditability addresses </w:t>
      </w:r>
      <w:r>
        <w:rPr>
          <w:i/>
          <w:iCs/>
        </w:rPr>
        <w:t>"can an independent reviewer verify computation correctness against authoritative sources?"</w:t>
      </w:r>
      <w:r>
        <w:t xml:space="preserve"> This distinction is important in regulated domains where fee calculations must be defensible to patent offices, clients, and potentially courts.</w:t>
      </w:r>
    </w:p>
    <w:p w14:paraId="57C8E6B9" w14:textId="77777777" w:rsidR="0054548D" w:rsidRDefault="00000000">
      <w:pPr>
        <w:pStyle w:val="BodyText"/>
      </w:pPr>
      <w:r>
        <w:t>IPFLang's audit trail design reflects emerging best practices in algorithmic accountability. Raji et al. [29] propose a framework for assurance audits of algorithmic systems that emphasizes documentation completeness, reproducibility, and stakeholder accessibility. IPFLang operationalizes these principles through structured audit records that include: (1) the complete input parameter set with values and their sources; (2) the fee schedule version identifier linking to authoritative references; (3) each conditional branch evaluated with its Boolean outcome; (4) intermediate variable bindings with their computed values; and (5) the final fee amount with currency designation.</w:t>
      </w:r>
    </w:p>
    <w:p w14:paraId="51482850" w14:textId="77777777" w:rsidR="0054548D" w:rsidRDefault="00000000">
      <w:pPr>
        <w:pStyle w:val="BodyText"/>
      </w:pPr>
      <w:r>
        <w:t>The audit record format is designed for both human review and programmatic processing. Human auditors can trace computation paths by following the sequential record of condition evaluations and yield selections. Automated audit tools can extract records in JSON format for comparison against reference calculations, enabling continuous compliance monitoring across jurisdiction portfolios.</w:t>
      </w:r>
    </w:p>
    <w:p w14:paraId="583F6E7C" w14:textId="77777777" w:rsidR="0054548D" w:rsidRDefault="00000000">
      <w:pPr>
        <w:pStyle w:val="BodyText"/>
      </w:pPr>
      <w:r>
        <w:t>A key design decision is the separation of audit concerns from computation logic. The DSL syntax contains no audit-specific constructs; provenance capture occurs automatically during evaluation without requiring fee schedule authors to annotate their code. This separation ensures that audit completeness does not depend on author diligence and that all fee computations - regardless of complexity - produce equally comprehensive audit trails.</w:t>
      </w:r>
    </w:p>
    <w:p w14:paraId="147E7AB1" w14:textId="77777777" w:rsidR="0054548D" w:rsidRDefault="00000000">
      <w:pPr>
        <w:pStyle w:val="Heading3"/>
      </w:pPr>
      <w:bookmarkStart w:id="76" w:name="counterfactual-analysis"/>
      <w:bookmarkEnd w:id="75"/>
      <w:r>
        <w:lastRenderedPageBreak/>
        <w:t>5.4 Counterfactual Analysis</w:t>
      </w:r>
    </w:p>
    <w:p w14:paraId="5335A481" w14:textId="77777777" w:rsidR="0054548D" w:rsidRDefault="00000000">
      <w:pPr>
        <w:pStyle w:val="FirstParagraph"/>
      </w:pPr>
      <w:r>
        <w:t xml:space="preserve">Counterfactual analysis addresses a fundamental question in regulatory decision-making: </w:t>
      </w:r>
      <w:r>
        <w:rPr>
          <w:i/>
          <w:iCs/>
        </w:rPr>
        <w:t>What would the outcome have been under different conditions?</w:t>
      </w:r>
      <w:r>
        <w:t xml:space="preserve"> In fee calculation contexts, this manifests as:</w:t>
      </w:r>
    </w:p>
    <w:p w14:paraId="4BF4B849" w14:textId="77777777" w:rsidR="0054548D" w:rsidRDefault="00000000">
      <w:pPr>
        <w:numPr>
          <w:ilvl w:val="0"/>
          <w:numId w:val="12"/>
        </w:numPr>
      </w:pPr>
      <w:r>
        <w:t xml:space="preserve">Sensitivity analysis - </w:t>
      </w:r>
      <w:r>
        <w:rPr>
          <w:i/>
          <w:iCs/>
        </w:rPr>
        <w:t>How much would the total change if we filed as a small entity?</w:t>
      </w:r>
    </w:p>
    <w:p w14:paraId="064EB70B" w14:textId="77777777" w:rsidR="0054548D" w:rsidRDefault="00000000">
      <w:pPr>
        <w:numPr>
          <w:ilvl w:val="0"/>
          <w:numId w:val="12"/>
        </w:numPr>
      </w:pPr>
      <w:r>
        <w:t xml:space="preserve">Budget planning - </w:t>
      </w:r>
      <w:r>
        <w:rPr>
          <w:i/>
          <w:iCs/>
        </w:rPr>
        <w:t>What is the fee impact of adding five more claims?</w:t>
      </w:r>
    </w:p>
    <w:p w14:paraId="14D0D167" w14:textId="77777777" w:rsidR="0054548D" w:rsidRDefault="00000000">
      <w:pPr>
        <w:numPr>
          <w:ilvl w:val="0"/>
          <w:numId w:val="12"/>
        </w:numPr>
      </w:pPr>
      <w:r>
        <w:t xml:space="preserve">Regulatory impact assessment - </w:t>
      </w:r>
      <w:r>
        <w:rPr>
          <w:i/>
          <w:iCs/>
        </w:rPr>
        <w:t>How do the new fee schedule rates affect our portfolio costs?</w:t>
      </w:r>
    </w:p>
    <w:p w14:paraId="29FE1CEF" w14:textId="77777777" w:rsidR="0054548D" w:rsidRDefault="00000000">
      <w:pPr>
        <w:pStyle w:val="FirstParagraph"/>
      </w:pPr>
      <w:r>
        <w:t>Wachter et al. [30] establish counterfactual explanations as a legally and ethically appropriate mechanism for explaining automated decisions under frameworks like GDPR. Their formulation - "the smallest change to the world that would obtain a desirable outcome" - maps directly to IPFLang's counterfactual engine: given a baseline calculation, the system systematically varies each input parameter to identify which changes would most significantly affect the fee total.</w:t>
      </w:r>
    </w:p>
    <w:p w14:paraId="14A8BF5D" w14:textId="77777777" w:rsidR="0054548D" w:rsidRDefault="00000000">
      <w:pPr>
        <w:pStyle w:val="BodyText"/>
      </w:pPr>
      <w:r>
        <w:t>Recent advances in counterfactual explanation systems inform IPFLang's design. VanNostrand et al. [31] demonstrate that counterfactual presentations significantly affect user comprehension and decision-making. The soid tool from Yale [32] provides rigorously proven answers to factual and counterfactual queries about automated decision systems using SMT-based reasoning. IPFLang's counterfactual engine adopts a simpler but more accessible approach: direct re-evaluation of fee computations with modified inputs, producing concrete alternative scenarios rather than logical proofs.</w:t>
      </w:r>
    </w:p>
    <w:p w14:paraId="28C211A7" w14:textId="77777777" w:rsidR="0054548D" w:rsidRDefault="00000000">
      <w:pPr>
        <w:pStyle w:val="BodyText"/>
      </w:pPr>
      <w:r>
        <w:t xml:space="preserve">The counterfactual analysis capability supports three primary use cases. Client advisory enables practitioners to present fee optimization strategies: </w:t>
      </w:r>
      <w:r>
        <w:rPr>
          <w:i/>
          <w:iCs/>
        </w:rPr>
        <w:t>Filing as a small entity would reduce your total fees by EUR 910.</w:t>
      </w:r>
      <w:r>
        <w:t xml:space="preserve"> Budget forecasting supports portfolio cost modeling: </w:t>
      </w:r>
      <w:r>
        <w:rPr>
          <w:i/>
          <w:iCs/>
        </w:rPr>
        <w:t>Adding claims 16-20 would increase excess claims fees by EUR 1,325.</w:t>
      </w:r>
      <w:r>
        <w:t xml:space="preserve"> Regulatory monitoring enables automated detection of fee schedule changes that materially impact client portfolios: </w:t>
      </w:r>
      <w:r>
        <w:rPr>
          <w:i/>
          <w:iCs/>
        </w:rPr>
        <w:t>The 2025 EPO fee schedule increases your annual maintenance costs by 3.2%.</w:t>
      </w:r>
    </w:p>
    <w:p w14:paraId="382BF65B" w14:textId="77777777" w:rsidR="0054548D" w:rsidRDefault="00000000">
      <w:pPr>
        <w:pStyle w:val="Heading1"/>
      </w:pPr>
      <w:bookmarkStart w:id="77" w:name="reference-implementation"/>
      <w:bookmarkEnd w:id="72"/>
      <w:bookmarkEnd w:id="76"/>
      <w:r>
        <w:t>6. Reference Implementation</w:t>
      </w:r>
    </w:p>
    <w:p w14:paraId="0996CDDD" w14:textId="77777777" w:rsidR="0054548D" w:rsidRDefault="00000000">
      <w:pPr>
        <w:pStyle w:val="Heading3"/>
      </w:pPr>
      <w:bookmarkStart w:id="78" w:name="architecture-overview"/>
      <w:r>
        <w:t>6.1 Architecture Overview</w:t>
      </w:r>
    </w:p>
    <w:p w14:paraId="796451BA" w14:textId="77777777" w:rsidR="0054548D" w:rsidRDefault="00000000">
      <w:pPr>
        <w:pStyle w:val="FirstParagraph"/>
      </w:pPr>
      <w:r>
        <w:t>The IPFLang reference implementation comprises approximately 15,000 lines of C# targeting .NET 10.0, organized into modular subsystems:</w:t>
      </w:r>
    </w:p>
    <w:p w14:paraId="18A0407D" w14:textId="77777777" w:rsidR="0054548D" w:rsidRDefault="00000000">
      <w:pPr>
        <w:numPr>
          <w:ilvl w:val="0"/>
          <w:numId w:val="13"/>
        </w:numPr>
      </w:pPr>
      <w:r>
        <w:rPr>
          <w:b/>
          <w:bCs/>
        </w:rPr>
        <w:t>Parser Module:</w:t>
      </w:r>
      <w:r>
        <w:t xml:space="preserve"> Lexical analysis, recursive descent parsing [17], and AST construction with comprehensive error reporting including line numbers and expected tokens.</w:t>
      </w:r>
    </w:p>
    <w:p w14:paraId="56D6AEE3" w14:textId="77777777" w:rsidR="0054548D" w:rsidRDefault="00000000">
      <w:pPr>
        <w:numPr>
          <w:ilvl w:val="0"/>
          <w:numId w:val="13"/>
        </w:numPr>
      </w:pPr>
      <w:r>
        <w:rPr>
          <w:b/>
          <w:bCs/>
        </w:rPr>
        <w:lastRenderedPageBreak/>
        <w:t>Semantic Checker:</w:t>
      </w:r>
      <w:r>
        <w:t xml:space="preserve"> Type validation ensuring identifier resolution, type compatibility, constraint validation, and circular dependency detection in LET statements.</w:t>
      </w:r>
    </w:p>
    <w:p w14:paraId="05000C24" w14:textId="77777777" w:rsidR="0054548D" w:rsidRDefault="00000000">
      <w:pPr>
        <w:numPr>
          <w:ilvl w:val="0"/>
          <w:numId w:val="13"/>
        </w:numPr>
      </w:pPr>
      <w:r>
        <w:rPr>
          <w:b/>
          <w:bCs/>
        </w:rPr>
        <w:t>Type System:</w:t>
      </w:r>
      <w:r>
        <w:t xml:space="preserve"> Currency-aware type checking with 161 ISO 4217 currencies, polymorphic type support, and detailed type error reporting.</w:t>
      </w:r>
    </w:p>
    <w:p w14:paraId="6DDE741A" w14:textId="77777777" w:rsidR="0054548D" w:rsidRDefault="00000000">
      <w:pPr>
        <w:numPr>
          <w:ilvl w:val="0"/>
          <w:numId w:val="13"/>
        </w:numPr>
      </w:pPr>
      <w:r>
        <w:rPr>
          <w:b/>
          <w:bCs/>
        </w:rPr>
        <w:t>Evaluator:</w:t>
      </w:r>
      <w:r>
        <w:t xml:space="preserve"> Depth-first AST traversal with environment binding for expression evaluation.</w:t>
      </w:r>
    </w:p>
    <w:p w14:paraId="0A18FE0A" w14:textId="77777777" w:rsidR="0054548D" w:rsidRDefault="00000000">
      <w:pPr>
        <w:numPr>
          <w:ilvl w:val="0"/>
          <w:numId w:val="13"/>
        </w:numPr>
      </w:pPr>
      <w:r>
        <w:rPr>
          <w:b/>
          <w:bCs/>
        </w:rPr>
        <w:t>Analysis Module:</w:t>
      </w:r>
      <w:r>
        <w:t xml:space="preserve"> Completeness checker with exhaustive and sampling modes, monotonicity checker with four direction types, domain analyzer, and condition extractor.</w:t>
      </w:r>
    </w:p>
    <w:p w14:paraId="7BD66B05" w14:textId="77777777" w:rsidR="0054548D" w:rsidRDefault="00000000">
      <w:pPr>
        <w:numPr>
          <w:ilvl w:val="0"/>
          <w:numId w:val="13"/>
        </w:numPr>
      </w:pPr>
      <w:r>
        <w:rPr>
          <w:b/>
          <w:bCs/>
        </w:rPr>
        <w:t>Provenance Module:</w:t>
      </w:r>
      <w:r>
        <w:t xml:space="preserve"> Audit trail recording, counterfactual engine for what-if analysis, and provenance export formatting.</w:t>
      </w:r>
    </w:p>
    <w:p w14:paraId="6BD49128" w14:textId="77777777" w:rsidR="0054548D" w:rsidRDefault="00000000">
      <w:pPr>
        <w:numPr>
          <w:ilvl w:val="0"/>
          <w:numId w:val="13"/>
        </w:numPr>
      </w:pPr>
      <w:r>
        <w:rPr>
          <w:b/>
          <w:bCs/>
        </w:rPr>
        <w:t>Versioning Module:</w:t>
      </w:r>
      <w:r>
        <w:t xml:space="preserve"> Version metadata management, diff engine for version comparison, impact analyzer, and temporal query support.</w:t>
      </w:r>
    </w:p>
    <w:p w14:paraId="54D18C90" w14:textId="77777777" w:rsidR="0054548D" w:rsidRDefault="00000000">
      <w:pPr>
        <w:numPr>
          <w:ilvl w:val="0"/>
          <w:numId w:val="13"/>
        </w:numPr>
      </w:pPr>
      <w:r>
        <w:rPr>
          <w:b/>
          <w:bCs/>
        </w:rPr>
        <w:t>Composition Module:</w:t>
      </w:r>
      <w:r>
        <w:t xml:space="preserve"> Jurisdiction inheritance with input/fee merging, override detection, and inheritance analysis reporting.</w:t>
      </w:r>
    </w:p>
    <w:p w14:paraId="060A52D9" w14:textId="77777777" w:rsidR="0054548D" w:rsidRDefault="00000000">
      <w:pPr>
        <w:pStyle w:val="CaptionedFigure"/>
      </w:pPr>
      <w:r>
        <w:rPr>
          <w:noProof/>
        </w:rPr>
        <w:lastRenderedPageBreak/>
        <w:drawing>
          <wp:inline distT="0" distB="0" distL="0" distR="0" wp14:anchorId="7C77CA65" wp14:editId="1A9C89FE">
            <wp:extent cx="4930588" cy="43479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media/image14.png"/>
                    <pic:cNvPicPr>
                      <a:picLocks noChangeAspect="1" noChangeArrowheads="1"/>
                    </pic:cNvPicPr>
                  </pic:nvPicPr>
                  <pic:blipFill>
                    <a:blip r:embed="rId20"/>
                    <a:stretch>
                      <a:fillRect/>
                    </a:stretch>
                  </pic:blipFill>
                  <pic:spPr bwMode="auto">
                    <a:xfrm>
                      <a:off x="0" y="0"/>
                      <a:ext cx="4930588" cy="4347948"/>
                    </a:xfrm>
                    <a:prstGeom prst="rect">
                      <a:avLst/>
                    </a:prstGeom>
                    <a:noFill/>
                    <a:ln w="9525">
                      <a:noFill/>
                      <a:headEnd/>
                      <a:tailEnd/>
                    </a:ln>
                  </pic:spPr>
                </pic:pic>
              </a:graphicData>
            </a:graphic>
          </wp:inline>
        </w:drawing>
      </w:r>
    </w:p>
    <w:p w14:paraId="71F0B007" w14:textId="77777777" w:rsidR="003C6BFC" w:rsidRDefault="003C6BFC" w:rsidP="003C6BFC">
      <w:pPr>
        <w:pStyle w:val="Caption"/>
      </w:pPr>
      <w:bookmarkStart w:id="79" w:name="command-line-interface"/>
      <w:bookmarkEnd w:id="78"/>
      <w:r>
        <w:t xml:space="preserve">Figure </w:t>
      </w:r>
      <w:r>
        <w:fldChar w:fldCharType="begin"/>
      </w:r>
      <w:r>
        <w:instrText xml:space="preserve"> SEQ Figure \* ARABIC </w:instrText>
      </w:r>
      <w:r>
        <w:fldChar w:fldCharType="separate"/>
      </w:r>
      <w:r>
        <w:rPr>
          <w:noProof/>
        </w:rPr>
        <w:t>3</w:t>
      </w:r>
      <w:r>
        <w:rPr>
          <w:noProof/>
        </w:rPr>
        <w:fldChar w:fldCharType="end"/>
      </w:r>
      <w:r>
        <w:t xml:space="preserve"> – </w:t>
      </w:r>
      <w:proofErr w:type="spellStart"/>
      <w:r>
        <w:t>IPFLang</w:t>
      </w:r>
      <w:proofErr w:type="spellEnd"/>
      <w:r>
        <w:t xml:space="preserve"> engine architecture</w:t>
      </w:r>
    </w:p>
    <w:p w14:paraId="3AA88BD0" w14:textId="77777777" w:rsidR="0054548D" w:rsidRDefault="00000000">
      <w:pPr>
        <w:pStyle w:val="Heading3"/>
      </w:pPr>
      <w:r>
        <w:t>6.2 Command-Line Interface</w:t>
      </w:r>
    </w:p>
    <w:p w14:paraId="6F087DE1" w14:textId="77777777" w:rsidR="0054548D" w:rsidRDefault="00000000">
      <w:pPr>
        <w:pStyle w:val="FirstParagraph"/>
      </w:pPr>
      <w:r>
        <w:t>The CLI provides five commands:</w:t>
      </w:r>
    </w:p>
    <w:p w14:paraId="33D22058" w14:textId="77777777" w:rsidR="0054548D" w:rsidRDefault="00000000">
      <w:pPr>
        <w:numPr>
          <w:ilvl w:val="0"/>
          <w:numId w:val="14"/>
        </w:numPr>
      </w:pPr>
      <w:r>
        <w:rPr>
          <w:b/>
          <w:bCs/>
        </w:rPr>
        <w:t>parse</w:t>
      </w:r>
      <w:r>
        <w:t xml:space="preserve"> - Validate syntax and types:</w:t>
      </w:r>
    </w:p>
    <w:p w14:paraId="1F2F9056" w14:textId="77777777" w:rsidR="0054548D" w:rsidRDefault="00000000">
      <w:pPr>
        <w:pStyle w:val="SourceCode"/>
      </w:pPr>
      <w:r>
        <w:rPr>
          <w:rStyle w:val="VerbatimChar"/>
        </w:rPr>
        <w:t>ipflang parse filing.ipf</w:t>
      </w:r>
    </w:p>
    <w:p w14:paraId="7EC0E7D7" w14:textId="77777777" w:rsidR="0054548D" w:rsidRDefault="00000000">
      <w:pPr>
        <w:numPr>
          <w:ilvl w:val="0"/>
          <w:numId w:val="15"/>
        </w:numPr>
      </w:pPr>
      <w:r>
        <w:rPr>
          <w:b/>
          <w:bCs/>
        </w:rPr>
        <w:t>run</w:t>
      </w:r>
      <w:r>
        <w:t xml:space="preserve"> - Execute fee calculation:</w:t>
      </w:r>
    </w:p>
    <w:p w14:paraId="498B1093" w14:textId="77777777" w:rsidR="0054548D" w:rsidRDefault="00000000">
      <w:pPr>
        <w:pStyle w:val="SourceCode"/>
      </w:pPr>
      <w:r>
        <w:rPr>
          <w:rStyle w:val="VerbatimChar"/>
        </w:rPr>
        <w:t>ipflang run filing.ipf --inputs params.json [--provenance] [--counterfactuals]</w:t>
      </w:r>
    </w:p>
    <w:p w14:paraId="7707BFC6" w14:textId="77777777" w:rsidR="0054548D" w:rsidRDefault="00000000">
      <w:pPr>
        <w:numPr>
          <w:ilvl w:val="0"/>
          <w:numId w:val="16"/>
        </w:numPr>
      </w:pPr>
      <w:r>
        <w:rPr>
          <w:b/>
          <w:bCs/>
        </w:rPr>
        <w:t>verify</w:t>
      </w:r>
      <w:r>
        <w:t xml:space="preserve"> - Run verification directives:</w:t>
      </w:r>
    </w:p>
    <w:p w14:paraId="7F55101A" w14:textId="77777777" w:rsidR="0054548D" w:rsidRDefault="00000000">
      <w:pPr>
        <w:pStyle w:val="SourceCode"/>
      </w:pPr>
      <w:r>
        <w:rPr>
          <w:rStyle w:val="VerbatimChar"/>
        </w:rPr>
        <w:t>ipflang verify filing.ipf</w:t>
      </w:r>
    </w:p>
    <w:p w14:paraId="7D57BB57" w14:textId="77777777" w:rsidR="0054548D" w:rsidRDefault="00000000">
      <w:pPr>
        <w:numPr>
          <w:ilvl w:val="0"/>
          <w:numId w:val="17"/>
        </w:numPr>
      </w:pPr>
      <w:r>
        <w:rPr>
          <w:b/>
          <w:bCs/>
        </w:rPr>
        <w:t>info</w:t>
      </w:r>
      <w:r>
        <w:t xml:space="preserve"> - Display script metadata:</w:t>
      </w:r>
    </w:p>
    <w:p w14:paraId="29BAE939" w14:textId="77777777" w:rsidR="0054548D" w:rsidRDefault="00000000">
      <w:pPr>
        <w:pStyle w:val="SourceCode"/>
      </w:pPr>
      <w:r>
        <w:rPr>
          <w:rStyle w:val="VerbatimChar"/>
        </w:rPr>
        <w:t>ipflang info filing.ipf</w:t>
      </w:r>
    </w:p>
    <w:p w14:paraId="029209DA" w14:textId="77777777" w:rsidR="0054548D" w:rsidRDefault="00000000">
      <w:pPr>
        <w:numPr>
          <w:ilvl w:val="0"/>
          <w:numId w:val="18"/>
        </w:numPr>
      </w:pPr>
      <w:r>
        <w:rPr>
          <w:b/>
          <w:bCs/>
        </w:rPr>
        <w:t>compose</w:t>
      </w:r>
      <w:r>
        <w:t xml:space="preserve"> - Combine jurisdictions:</w:t>
      </w:r>
    </w:p>
    <w:p w14:paraId="37909104" w14:textId="77777777" w:rsidR="0054548D" w:rsidRDefault="00000000">
      <w:pPr>
        <w:pStyle w:val="SourceCode"/>
      </w:pPr>
      <w:r>
        <w:rPr>
          <w:rStyle w:val="VerbatimChar"/>
        </w:rPr>
        <w:lastRenderedPageBreak/>
        <w:t>ipflang compose base.ipf national.ipf [--analysis]</w:t>
      </w:r>
    </w:p>
    <w:p w14:paraId="40180F5C" w14:textId="77777777" w:rsidR="0054548D" w:rsidRDefault="00000000">
      <w:pPr>
        <w:pStyle w:val="Heading3"/>
      </w:pPr>
      <w:bookmarkStart w:id="80" w:name="inputoutput-formats"/>
      <w:bookmarkEnd w:id="79"/>
      <w:r>
        <w:t>6.3 Input/Output Formats</w:t>
      </w:r>
    </w:p>
    <w:p w14:paraId="76122325" w14:textId="77777777" w:rsidR="0054548D" w:rsidRDefault="00000000">
      <w:pPr>
        <w:pStyle w:val="FirstParagraph"/>
      </w:pPr>
      <w:r>
        <w:rPr>
          <w:b/>
          <w:bCs/>
        </w:rPr>
        <w:t>Input (JSON):</w:t>
      </w:r>
    </w:p>
    <w:p w14:paraId="065FD85E" w14:textId="77777777" w:rsidR="003C6BFC" w:rsidRDefault="003C6BFC" w:rsidP="003C6BFC">
      <w:pPr>
        <w:pStyle w:val="SourceCode"/>
      </w:pPr>
      <w:r>
        <w:rPr>
          <w:rStyle w:val="FunctionTok"/>
        </w:rPr>
        <w:t>{</w:t>
      </w:r>
      <w:r>
        <w:br/>
      </w:r>
      <w:r>
        <w:rPr>
          <w:rStyle w:val="NormalTok"/>
        </w:rPr>
        <w:t xml:space="preserve">  </w:t>
      </w:r>
      <w:r>
        <w:rPr>
          <w:rStyle w:val="DataTypeTok"/>
        </w:rPr>
        <w:t>"</w:t>
      </w:r>
      <w:proofErr w:type="spellStart"/>
      <w:r>
        <w:rPr>
          <w:rStyle w:val="DataTypeTok"/>
        </w:rPr>
        <w:t>EntityType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SmallEntity</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ClaimCount</w:t>
      </w:r>
      <w:proofErr w:type="spellEnd"/>
      <w:r>
        <w:rPr>
          <w:rStyle w:val="DataTypeTok"/>
        </w:rPr>
        <w: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w:t>
      </w:r>
      <w:proofErr w:type="spellStart"/>
      <w:r>
        <w:rPr>
          <w:rStyle w:val="DataTypeTok"/>
        </w:rPr>
        <w:t>RequestsExamination</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w:t>
      </w:r>
      <w:proofErr w:type="spellStart"/>
      <w:r>
        <w:rPr>
          <w:rStyle w:val="DataTypeTok"/>
        </w:rPr>
        <w:t>FilingDate</w:t>
      </w:r>
      <w:proofErr w:type="spellEnd"/>
      <w:r>
        <w:rPr>
          <w:rStyle w:val="DataTypeTok"/>
        </w:rPr>
        <w:t>"</w:t>
      </w:r>
      <w:r>
        <w:rPr>
          <w:rStyle w:val="FunctionTok"/>
        </w:rPr>
        <w:t>:</w:t>
      </w:r>
      <w:r>
        <w:rPr>
          <w:rStyle w:val="NormalTok"/>
        </w:rPr>
        <w:t xml:space="preserve"> </w:t>
      </w:r>
      <w:r>
        <w:rPr>
          <w:rStyle w:val="StringTok"/>
        </w:rPr>
        <w:t>"2024-01-15"</w:t>
      </w:r>
      <w:r>
        <w:br/>
      </w:r>
      <w:r>
        <w:rPr>
          <w:rStyle w:val="FunctionTok"/>
        </w:rPr>
        <w:t>}</w:t>
      </w:r>
    </w:p>
    <w:p w14:paraId="66C3A3D2" w14:textId="77777777" w:rsidR="0054548D" w:rsidRDefault="00000000">
      <w:pPr>
        <w:pStyle w:val="FirstParagraph"/>
      </w:pPr>
      <w:r>
        <w:rPr>
          <w:b/>
          <w:bCs/>
        </w:rPr>
        <w:t>Output:</w:t>
      </w:r>
    </w:p>
    <w:p w14:paraId="7A70A586" w14:textId="77777777" w:rsidR="0054548D"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4E8AF7A5" w14:textId="77777777" w:rsidR="0054548D" w:rsidRDefault="00000000">
      <w:pPr>
        <w:pStyle w:val="Heading3"/>
      </w:pPr>
      <w:bookmarkStart w:id="81" w:name="source-code-availability"/>
      <w:bookmarkEnd w:id="80"/>
      <w:r>
        <w:t>6.4 Source Code Availability</w:t>
      </w:r>
    </w:p>
    <w:p w14:paraId="444B596C" w14:textId="77777777" w:rsidR="0054548D"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1,700 lines of DSL code) demonstrating language features, 118 production jurisdiction files plus 4 regional base files in the </w:t>
      </w:r>
      <w:r>
        <w:rPr>
          <w:rStyle w:val="VerbatimChar"/>
        </w:rPr>
        <w:t>jurisdictions/</w:t>
      </w:r>
      <w:r>
        <w:t xml:space="preserve"> directory covering PCT national/regional phase entry fees (approximately 21,800 lines of DSL code), and documentation with syntax reference.</w:t>
      </w:r>
    </w:p>
    <w:p w14:paraId="19B24DF7" w14:textId="77777777" w:rsidR="0054548D" w:rsidRDefault="00000000">
      <w:pPr>
        <w:pStyle w:val="Heading1"/>
      </w:pPr>
      <w:bookmarkStart w:id="82" w:name="evaluation"/>
      <w:bookmarkEnd w:id="77"/>
      <w:bookmarkEnd w:id="81"/>
      <w:r>
        <w:t>7. Evaluation</w:t>
      </w:r>
    </w:p>
    <w:p w14:paraId="6865CC61" w14:textId="77777777" w:rsidR="0054548D" w:rsidRDefault="00000000">
      <w:pPr>
        <w:pStyle w:val="Heading3"/>
      </w:pPr>
      <w:bookmarkStart w:id="83" w:name="representative-examples"/>
      <w:r>
        <w:t>7.1 Representative Examples</w:t>
      </w:r>
    </w:p>
    <w:p w14:paraId="3AFA2431" w14:textId="77777777" w:rsidR="003C6BFC" w:rsidRDefault="003C6BFC" w:rsidP="003C6BFC">
      <w:pPr>
        <w:pStyle w:val="Caption"/>
        <w:rPr>
          <w:i w:val="0"/>
          <w:iCs/>
        </w:rPr>
      </w:pPr>
      <w:r>
        <w:rPr>
          <w:noProof/>
        </w:rPr>
        <w:drawing>
          <wp:inline distT="0" distB="0" distL="0" distR="0" wp14:anchorId="46DEE276" wp14:editId="6FA2A6C0">
            <wp:extent cx="5486400" cy="1618129"/>
            <wp:effectExtent l="0" t="0" r="0" b="1270"/>
            <wp:docPr id="210666353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294B396E" w14:textId="77777777" w:rsidR="003C6BFC" w:rsidRPr="005901F0" w:rsidRDefault="003C6BFC" w:rsidP="003C6BFC">
      <w:pPr>
        <w:pStyle w:val="Caption"/>
        <w:rPr>
          <w:i w:val="0"/>
          <w:iCs/>
        </w:rPr>
      </w:pPr>
      <w:r>
        <w:rPr>
          <w:noProof/>
        </w:rPr>
        <w:lastRenderedPageBreak/>
        <w:drawing>
          <wp:inline distT="0" distB="0" distL="0" distR="0" wp14:anchorId="4DE40471" wp14:editId="3F8B4415">
            <wp:extent cx="5486400" cy="990600"/>
            <wp:effectExtent l="0" t="0" r="0" b="0"/>
            <wp:docPr id="869522918"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45E6EB54" w14:textId="77777777" w:rsidR="003C6BFC" w:rsidRDefault="003C6BFC" w:rsidP="003C6BFC">
      <w:pPr>
        <w:pStyle w:val="Caption"/>
      </w:pPr>
      <w:r>
        <w:t xml:space="preserve">Figure </w:t>
      </w:r>
      <w:r>
        <w:fldChar w:fldCharType="begin"/>
      </w:r>
      <w:r>
        <w:instrText xml:space="preserve"> SEQ Figure \* ARABIC </w:instrText>
      </w:r>
      <w:r>
        <w:fldChar w:fldCharType="separate"/>
      </w:r>
      <w:r>
        <w:rPr>
          <w:noProof/>
        </w:rPr>
        <w:t>4</w:t>
      </w:r>
      <w:r>
        <w:rPr>
          <w:noProof/>
        </w:rPr>
        <w:fldChar w:fldCharType="end"/>
      </w:r>
      <w:r>
        <w:t xml:space="preserve"> – PCT National/Regional Phase Jurisdiction Coverage</w:t>
      </w:r>
    </w:p>
    <w:p w14:paraId="58B98E60" w14:textId="77777777" w:rsidR="0054548D" w:rsidRDefault="00000000">
      <w:pPr>
        <w:pStyle w:val="BodyText"/>
      </w:pPr>
      <w:r>
        <w:t xml:space="preserve">The implementation includes 20 IPFLang example files in the </w:t>
      </w:r>
      <w:r>
        <w:rPr>
          <w:rStyle w:val="VerbatimChar"/>
        </w:rPr>
        <w:t>examples/</w:t>
      </w:r>
      <w:r>
        <w:t xml:space="preserve"> directory demonstrating language expressiveness across diverse fee structure patterns, plus 118 production-ready jurisdiction files in the </w:t>
      </w:r>
      <w:r>
        <w:rPr>
          <w:rStyle w:val="VerbatimChar"/>
        </w:rPr>
        <w:t>jurisdictions/</w:t>
      </w:r>
      <w:r>
        <w:t xml:space="preserve"> directory covering PCT national/regional phase entry fees for all major patent offices worldwide.</w:t>
      </w:r>
    </w:p>
    <w:p w14:paraId="6197E0E0" w14:textId="77777777" w:rsidR="0054548D"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1A9ACFB6" w14:textId="77777777" w:rsidR="0054548D"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401F46E5" w14:textId="77777777" w:rsidR="0054548D" w:rsidRDefault="00000000">
      <w:pPr>
        <w:pStyle w:val="BodyText"/>
      </w:pPr>
      <w:r>
        <w:t>Error detection examples cover mixed currency arithmetic (EUR + USD), incomplete fee coverage, non-monotonic fee behavior, invalid currency codes, and undefined variable references.</w:t>
      </w:r>
    </w:p>
    <w:p w14:paraId="0AEF8780" w14:textId="77777777" w:rsidR="0054548D" w:rsidRDefault="00000000">
      <w:pPr>
        <w:pStyle w:val="BodyText"/>
      </w:pPr>
      <w:r>
        <w:t>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that either stand alone or inherit from and extend their regional base. For example, Romania composes with the EP base to inherit EPO validation requirements while adding OSIM-specific national phase fees. This hierarchical organization eliminates duplication across jurisdictions sharing common regional structures while allowing country-specific customizations.</w:t>
      </w:r>
    </w:p>
    <w:p w14:paraId="222DF7D8" w14:textId="77777777" w:rsidR="0054548D" w:rsidRDefault="00000000">
      <w:pPr>
        <w:pStyle w:val="Heading3"/>
      </w:pPr>
      <w:bookmarkStart w:id="84" w:name="jurisdiction-file-validation"/>
      <w:bookmarkEnd w:id="83"/>
      <w:r>
        <w:t>7.2 Jurisdiction File Validation</w:t>
      </w:r>
    </w:p>
    <w:p w14:paraId="5889D1BD" w14:textId="77777777" w:rsidR="0054548D" w:rsidRDefault="00000000">
      <w:pPr>
        <w:pStyle w:val="FirstParagraph"/>
      </w:pPr>
      <w:r>
        <w:t>The 118 production jurisdiction files were validated by a domain expert against official PCT national/regional phase entry fee schedules from patent offices worldwide. The validation process verified dollar-accurate calculations across all supported jurisdictions covering the period 2023-2024.</w:t>
      </w:r>
    </w:p>
    <w:p w14:paraId="3A40294F" w14:textId="77777777" w:rsidR="0054548D"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w:t>
      </w:r>
      <w:r>
        <w:lastRenderedPageBreak/>
        <w:t xml:space="preserve">(19 countries) - </w:t>
      </w:r>
      <w:r>
        <w:rPr>
          <w:b/>
          <w:bCs/>
        </w:rPr>
        <w:t>base_oa.ipf</w:t>
      </w:r>
      <w:r>
        <w:t>: African Intellectual Property Organization (OAPI) member states (17 countries)</w:t>
      </w:r>
    </w:p>
    <w:p w14:paraId="4A7D99E2" w14:textId="77777777" w:rsidR="0054548D" w:rsidRDefault="00000000">
      <w:pPr>
        <w:pStyle w:val="BodyText"/>
      </w:pPr>
      <w:r>
        <w:t>Individual jurisdiction files either stand alone or inherit from and extend their regional base using the COMPOSE directive.</w:t>
      </w:r>
    </w:p>
    <w:p w14:paraId="4F85594E" w14:textId="77777777" w:rsidR="0054548D" w:rsidRDefault="00000000">
      <w:pPr>
        <w:pStyle w:val="BodyText"/>
      </w:pPr>
      <w:r>
        <w:t>The test suite includes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49BFD5E2" w14:textId="77777777" w:rsidR="0054548D" w:rsidRDefault="00000000">
      <w:pPr>
        <w:pStyle w:val="Heading3"/>
      </w:pPr>
      <w:bookmarkStart w:id="85" w:name="test-suite"/>
      <w:bookmarkEnd w:id="84"/>
      <w:r>
        <w:t>7.3 Test Suite</w:t>
      </w:r>
    </w:p>
    <w:p w14:paraId="5F7D230E" w14:textId="77777777" w:rsidR="0054548D" w:rsidRDefault="00000000">
      <w:pPr>
        <w:pStyle w:val="FirstParagraph"/>
      </w:pPr>
      <w:r>
        <w:t>The test suite comprises 260 test methods across 18 test categories covering:</w:t>
      </w:r>
    </w:p>
    <w:tbl>
      <w:tblPr>
        <w:tblStyle w:val="Table"/>
        <w:tblW w:w="3915" w:type="pct"/>
        <w:tblLayout w:type="fixed"/>
        <w:tblLook w:val="0020" w:firstRow="1" w:lastRow="0" w:firstColumn="0" w:lastColumn="0" w:noHBand="0" w:noVBand="0"/>
      </w:tblPr>
      <w:tblGrid>
        <w:gridCol w:w="3129"/>
        <w:gridCol w:w="818"/>
        <w:gridCol w:w="3551"/>
      </w:tblGrid>
      <w:tr w:rsidR="0054548D" w14:paraId="17F03545" w14:textId="77777777" w:rsidTr="0054548D">
        <w:trPr>
          <w:cnfStyle w:val="100000000000" w:firstRow="1" w:lastRow="0" w:firstColumn="0" w:lastColumn="0" w:oddVBand="0" w:evenVBand="0" w:oddHBand="0" w:evenHBand="0" w:firstRowFirstColumn="0" w:firstRowLastColumn="0" w:lastRowFirstColumn="0" w:lastRowLastColumn="0"/>
          <w:tblHeader/>
        </w:trPr>
        <w:tc>
          <w:tcPr>
            <w:tcW w:w="2588" w:type="dxa"/>
          </w:tcPr>
          <w:p w14:paraId="5EB6B5C3" w14:textId="77777777" w:rsidR="0054548D" w:rsidRDefault="00000000">
            <w:pPr>
              <w:pStyle w:val="Compact"/>
            </w:pPr>
            <w:r>
              <w:t>Category</w:t>
            </w:r>
          </w:p>
        </w:tc>
        <w:tc>
          <w:tcPr>
            <w:tcW w:w="676" w:type="dxa"/>
          </w:tcPr>
          <w:p w14:paraId="2267E657" w14:textId="77777777" w:rsidR="0054548D" w:rsidRDefault="00000000">
            <w:pPr>
              <w:pStyle w:val="Compact"/>
            </w:pPr>
            <w:r>
              <w:t>Tests</w:t>
            </w:r>
          </w:p>
        </w:tc>
        <w:tc>
          <w:tcPr>
            <w:tcW w:w="2936" w:type="dxa"/>
          </w:tcPr>
          <w:p w14:paraId="06FC4BAF" w14:textId="77777777" w:rsidR="0054548D" w:rsidRDefault="00000000">
            <w:pPr>
              <w:pStyle w:val="Compact"/>
            </w:pPr>
            <w:r>
              <w:t>Coverage</w:t>
            </w:r>
          </w:p>
        </w:tc>
      </w:tr>
      <w:tr w:rsidR="0054548D" w14:paraId="3C88FAB3" w14:textId="77777777">
        <w:tc>
          <w:tcPr>
            <w:tcW w:w="2588" w:type="dxa"/>
          </w:tcPr>
          <w:p w14:paraId="7538507C" w14:textId="77777777" w:rsidR="0054548D" w:rsidRDefault="00000000">
            <w:pPr>
              <w:pStyle w:val="Compact"/>
            </w:pPr>
            <w:r>
              <w:t>Calculator operations</w:t>
            </w:r>
          </w:p>
        </w:tc>
        <w:tc>
          <w:tcPr>
            <w:tcW w:w="676" w:type="dxa"/>
          </w:tcPr>
          <w:p w14:paraId="0C749CA3" w14:textId="77777777" w:rsidR="0054548D" w:rsidRDefault="00000000">
            <w:pPr>
              <w:pStyle w:val="Compact"/>
            </w:pPr>
            <w:r>
              <w:t>15</w:t>
            </w:r>
          </w:p>
        </w:tc>
        <w:tc>
          <w:tcPr>
            <w:tcW w:w="2936" w:type="dxa"/>
          </w:tcPr>
          <w:p w14:paraId="70A9C8CB" w14:textId="77777777" w:rsidR="0054548D" w:rsidRDefault="00000000">
            <w:pPr>
              <w:pStyle w:val="Compact"/>
            </w:pPr>
            <w:r>
              <w:t>Basic fee computation</w:t>
            </w:r>
          </w:p>
        </w:tc>
      </w:tr>
      <w:tr w:rsidR="0054548D" w14:paraId="400739E1" w14:textId="77777777">
        <w:tc>
          <w:tcPr>
            <w:tcW w:w="2588" w:type="dxa"/>
          </w:tcPr>
          <w:p w14:paraId="6E066EAE" w14:textId="77777777" w:rsidR="0054548D" w:rsidRDefault="00000000">
            <w:pPr>
              <w:pStyle w:val="Compact"/>
            </w:pPr>
            <w:r>
              <w:t>Currency type safety</w:t>
            </w:r>
          </w:p>
        </w:tc>
        <w:tc>
          <w:tcPr>
            <w:tcW w:w="676" w:type="dxa"/>
          </w:tcPr>
          <w:p w14:paraId="07D0F842" w14:textId="77777777" w:rsidR="0054548D" w:rsidRDefault="00000000">
            <w:pPr>
              <w:pStyle w:val="Compact"/>
            </w:pPr>
            <w:r>
              <w:t>31</w:t>
            </w:r>
          </w:p>
        </w:tc>
        <w:tc>
          <w:tcPr>
            <w:tcW w:w="2936" w:type="dxa"/>
          </w:tcPr>
          <w:p w14:paraId="76D0B6F1" w14:textId="77777777" w:rsidR="0054548D" w:rsidRDefault="00000000">
            <w:pPr>
              <w:pStyle w:val="Compact"/>
            </w:pPr>
            <w:r>
              <w:t>Type checking, 161 currencies</w:t>
            </w:r>
          </w:p>
        </w:tc>
      </w:tr>
      <w:tr w:rsidR="0054548D" w14:paraId="20D01630" w14:textId="77777777">
        <w:tc>
          <w:tcPr>
            <w:tcW w:w="2588" w:type="dxa"/>
          </w:tcPr>
          <w:p w14:paraId="7044502A" w14:textId="77777777" w:rsidR="0054548D" w:rsidRDefault="00000000">
            <w:pPr>
              <w:pStyle w:val="Compact"/>
            </w:pPr>
            <w:r>
              <w:t>Completeness verification</w:t>
            </w:r>
          </w:p>
        </w:tc>
        <w:tc>
          <w:tcPr>
            <w:tcW w:w="676" w:type="dxa"/>
          </w:tcPr>
          <w:p w14:paraId="07C45CE3" w14:textId="77777777" w:rsidR="0054548D" w:rsidRDefault="00000000">
            <w:pPr>
              <w:pStyle w:val="Compact"/>
            </w:pPr>
            <w:r>
              <w:t>25</w:t>
            </w:r>
          </w:p>
        </w:tc>
        <w:tc>
          <w:tcPr>
            <w:tcW w:w="2936" w:type="dxa"/>
          </w:tcPr>
          <w:p w14:paraId="132C2D3C" w14:textId="77777777" w:rsidR="0054548D" w:rsidRDefault="00000000">
            <w:pPr>
              <w:pStyle w:val="Compact"/>
            </w:pPr>
            <w:r>
              <w:t>Gap detection, sampling</w:t>
            </w:r>
          </w:p>
        </w:tc>
      </w:tr>
      <w:tr w:rsidR="0054548D" w14:paraId="37F49F84" w14:textId="77777777">
        <w:tc>
          <w:tcPr>
            <w:tcW w:w="2588" w:type="dxa"/>
          </w:tcPr>
          <w:p w14:paraId="69EFFC89" w14:textId="77777777" w:rsidR="0054548D" w:rsidRDefault="00000000">
            <w:pPr>
              <w:pStyle w:val="Compact"/>
            </w:pPr>
            <w:r>
              <w:t>Monotonicity verification</w:t>
            </w:r>
          </w:p>
        </w:tc>
        <w:tc>
          <w:tcPr>
            <w:tcW w:w="676" w:type="dxa"/>
          </w:tcPr>
          <w:p w14:paraId="36B81073" w14:textId="77777777" w:rsidR="0054548D" w:rsidRDefault="00000000">
            <w:pPr>
              <w:pStyle w:val="Compact"/>
            </w:pPr>
            <w:r>
              <w:t>4</w:t>
            </w:r>
          </w:p>
        </w:tc>
        <w:tc>
          <w:tcPr>
            <w:tcW w:w="2936" w:type="dxa"/>
          </w:tcPr>
          <w:p w14:paraId="4E5BEF35" w14:textId="77777777" w:rsidR="0054548D" w:rsidRDefault="00000000">
            <w:pPr>
              <w:pStyle w:val="Compact"/>
            </w:pPr>
            <w:r>
              <w:t>Direction enforcement</w:t>
            </w:r>
          </w:p>
        </w:tc>
      </w:tr>
      <w:tr w:rsidR="0054548D" w14:paraId="47950461" w14:textId="77777777">
        <w:tc>
          <w:tcPr>
            <w:tcW w:w="2588" w:type="dxa"/>
          </w:tcPr>
          <w:p w14:paraId="3E986DEF" w14:textId="77777777" w:rsidR="0054548D" w:rsidRDefault="00000000">
            <w:pPr>
              <w:pStyle w:val="Compact"/>
            </w:pPr>
            <w:r>
              <w:t>Temporal operations</w:t>
            </w:r>
          </w:p>
        </w:tc>
        <w:tc>
          <w:tcPr>
            <w:tcW w:w="676" w:type="dxa"/>
          </w:tcPr>
          <w:p w14:paraId="78BE41A3" w14:textId="77777777" w:rsidR="0054548D" w:rsidRDefault="00000000">
            <w:pPr>
              <w:pStyle w:val="Compact"/>
            </w:pPr>
            <w:r>
              <w:t>54</w:t>
            </w:r>
          </w:p>
        </w:tc>
        <w:tc>
          <w:tcPr>
            <w:tcW w:w="2936" w:type="dxa"/>
          </w:tcPr>
          <w:p w14:paraId="35E905EC" w14:textId="77777777" w:rsidR="0054548D" w:rsidRDefault="00000000">
            <w:pPr>
              <w:pStyle w:val="Compact"/>
            </w:pPr>
            <w:r>
              <w:t>Date calculations</w:t>
            </w:r>
          </w:p>
        </w:tc>
      </w:tr>
      <w:tr w:rsidR="0054548D" w14:paraId="3824570C" w14:textId="77777777">
        <w:tc>
          <w:tcPr>
            <w:tcW w:w="2588" w:type="dxa"/>
          </w:tcPr>
          <w:p w14:paraId="3AD5C851" w14:textId="77777777" w:rsidR="0054548D" w:rsidRDefault="00000000">
            <w:pPr>
              <w:pStyle w:val="Compact"/>
            </w:pPr>
            <w:r>
              <w:t>Provenance tracking</w:t>
            </w:r>
          </w:p>
        </w:tc>
        <w:tc>
          <w:tcPr>
            <w:tcW w:w="676" w:type="dxa"/>
          </w:tcPr>
          <w:p w14:paraId="3672A56A" w14:textId="77777777" w:rsidR="0054548D" w:rsidRDefault="00000000">
            <w:pPr>
              <w:pStyle w:val="Compact"/>
            </w:pPr>
            <w:r>
              <w:t>20</w:t>
            </w:r>
          </w:p>
        </w:tc>
        <w:tc>
          <w:tcPr>
            <w:tcW w:w="2936" w:type="dxa"/>
          </w:tcPr>
          <w:p w14:paraId="6740B31D" w14:textId="77777777" w:rsidR="0054548D" w:rsidRDefault="00000000">
            <w:pPr>
              <w:pStyle w:val="Compact"/>
            </w:pPr>
            <w:r>
              <w:t>Audit trails</w:t>
            </w:r>
          </w:p>
        </w:tc>
      </w:tr>
      <w:tr w:rsidR="0054548D" w14:paraId="25C9EC32" w14:textId="77777777">
        <w:tc>
          <w:tcPr>
            <w:tcW w:w="2588" w:type="dxa"/>
          </w:tcPr>
          <w:p w14:paraId="652C3655" w14:textId="77777777" w:rsidR="0054548D" w:rsidRDefault="00000000">
            <w:pPr>
              <w:pStyle w:val="Compact"/>
            </w:pPr>
            <w:r>
              <w:t>Jurisdiction composition</w:t>
            </w:r>
          </w:p>
        </w:tc>
        <w:tc>
          <w:tcPr>
            <w:tcW w:w="676" w:type="dxa"/>
          </w:tcPr>
          <w:p w14:paraId="6C2D45F3" w14:textId="77777777" w:rsidR="0054548D" w:rsidRDefault="00000000">
            <w:pPr>
              <w:pStyle w:val="Compact"/>
            </w:pPr>
            <w:r>
              <w:t>19</w:t>
            </w:r>
          </w:p>
        </w:tc>
        <w:tc>
          <w:tcPr>
            <w:tcW w:w="2936" w:type="dxa"/>
          </w:tcPr>
          <w:p w14:paraId="1FE16AC6" w14:textId="77777777" w:rsidR="0054548D" w:rsidRDefault="00000000">
            <w:pPr>
              <w:pStyle w:val="Compact"/>
            </w:pPr>
            <w:r>
              <w:t>Inheritance, overrides</w:t>
            </w:r>
          </w:p>
        </w:tc>
      </w:tr>
      <w:tr w:rsidR="0054548D" w14:paraId="0F4F51BE" w14:textId="77777777">
        <w:tc>
          <w:tcPr>
            <w:tcW w:w="2588" w:type="dxa"/>
          </w:tcPr>
          <w:p w14:paraId="4E7711D4" w14:textId="77777777" w:rsidR="0054548D" w:rsidRDefault="00000000">
            <w:pPr>
              <w:pStyle w:val="Compact"/>
            </w:pPr>
            <w:r>
              <w:t>Versioning</w:t>
            </w:r>
          </w:p>
        </w:tc>
        <w:tc>
          <w:tcPr>
            <w:tcW w:w="676" w:type="dxa"/>
          </w:tcPr>
          <w:p w14:paraId="48F3DFC9" w14:textId="77777777" w:rsidR="0054548D" w:rsidRDefault="00000000">
            <w:pPr>
              <w:pStyle w:val="Compact"/>
            </w:pPr>
            <w:r>
              <w:t>21</w:t>
            </w:r>
          </w:p>
        </w:tc>
        <w:tc>
          <w:tcPr>
            <w:tcW w:w="2936" w:type="dxa"/>
          </w:tcPr>
          <w:p w14:paraId="4EDCFFD4" w14:textId="77777777" w:rsidR="0054548D" w:rsidRDefault="00000000">
            <w:pPr>
              <w:pStyle w:val="Compact"/>
            </w:pPr>
            <w:r>
              <w:t>Diff, impact analysis</w:t>
            </w:r>
          </w:p>
        </w:tc>
      </w:tr>
      <w:tr w:rsidR="0054548D" w14:paraId="319D6997" w14:textId="77777777">
        <w:tc>
          <w:tcPr>
            <w:tcW w:w="2588" w:type="dxa"/>
          </w:tcPr>
          <w:p w14:paraId="70FFA4D0" w14:textId="77777777" w:rsidR="0054548D" w:rsidRDefault="00000000">
            <w:pPr>
              <w:pStyle w:val="Compact"/>
            </w:pPr>
            <w:r>
              <w:t>Other</w:t>
            </w:r>
          </w:p>
        </w:tc>
        <w:tc>
          <w:tcPr>
            <w:tcW w:w="676" w:type="dxa"/>
          </w:tcPr>
          <w:p w14:paraId="1A62A1A5" w14:textId="77777777" w:rsidR="0054548D" w:rsidRDefault="00000000">
            <w:pPr>
              <w:pStyle w:val="Compact"/>
            </w:pPr>
            <w:r>
              <w:t>77</w:t>
            </w:r>
          </w:p>
        </w:tc>
        <w:tc>
          <w:tcPr>
            <w:tcW w:w="2936" w:type="dxa"/>
          </w:tcPr>
          <w:p w14:paraId="54E007F0" w14:textId="77777777" w:rsidR="0054548D" w:rsidRDefault="00000000">
            <w:pPr>
              <w:pStyle w:val="Compact"/>
            </w:pPr>
            <w:r>
              <w:t>Semantics, parsing, logic</w:t>
            </w:r>
          </w:p>
        </w:tc>
      </w:tr>
    </w:tbl>
    <w:p w14:paraId="7EE892CE" w14:textId="77777777" w:rsidR="0054548D" w:rsidRDefault="00000000">
      <w:pPr>
        <w:pStyle w:val="BodyText"/>
      </w:pPr>
      <w:r>
        <w:t>All 260 tests pass with 100% success rate. Test execution completes in sub-millisecond time per test, confirming that DSL interpretation imposes negligible overhead.</w:t>
      </w:r>
    </w:p>
    <w:p w14:paraId="3B54D795" w14:textId="77777777" w:rsidR="0054548D" w:rsidRDefault="00000000">
      <w:pPr>
        <w:pStyle w:val="Heading3"/>
      </w:pPr>
      <w:bookmarkStart w:id="86" w:name="threats-to-validity"/>
      <w:bookmarkEnd w:id="85"/>
      <w:r>
        <w:t>7.4 Threats to Validity</w:t>
      </w:r>
    </w:p>
    <w:p w14:paraId="40DF3496" w14:textId="77777777" w:rsidR="0054548D" w:rsidRDefault="00000000">
      <w:pPr>
        <w:pStyle w:val="FirstParagraph"/>
      </w:pPr>
      <w:r>
        <w:rPr>
          <w:b/>
          <w:bCs/>
        </w:rPr>
        <w:t>Internal Validity.</w:t>
      </w:r>
      <w:r>
        <w:t xml:space="preserve"> The test suite validates correctness of the implementation but may not cover all edge cases. The 260 tests focus on feature coverage rather than exhaustive input space exploration. The validation against official fee schedules covers representative scenarios but not all possible input combinations.</w:t>
      </w:r>
    </w:p>
    <w:p w14:paraId="4DF146F1" w14:textId="77777777" w:rsidR="0054548D" w:rsidRDefault="00000000">
      <w:pPr>
        <w:pStyle w:val="BodyText"/>
      </w:pPr>
      <w:r>
        <w:rPr>
          <w:b/>
          <w:bCs/>
        </w:rPr>
        <w:t>External Validity.</w:t>
      </w:r>
      <w:r>
        <w:t xml:space="preserve"> The 118 production jurisdiction files covering PCT national/regional phase entry for major patent offices were validated by a domain expert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w:t>
      </w:r>
      <w:r>
        <w:lastRenderedPageBreak/>
        <w:t>use representative values rather than tracking current official schedules which are updated annually.</w:t>
      </w:r>
    </w:p>
    <w:p w14:paraId="3C3B6D55" w14:textId="77777777" w:rsidR="0054548D" w:rsidRDefault="00000000">
      <w:pPr>
        <w:pStyle w:val="BodyText"/>
      </w:pPr>
      <w:r>
        <w:rPr>
          <w:b/>
          <w:bCs/>
        </w:rPr>
        <w:t>Construct Validity.</w:t>
      </w:r>
      <w:r>
        <w:t xml:space="preserve"> Performance measurements reflect test execution time, not isolated component performance. Claims about syntax readability for practitioners are based on established DSL design principles [16, 23] rather than empirical user studies. The keyword-based syntax (EQ, GT, AND) was designed to improve readability compared to symbolic operators, and the explicit block delimiters (ENDCOMPUTE, ENDDEFINE) were chosen to reduce syntax errors, but these design hypotheses have not been validated through controlled experiments with practitioners. This limitation should be considered when evaluating claims about the language’s accessibility.</w:t>
      </w:r>
    </w:p>
    <w:p w14:paraId="4EDE314A" w14:textId="77777777" w:rsidR="0054548D"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D15D4CD" w14:textId="77777777" w:rsidR="0054548D" w:rsidRDefault="00000000">
      <w:pPr>
        <w:pStyle w:val="Heading1"/>
      </w:pPr>
      <w:bookmarkStart w:id="87" w:name="discussion"/>
      <w:bookmarkEnd w:id="82"/>
      <w:bookmarkEnd w:id="86"/>
      <w:r>
        <w:t>8. Discussion</w:t>
      </w:r>
    </w:p>
    <w:p w14:paraId="09918C0D" w14:textId="77777777" w:rsidR="0054548D" w:rsidRDefault="00000000">
      <w:pPr>
        <w:pStyle w:val="Heading3"/>
      </w:pPr>
      <w:bookmarkStart w:id="88" w:name="X4751bc7d735a50ea620a2fcf89a198e11d52395"/>
      <w:r>
        <w:t>8.1 Advantages of DSL-Based Formal Specification</w:t>
      </w:r>
    </w:p>
    <w:p w14:paraId="2FB67E74" w14:textId="77777777" w:rsidR="0054548D"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071DF6AB" w14:textId="77777777" w:rsidR="0054548D" w:rsidRDefault="00000000">
      <w:pPr>
        <w:pStyle w:val="BodyText"/>
      </w:pPr>
      <w:r>
        <w:rPr>
          <w:b/>
          <w:bCs/>
        </w:rPr>
        <w:t>Formal verification.</w:t>
      </w:r>
      <w:r>
        <w:t xml:space="preserve"> Static completeness checking (exhaustive mode) and monotonicity checking provide guarantees impossible with imperative implementations. For domains within the exhaustive threshold, practitioners can be confident that fee definitions cover all cases and behave predictably.</w:t>
      </w:r>
    </w:p>
    <w:p w14:paraId="238CBF63" w14:textId="77777777" w:rsidR="0054548D"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6996F475" w14:textId="77777777" w:rsidR="0054548D"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5F2D0EE2" w14:textId="77777777" w:rsidR="0054548D" w:rsidRDefault="00000000">
      <w:pPr>
        <w:pStyle w:val="BodyText"/>
      </w:pPr>
      <w:r>
        <w:rPr>
          <w:b/>
          <w:bCs/>
        </w:rPr>
        <w:t>Predictability over AI alternatives.</w:t>
      </w:r>
      <w:r>
        <w:t xml:space="preserve"> While general-purpose AI systems can perform fee calculations through natural language processing, DSL code authored by domain experts offers superior predictability and reliability. An IPFLang script encodes explicit, deterministic rules that produce identical outputs for identical inputs across all executions. In contrast, AI-based approaches may exhibit variability in interpretation, sensitivity to prompt phrasing, or unexpected behavior when encountering edge cases outside their training distribution. For regulated domains where calculation accuracy carries legal and </w:t>
      </w:r>
      <w:r>
        <w:lastRenderedPageBreak/>
        <w:t>financial consequences, the explicit rule encoding of a DSL provides stronger guarantees than probabilistic AI inference, while the human-readable syntax enables IP practitioners to verify correctness directly against authoritative fee schedules.</w:t>
      </w:r>
    </w:p>
    <w:p w14:paraId="5EA0E0E5" w14:textId="77777777" w:rsidR="0054548D" w:rsidRDefault="00000000">
      <w:pPr>
        <w:pStyle w:val="Heading3"/>
      </w:pPr>
      <w:bookmarkStart w:id="89" w:name="cross-domain-applicability"/>
      <w:bookmarkEnd w:id="88"/>
      <w:r>
        <w:t>8.2 Cross-Domain Applicability</w:t>
      </w:r>
    </w:p>
    <w:p w14:paraId="5CE0A780" w14:textId="77777777" w:rsidR="0054548D" w:rsidRDefault="00000000">
      <w:pPr>
        <w:pStyle w:val="FirstParagraph"/>
      </w:pPr>
      <w:r>
        <w:t>IPFLang’s design patterns address common regulatory calculation structures beyond intellectual property.</w:t>
      </w:r>
    </w:p>
    <w:p w14:paraId="3186D26F" w14:textId="77777777" w:rsidR="0054548D"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1C43CC9C" w14:textId="77777777" w:rsidR="0054548D"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700D3FCE" w14:textId="77777777" w:rsidR="0054548D"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4755B873" w14:textId="77777777" w:rsidR="0054548D"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3E91DBEF" w14:textId="77777777" w:rsidR="0054548D"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7CAF3696" w14:textId="77777777" w:rsidR="0054548D" w:rsidRDefault="00000000">
      <w:pPr>
        <w:pStyle w:val="Heading3"/>
      </w:pPr>
      <w:bookmarkStart w:id="90" w:name="limitations"/>
      <w:bookmarkEnd w:id="89"/>
      <w:r>
        <w:t>8.3 Limitations</w:t>
      </w:r>
    </w:p>
    <w:p w14:paraId="68CE25BB" w14:textId="77777777" w:rsidR="0054548D"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478A5FE8" w14:textId="77777777" w:rsidR="0054548D" w:rsidRDefault="00000000">
      <w:pPr>
        <w:pStyle w:val="BodyText"/>
      </w:pPr>
      <w:r>
        <w:t xml:space="preserve">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have not been conducted, and design decisions favoring readability (keyword operators, explicit block delimiters) are based on DSL design </w:t>
      </w:r>
      <w:r>
        <w:lastRenderedPageBreak/>
        <w:t>principles [16, 23] rather than empirical evidence. This constitutes a gap that future work must address.</w:t>
      </w:r>
    </w:p>
    <w:p w14:paraId="228E337B" w14:textId="77777777" w:rsidR="0054548D"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459B440" w14:textId="77777777" w:rsidR="0054548D" w:rsidRDefault="00000000">
      <w:pPr>
        <w:pStyle w:val="Heading1"/>
      </w:pPr>
      <w:bookmarkStart w:id="91" w:name="conclusions-and-future-work"/>
      <w:bookmarkEnd w:id="87"/>
      <w:bookmarkEnd w:id="90"/>
      <w:r>
        <w:t>9. Conclusions and Future Work</w:t>
      </w:r>
    </w:p>
    <w:p w14:paraId="4064C86D" w14:textId="77777777" w:rsidR="0054548D" w:rsidRDefault="00000000">
      <w:pPr>
        <w:pStyle w:val="FirstParagraph"/>
      </w:pPr>
      <w:r>
        <w:t>This paper introduced IPFLang, a domain-specific language for formally specifying intellectual property fee calculations. The key contributions are:</w:t>
      </w:r>
    </w:p>
    <w:p w14:paraId="7569DAE1" w14:textId="77777777" w:rsidR="0054548D" w:rsidRDefault="00000000">
      <w:pPr>
        <w:numPr>
          <w:ilvl w:val="0"/>
          <w:numId w:val="19"/>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78FEEF68" w14:textId="77777777" w:rsidR="0054548D" w:rsidRDefault="00000000">
      <w:pPr>
        <w:numPr>
          <w:ilvl w:val="0"/>
          <w:numId w:val="19"/>
        </w:numPr>
      </w:pPr>
      <w:r>
        <w:rPr>
          <w:b/>
          <w:bCs/>
        </w:rPr>
        <w:t>Currency-aware type system</w:t>
      </w:r>
      <w:r>
        <w:t xml:space="preserve"> supporting 161 ISO 4217 currencies with compile-time prevention of cross-currency arithmetic errors, formalized through typing rules with proven soundness properties.</w:t>
      </w:r>
    </w:p>
    <w:p w14:paraId="67336AC8" w14:textId="77777777" w:rsidR="0054548D" w:rsidRDefault="00000000">
      <w:pPr>
        <w:numPr>
          <w:ilvl w:val="0"/>
          <w:numId w:val="19"/>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3A945A31" w14:textId="77777777" w:rsidR="0054548D" w:rsidRDefault="00000000">
      <w:pPr>
        <w:numPr>
          <w:ilvl w:val="0"/>
          <w:numId w:val="19"/>
        </w:numPr>
      </w:pPr>
      <w:r>
        <w:rPr>
          <w:b/>
          <w:bCs/>
        </w:rPr>
        <w:t>Provenance tracking</w:t>
      </w:r>
      <w:r>
        <w:t xml:space="preserve"> with counterfactual analysis supporting auditability requirements for regulatory compliance and dispute resolution.</w:t>
      </w:r>
    </w:p>
    <w:p w14:paraId="6854D3FA" w14:textId="77777777" w:rsidR="0054548D" w:rsidRDefault="00000000">
      <w:pPr>
        <w:numPr>
          <w:ilvl w:val="0"/>
          <w:numId w:val="19"/>
        </w:numPr>
      </w:pPr>
      <w:r>
        <w:rPr>
          <w:b/>
          <w:bCs/>
        </w:rPr>
        <w:t>Reference implementation</w:t>
      </w:r>
      <w:r>
        <w:t xml:space="preserve"> validated through 260 passing tests, verification against official EPO and USPTO fee schedules, and 118 production jurisdiction files covering PCT national/regional phase entry.</w:t>
      </w:r>
    </w:p>
    <w:p w14:paraId="19551748" w14:textId="77777777" w:rsidR="0054548D" w:rsidRDefault="00000000">
      <w:pPr>
        <w:pStyle w:val="FirstParagraph"/>
      </w:pPr>
      <w:r>
        <w:t>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706AE97D" w14:textId="77777777" w:rsidR="0054548D" w:rsidRDefault="00000000">
      <w:pPr>
        <w:pStyle w:val="BodyText"/>
      </w:pPr>
      <w:r>
        <w:t xml:space="preserve">Several directions merit future investigation. On the implementation front, a REST API conforming to OpenAPI standards would enable enterprise integration, while community contributions could expand jurisdiction coverage beyond the current 118 files. Cross-domain pilots - particularly in tax calculations and customs duties - would test IPFLang's broader applicability. From a theoretical perspective, mechanizing the type soundness </w:t>
      </w:r>
      <w:r>
        <w:lastRenderedPageBreak/>
        <w:t>argument in Coq or Lean would strengthen formal guarantees through explicit progress and preservation proofs over a defined operational semantics. Perhaps most importantly, user studies with IP practitioners would empirically validate the readability and usability claims that currently rest on design principles rather than measured outcomes.</w:t>
      </w:r>
    </w:p>
    <w:p w14:paraId="508C536D" w14:textId="77777777" w:rsidR="0054548D" w:rsidRDefault="00000000">
      <w:pPr>
        <w:pStyle w:val="Heading1"/>
      </w:pPr>
      <w:bookmarkStart w:id="92" w:name="references"/>
      <w:bookmarkEnd w:id="91"/>
      <w:r>
        <w:t>References</w:t>
      </w:r>
    </w:p>
    <w:p w14:paraId="32694F8B" w14:textId="77777777" w:rsidR="0054548D" w:rsidRDefault="00000000">
      <w:pPr>
        <w:pStyle w:val="FirstParagraph"/>
      </w:pPr>
      <w:r>
        <w:t xml:space="preserve">[1] United States Patent and Trademark Office, 2025. USPTO Fee Schedule. </w:t>
      </w:r>
      <w:hyperlink r:id="rId31">
        <w:r w:rsidR="0054548D">
          <w:rPr>
            <w:rStyle w:val="Hyperlink"/>
          </w:rPr>
          <w:t>https://www.uspto.gov/learning-and-resources/fees-and-payment/uspto-fee-schedule</w:t>
        </w:r>
      </w:hyperlink>
      <w:r>
        <w:t xml:space="preserve"> (accessed 15 December 2025).</w:t>
      </w:r>
    </w:p>
    <w:p w14:paraId="0D1D6443" w14:textId="77777777" w:rsidR="0054548D" w:rsidRDefault="00000000">
      <w:pPr>
        <w:pStyle w:val="BodyText"/>
      </w:pPr>
      <w:r>
        <w:t xml:space="preserve">[2] European Patent Office, 2024. EPO Schedule of Fees. </w:t>
      </w:r>
      <w:hyperlink r:id="rId32">
        <w:r w:rsidR="0054548D">
          <w:rPr>
            <w:rStyle w:val="Hyperlink"/>
          </w:rPr>
          <w:t>https://my.epoline.org/epoline-portal/classic/epoline.Scheduleoffees</w:t>
        </w:r>
      </w:hyperlink>
      <w:r>
        <w:t xml:space="preserve"> (accessed 15 December 2025).</w:t>
      </w:r>
    </w:p>
    <w:p w14:paraId="3B9C0CDF" w14:textId="77777777" w:rsidR="0054548D" w:rsidRDefault="00000000">
      <w:pPr>
        <w:pStyle w:val="BodyText"/>
      </w:pPr>
      <w:r>
        <w:t xml:space="preserve">[3] Japan Patent Office, 2024. JPO Fee Information. </w:t>
      </w:r>
      <w:hyperlink r:id="rId33">
        <w:r w:rsidR="0054548D">
          <w:rPr>
            <w:rStyle w:val="Hyperlink"/>
          </w:rPr>
          <w:t>https://www.jpo.go.jp/</w:t>
        </w:r>
      </w:hyperlink>
      <w:r>
        <w:t xml:space="preserve"> (accessed 15 December 2025).</w:t>
      </w:r>
    </w:p>
    <w:p w14:paraId="6CA69921" w14:textId="77777777" w:rsidR="0054548D" w:rsidRDefault="00000000">
      <w:pPr>
        <w:pStyle w:val="BodyText"/>
      </w:pPr>
      <w:r>
        <w:t xml:space="preserve">[4] World Intellectual Property Organization, 2024. WIPO PCT Fee Tables. </w:t>
      </w:r>
      <w:hyperlink r:id="rId34">
        <w:r w:rsidR="0054548D">
          <w:rPr>
            <w:rStyle w:val="Hyperlink"/>
          </w:rPr>
          <w:t>https://www.wipo.int/</w:t>
        </w:r>
      </w:hyperlink>
      <w:r>
        <w:t xml:space="preserve"> (accessed 15 December 2025).</w:t>
      </w:r>
    </w:p>
    <w:p w14:paraId="4E4D8A30" w14:textId="77777777" w:rsidR="0054548D" w:rsidRDefault="00000000">
      <w:pPr>
        <w:pStyle w:val="BodyText"/>
      </w:pPr>
      <w:r>
        <w:t xml:space="preserve">[5] CPA Global (Clarivate), 2024. IP Management Solutions. </w:t>
      </w:r>
      <w:hyperlink r:id="rId35">
        <w:r w:rsidR="0054548D">
          <w:rPr>
            <w:rStyle w:val="Hyperlink"/>
          </w:rPr>
          <w:t>https://www.cpaglobal.com/</w:t>
        </w:r>
      </w:hyperlink>
      <w:r>
        <w:t xml:space="preserve"> (accessed 15 December 2025).</w:t>
      </w:r>
    </w:p>
    <w:p w14:paraId="0FBB2F61" w14:textId="77777777" w:rsidR="0054548D" w:rsidRDefault="00000000">
      <w:pPr>
        <w:pStyle w:val="BodyText"/>
      </w:pPr>
      <w:r>
        <w:t xml:space="preserve">[6] T. Athan, H. Boley, G. Governatori, M. Palmirani, A. Paschke, A. Wyner, LegalRuleML: Design Principles and Foundations, in: Reasoning Web. Web Logic Rules, Springer, Cham, 2015, pp. 151–188. </w:t>
      </w:r>
      <w:hyperlink r:id="rId36">
        <w:r w:rsidR="0054548D">
          <w:rPr>
            <w:rStyle w:val="Hyperlink"/>
          </w:rPr>
          <w:t>https://doi.org/10.1007/978-3-319-21768-0_6</w:t>
        </w:r>
      </w:hyperlink>
      <w:r>
        <w:t>.</w:t>
      </w:r>
    </w:p>
    <w:p w14:paraId="1B154AD9" w14:textId="77777777" w:rsidR="0054548D" w:rsidRDefault="00000000">
      <w:pPr>
        <w:pStyle w:val="BodyText"/>
      </w:pPr>
      <w:r>
        <w:t xml:space="preserve">[7] D. Merigoux, N. Chataing, J. Protzenko, Catala: A Programming Language for the Law, Proc. ACM Program. Lang. 5 (ICFP) (2021) Article 77. </w:t>
      </w:r>
      <w:hyperlink r:id="rId37">
        <w:r w:rsidR="0054548D">
          <w:rPr>
            <w:rStyle w:val="Hyperlink"/>
          </w:rPr>
          <w:t>https://doi.org/10.1145/3473582</w:t>
        </w:r>
      </w:hyperlink>
      <w:r>
        <w:t>.</w:t>
      </w:r>
    </w:p>
    <w:p w14:paraId="1AE51990" w14:textId="77777777" w:rsidR="0054548D" w:rsidRDefault="00000000">
      <w:pPr>
        <w:pStyle w:val="BodyText"/>
      </w:pPr>
      <w:r>
        <w:t xml:space="preserve">[8] World Intellectual Property Organization, 2023. WIPO ST.96 - Processing of IP Information using XML. </w:t>
      </w:r>
      <w:hyperlink r:id="rId38">
        <w:r w:rsidR="0054548D">
          <w:rPr>
            <w:rStyle w:val="Hyperlink"/>
          </w:rPr>
          <w:t>https://www.wipo.int/standards/en/st96.html</w:t>
        </w:r>
      </w:hyperlink>
      <w:r>
        <w:t xml:space="preserve"> (accessed 15 December 2025).</w:t>
      </w:r>
    </w:p>
    <w:p w14:paraId="62125BAA" w14:textId="77777777" w:rsidR="0054548D" w:rsidRDefault="00000000">
      <w:pPr>
        <w:pStyle w:val="BodyText"/>
      </w:pPr>
      <w:r>
        <w:t xml:space="preserve">[9] European Patent Office, 2024. EPO Open Patent Services (OPS) API. </w:t>
      </w:r>
      <w:hyperlink r:id="rId39">
        <w:r w:rsidR="0054548D">
          <w:rPr>
            <w:rStyle w:val="Hyperlink"/>
          </w:rPr>
          <w:t>https://www.epo.org/searching-for-patents/data/web-services/ops.html</w:t>
        </w:r>
      </w:hyperlink>
      <w:r>
        <w:t xml:space="preserve"> (accessed 15 December 2025).</w:t>
      </w:r>
    </w:p>
    <w:p w14:paraId="755364FE" w14:textId="77777777" w:rsidR="0054548D" w:rsidRDefault="00000000">
      <w:pPr>
        <w:pStyle w:val="BodyText"/>
      </w:pPr>
      <w:r>
        <w:t>[10] T. Hvitved, Contract Formalisation and Modular Implementation of Domain-Specific Languages, PhD Thesis, University of Copenhagen, Denmark, 2011.</w:t>
      </w:r>
    </w:p>
    <w:p w14:paraId="1B56551E" w14:textId="77777777" w:rsidR="0054548D" w:rsidRDefault="00000000">
      <w:pPr>
        <w:pStyle w:val="BodyText"/>
      </w:pPr>
      <w:r>
        <w:t xml:space="preserve">[11] A. Kennedy, Types for Units-of-Measure: Theory and Practice, in: Central European Functional Programming School (CEFP 2009), Springer, 2010, pp. 268–305. </w:t>
      </w:r>
      <w:hyperlink r:id="rId40">
        <w:r w:rsidR="0054548D">
          <w:rPr>
            <w:rStyle w:val="Hyperlink"/>
          </w:rPr>
          <w:t>https://doi.org/10.1007/978-3-642-17685-2_8</w:t>
        </w:r>
      </w:hyperlink>
      <w:r>
        <w:t>.</w:t>
      </w:r>
    </w:p>
    <w:p w14:paraId="5A0C28A7" w14:textId="77777777" w:rsidR="0054548D" w:rsidRDefault="00000000">
      <w:pPr>
        <w:pStyle w:val="BodyText"/>
      </w:pPr>
      <w:r>
        <w:t xml:space="preserve">[12] OpenFisca Contributors, 2024. OpenFisca: Open-source platform for tax-benefit microsimulation. </w:t>
      </w:r>
      <w:hyperlink r:id="rId41">
        <w:r w:rsidR="0054548D">
          <w:rPr>
            <w:rStyle w:val="Hyperlink"/>
          </w:rPr>
          <w:t>https://openfisca.org/</w:t>
        </w:r>
      </w:hyperlink>
      <w:r>
        <w:t xml:space="preserve"> (accessed 15 December 2025).</w:t>
      </w:r>
    </w:p>
    <w:p w14:paraId="1F8076D2" w14:textId="77777777" w:rsidR="0054548D" w:rsidRDefault="00000000">
      <w:pPr>
        <w:pStyle w:val="BodyText"/>
      </w:pPr>
      <w:r>
        <w:lastRenderedPageBreak/>
        <w:t xml:space="preserve">[13] Red Hat, 2024. Drools Business Rules Management System. </w:t>
      </w:r>
      <w:hyperlink r:id="rId42">
        <w:r w:rsidR="0054548D">
          <w:rPr>
            <w:rStyle w:val="Hyperlink"/>
          </w:rPr>
          <w:t>https://www.drools.org/</w:t>
        </w:r>
      </w:hyperlink>
      <w:r>
        <w:t xml:space="preserve"> (accessed 15 December 2025).</w:t>
      </w:r>
    </w:p>
    <w:p w14:paraId="1E5B1C33" w14:textId="77777777" w:rsidR="0054548D" w:rsidRDefault="00000000">
      <w:pPr>
        <w:pStyle w:val="BodyText"/>
      </w:pPr>
      <w:r>
        <w:t xml:space="preserve">[14] New Zealand Government, 2018. Better Rules for Government Discovery Report. </w:t>
      </w:r>
      <w:hyperlink r:id="rId43">
        <w:r w:rsidR="0054548D">
          <w:rPr>
            <w:rStyle w:val="Hyperlink"/>
          </w:rPr>
          <w:t>https://www.digital.govt.nz/dmsdocument/95-better-rules-for-government-discovery-report/html</w:t>
        </w:r>
      </w:hyperlink>
      <w:r>
        <w:t xml:space="preserve"> (accessed 15 December 2025).</w:t>
      </w:r>
    </w:p>
    <w:p w14:paraId="28559610" w14:textId="77777777" w:rsidR="0054548D" w:rsidRDefault="00000000">
      <w:pPr>
        <w:pStyle w:val="BodyText"/>
      </w:pPr>
      <w:r>
        <w:t>[15] M. Waddington, Rules as Code, IEEE IT Prof. 22 (3) (2020) 14–19.</w:t>
      </w:r>
    </w:p>
    <w:p w14:paraId="766AACDD" w14:textId="77777777" w:rsidR="0054548D" w:rsidRDefault="00000000">
      <w:pPr>
        <w:pStyle w:val="BodyText"/>
      </w:pPr>
      <w:r>
        <w:t>[16] M. Fowler, Domain-Specific Languages, Addison-Wesley, Boston, 2010.</w:t>
      </w:r>
    </w:p>
    <w:p w14:paraId="75769E4E" w14:textId="77777777" w:rsidR="0054548D" w:rsidRDefault="00000000">
      <w:pPr>
        <w:pStyle w:val="BodyText"/>
      </w:pPr>
      <w:r>
        <w:t>[17] A.V. Aho, M.S. Lam, R. Sethi, J.D. Ullman, Compilers: Principles, Techniques, and Tools, second ed., Addison-Wesley, Boston, 2006.</w:t>
      </w:r>
    </w:p>
    <w:p w14:paraId="62A418A2" w14:textId="77777777" w:rsidR="0054548D" w:rsidRDefault="00000000">
      <w:pPr>
        <w:pStyle w:val="BodyText"/>
      </w:pPr>
      <w:r>
        <w:t>[18] C.V. Chien, Holding Up and Holding Out, Michigan Telecommunications and Technology Law Review 21 (1) (2014) 1–44.</w:t>
      </w:r>
    </w:p>
    <w:p w14:paraId="4C51FA42" w14:textId="77777777" w:rsidR="0054548D" w:rsidRDefault="00000000">
      <w:pPr>
        <w:pStyle w:val="BodyText"/>
      </w:pPr>
      <w:r>
        <w:t>[19] R. Bekkers, A. Updegrove, A Study of IPR Policies and Practices of a Representative Group of Standards Setting Organizations Worldwide, in: Proc. National Academies Symposium on Intellectual Property Rights, National Research Council, Washington, DC, 2012.</w:t>
      </w:r>
    </w:p>
    <w:p w14:paraId="7FFA9608" w14:textId="77777777" w:rsidR="0054548D" w:rsidRDefault="00000000">
      <w:pPr>
        <w:pStyle w:val="BodyText"/>
      </w:pPr>
      <w:r>
        <w:t xml:space="preserve">[20] D. Orchard, V.-B. Liepelt, H. Eades III, Quantitative Program Reasoning with Graded Modal Types, Proc. ACM Program. Lang. 3 (ICFP) (2019) Article 110. </w:t>
      </w:r>
      <w:hyperlink r:id="rId44">
        <w:r w:rsidR="0054548D">
          <w:rPr>
            <w:rStyle w:val="Hyperlink"/>
          </w:rPr>
          <w:t>https://doi.org/10.1145/3341714</w:t>
        </w:r>
      </w:hyperlink>
      <w:r>
        <w:t>.</w:t>
      </w:r>
    </w:p>
    <w:p w14:paraId="4B5AABDD" w14:textId="77777777" w:rsidR="0054548D" w:rsidRDefault="00000000">
      <w:pPr>
        <w:pStyle w:val="BodyText"/>
      </w:pPr>
      <w:r>
        <w:t xml:space="preserve">[21] J. Mohun, A. Roberts, Cracking the Code: Rulemaking for Humans and Machines, OECD Working Papers on Public Governance, No. 42, OECD Publishing, Paris, 2020. </w:t>
      </w:r>
      <w:hyperlink r:id="rId45">
        <w:r w:rsidR="0054548D">
          <w:rPr>
            <w:rStyle w:val="Hyperlink"/>
          </w:rPr>
          <w:t>https://doi.org/10.1787/3afe6ba5-en</w:t>
        </w:r>
      </w:hyperlink>
      <w:r>
        <w:t>.</w:t>
      </w:r>
    </w:p>
    <w:p w14:paraId="708019F8" w14:textId="77777777" w:rsidR="0054548D" w:rsidRDefault="00000000">
      <w:pPr>
        <w:pStyle w:val="BodyText"/>
      </w:pPr>
      <w:r>
        <w:t>[22] D. Rapson, J. Sheridan, J. Mohun, A. Roberts, Rules as Code for a More Transparent and Efficient Global Economy, Centre for International Governance Innovation (CIGI), Policy Brief No. 187, 2023.</w:t>
      </w:r>
    </w:p>
    <w:p w14:paraId="7D713361" w14:textId="77777777" w:rsidR="0054548D" w:rsidRDefault="00000000">
      <w:pPr>
        <w:pStyle w:val="BodyText"/>
      </w:pPr>
      <w:r>
        <w:t xml:space="preserve">[23] M. Mernik, J. Heering, A.M. Sloane, When and How to Develop Domain-Specific Languages, ACM Comput. Surv. 37 (4) (2005) 316–344. </w:t>
      </w:r>
      <w:hyperlink r:id="rId46">
        <w:r w:rsidR="0054548D">
          <w:rPr>
            <w:rStyle w:val="Hyperlink"/>
          </w:rPr>
          <w:t>https://doi.org/10.1145/1118890.1118892</w:t>
        </w:r>
      </w:hyperlink>
      <w:r>
        <w:t>.</w:t>
      </w:r>
    </w:p>
    <w:p w14:paraId="7ACD0CD7" w14:textId="77777777" w:rsidR="0054548D" w:rsidRDefault="00000000">
      <w:pPr>
        <w:pStyle w:val="BodyText"/>
      </w:pPr>
      <w:r>
        <w:t xml:space="preserve">[24] Java Community Process, JSR 354: Money and Currency API, Java Specification Request, 2015. </w:t>
      </w:r>
      <w:hyperlink r:id="rId47">
        <w:r w:rsidR="0054548D">
          <w:rPr>
            <w:rStyle w:val="Hyperlink"/>
          </w:rPr>
          <w:t>https://jcp.org/en/jsr/detail?id=354</w:t>
        </w:r>
      </w:hyperlink>
      <w:r>
        <w:t xml:space="preserve"> (accessed 15 December 2025).</w:t>
      </w:r>
    </w:p>
    <w:p w14:paraId="27729702" w14:textId="77777777" w:rsidR="0054548D" w:rsidRDefault="00000000">
      <w:pPr>
        <w:pStyle w:val="BodyText"/>
      </w:pPr>
      <w:r>
        <w:t xml:space="preserve">[25] P. Cousot, R. Cousot, Abstract Interpretation: A Unified Lattice Model for Static Analysis of Programs by Construction or Approximation of Fixpoints, in: Proc. 4th ACM SIGACT-SIGPLAN Symposium on Principles of Programming Languages (POPL), ACM, 1977, pp. 238–252. </w:t>
      </w:r>
      <w:hyperlink r:id="rId48">
        <w:r w:rsidR="0054548D">
          <w:rPr>
            <w:rStyle w:val="Hyperlink"/>
          </w:rPr>
          <w:t>https://doi.org/10.1145/512950.512973</w:t>
        </w:r>
      </w:hyperlink>
      <w:r>
        <w:t>.</w:t>
      </w:r>
    </w:p>
    <w:p w14:paraId="7217E7CA" w14:textId="77777777" w:rsidR="0054548D" w:rsidRDefault="00000000">
      <w:pPr>
        <w:pStyle w:val="BodyText"/>
      </w:pPr>
      <w:r>
        <w:t xml:space="preserve">[26] T. Dardinier, G. Parthasarathy, P. Müller, Verification-Preserving Inlining in Automatic Separation Logic Verifiers, Proc. ACM Program. Lang. 7 (OOPSLA1) (2023) Article 80. </w:t>
      </w:r>
      <w:hyperlink r:id="rId49">
        <w:r w:rsidR="0054548D">
          <w:rPr>
            <w:rStyle w:val="Hyperlink"/>
          </w:rPr>
          <w:t>https://doi.org/10.1145/3586054</w:t>
        </w:r>
      </w:hyperlink>
      <w:r>
        <w:t>.</w:t>
      </w:r>
    </w:p>
    <w:p w14:paraId="1A2415D7" w14:textId="77777777" w:rsidR="0054548D" w:rsidRDefault="00000000">
      <w:pPr>
        <w:pStyle w:val="BodyText"/>
      </w:pPr>
      <w:r>
        <w:lastRenderedPageBreak/>
        <w:t xml:space="preserve">[27] A.K. Wright, M. Felleisen, A Syntactic Approach to Type Soundness, Information and Computation 115 (1) (1994) 38-94. </w:t>
      </w:r>
      <w:hyperlink r:id="rId50">
        <w:r w:rsidR="0054548D">
          <w:rPr>
            <w:rStyle w:val="Hyperlink"/>
          </w:rPr>
          <w:t>https://doi.org/10.1006/inco.1994.1093</w:t>
        </w:r>
      </w:hyperlink>
      <w:r>
        <w:t>.</w:t>
      </w:r>
    </w:p>
    <w:p w14:paraId="75668A7B" w14:textId="77777777" w:rsidR="0054548D" w:rsidRDefault="00000000">
      <w:pPr>
        <w:pStyle w:val="BodyText"/>
      </w:pPr>
      <w:r>
        <w:t xml:space="preserve">[28] M. Herschel, R. Diestelkämper, H. Ben Lahmar, A survey on provenance: What for? What form? What from?, The VLDB Journal 26 (6) (2017) 881–906. </w:t>
      </w:r>
      <w:hyperlink r:id="rId51">
        <w:r w:rsidR="0054548D">
          <w:rPr>
            <w:rStyle w:val="Hyperlink"/>
          </w:rPr>
          <w:t>https://doi.org/10.1007/s00778-017-0486-1</w:t>
        </w:r>
      </w:hyperlink>
      <w:r>
        <w:t>.</w:t>
      </w:r>
    </w:p>
    <w:p w14:paraId="79DB856B" w14:textId="77777777" w:rsidR="0054548D" w:rsidRDefault="00000000">
      <w:pPr>
        <w:pStyle w:val="BodyText"/>
      </w:pPr>
      <w:r>
        <w:t xml:space="preserve">[29] I.D. Raji, A. Smart, R.N. White, M. Mitchell, T. Gebru, B. Hutchinson, J. Smith-Loud, D. Theron, P. Barnes, Closing the AI accountability gap: Defining an end-to-end framework for internal algorithmic auditing, in: Proc. 2020 ACM Conference on Fairness, Accountability, and Transparency (FAccT '20), ACM, New York, 2020, pp. 33–44. </w:t>
      </w:r>
      <w:hyperlink r:id="rId52">
        <w:r w:rsidR="0054548D">
          <w:rPr>
            <w:rStyle w:val="Hyperlink"/>
          </w:rPr>
          <w:t>https://doi.org/10.1145/3351095.3372873</w:t>
        </w:r>
      </w:hyperlink>
      <w:r>
        <w:t>.</w:t>
      </w:r>
    </w:p>
    <w:p w14:paraId="759A5A12" w14:textId="77777777" w:rsidR="0054548D" w:rsidRDefault="00000000">
      <w:pPr>
        <w:pStyle w:val="BodyText"/>
      </w:pPr>
      <w:r>
        <w:t xml:space="preserve">[30] S. Wachter, B. Mittelstadt, C. Russell, Counterfactual explanations without opening the black box: Automated decisions and the GDPR, Harvard Journal of Law &amp; Technology 31 (2) (2018) 841–887. Available at SSRN: </w:t>
      </w:r>
      <w:hyperlink r:id="rId53">
        <w:r w:rsidR="0054548D">
          <w:rPr>
            <w:rStyle w:val="Hyperlink"/>
          </w:rPr>
          <w:t>https://doi.org/10.2139/ssrn.3063289</w:t>
        </w:r>
      </w:hyperlink>
      <w:r>
        <w:t>.</w:t>
      </w:r>
    </w:p>
    <w:p w14:paraId="3D7E5CA6" w14:textId="77777777" w:rsidR="0054548D" w:rsidRDefault="00000000">
      <w:pPr>
        <w:pStyle w:val="BodyText"/>
      </w:pPr>
      <w:r>
        <w:t xml:space="preserve">[31] P.M. VanNostrand, D.M. Hofmann, L. Ma, E.A. Rundensteiner, Actionable recourse for automated decisions: Examining the effects of counterfactual explanation type and presentation on lay user understanding, in: Proc. 2024 ACM Conference on Fairness, Accountability, and Transparency (FAccT '24), ACM, New York, 2024, pp. 1–12. </w:t>
      </w:r>
      <w:hyperlink r:id="rId54">
        <w:r w:rsidR="0054548D">
          <w:rPr>
            <w:rStyle w:val="Hyperlink"/>
          </w:rPr>
          <w:t>https://doi.org/10.1145/3630106.3658997</w:t>
        </w:r>
      </w:hyperlink>
      <w:r>
        <w:t>.</w:t>
      </w:r>
    </w:p>
    <w:p w14:paraId="33B52CBD" w14:textId="77777777" w:rsidR="0054548D" w:rsidRDefault="00000000">
      <w:pPr>
        <w:pStyle w:val="BodyText"/>
      </w:pPr>
      <w:r>
        <w:t>[32] T. Antonopoulos, K. Makarychev, M. Gliga, S. Park, D. Giannakopoulou, et al., soid: A tool for legal accountability for automated decision making, in: Proc. 36</w:t>
      </w:r>
      <w:r>
        <w:rPr>
          <w:vertAlign w:val="superscript"/>
        </w:rPr>
        <w:t>th</w:t>
      </w:r>
      <w:r>
        <w:t xml:space="preserve"> International Conference on Computer Aided Verification (CAV 2024), LNCS, vol. 14682, Springer, Cham, 2024, pp. 235–248. </w:t>
      </w:r>
      <w:hyperlink r:id="rId55">
        <w:r w:rsidR="0054548D">
          <w:rPr>
            <w:rStyle w:val="Hyperlink"/>
          </w:rPr>
          <w:t>https://doi.org/10.1007/978-3-031-65630-9_12</w:t>
        </w:r>
      </w:hyperlink>
      <w:r>
        <w:t>.</w:t>
      </w:r>
    </w:p>
    <w:p w14:paraId="48821FBB" w14:textId="77777777" w:rsidR="0054548D" w:rsidRDefault="00000000">
      <w:pPr>
        <w:pStyle w:val="Heading1"/>
      </w:pPr>
      <w:bookmarkStart w:id="93" w:name="author-biography"/>
      <w:bookmarkEnd w:id="92"/>
      <w:r>
        <w:t>Author Biography</w:t>
      </w:r>
    </w:p>
    <w:p w14:paraId="4308374E" w14:textId="77777777" w:rsidR="0054548D"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2D3E742B" w14:textId="77777777" w:rsidR="0054548D" w:rsidRDefault="00000000">
      <w:pPr>
        <w:pStyle w:val="Heading1"/>
      </w:pPr>
      <w:bookmarkStart w:id="94" w:name="acknowledgments"/>
      <w:bookmarkEnd w:id="93"/>
      <w:r>
        <w:t>Acknowledgments</w:t>
      </w:r>
    </w:p>
    <w:p w14:paraId="4FFB5E60" w14:textId="77777777" w:rsidR="0054548D" w:rsidRDefault="00000000">
      <w:pPr>
        <w:pStyle w:val="FirstParagraph"/>
      </w:pPr>
      <w:r>
        <w:t xml:space="preserve">The author gratefully acknowledges Robert Fichter, Ph.D. of Jet IP for his meticulous verification of each jurisdiction implementation in IPFLang, ensuring dollar-accurate </w:t>
      </w:r>
      <w:r>
        <w:lastRenderedPageBreak/>
        <w:t>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79607106" w14:textId="77777777" w:rsidR="0054548D" w:rsidRDefault="00000000">
      <w:pPr>
        <w:pStyle w:val="Heading1"/>
      </w:pPr>
      <w:bookmarkStart w:id="95" w:name="data-availability-statement"/>
      <w:bookmarkEnd w:id="94"/>
      <w:r>
        <w:t>Data Availability Statement</w:t>
      </w:r>
    </w:p>
    <w:p w14:paraId="03DCDF74" w14:textId="77777777" w:rsidR="0054548D" w:rsidRDefault="00000000">
      <w:pPr>
        <w:pStyle w:val="FirstParagraph"/>
      </w:pPr>
      <w:r>
        <w:t xml:space="preserve">The IPFLang reference implementation, including all example files and test suite, is available under GPLv3 at </w:t>
      </w:r>
      <w:hyperlink r:id="rId56">
        <w:r w:rsidR="0054548D">
          <w:rPr>
            <w:rStyle w:val="Hyperlink"/>
          </w:rPr>
          <w:t>https://github.com/vbocan/IPFLang</w:t>
        </w:r>
      </w:hyperlink>
      <w:r>
        <w:t>.</w:t>
      </w:r>
    </w:p>
    <w:p w14:paraId="4B752AC0" w14:textId="77777777" w:rsidR="0054548D" w:rsidRDefault="00000000">
      <w:pPr>
        <w:pStyle w:val="Heading1"/>
      </w:pPr>
      <w:bookmarkStart w:id="96" w:name="funding"/>
      <w:bookmarkEnd w:id="95"/>
      <w:r>
        <w:t>Funding</w:t>
      </w:r>
    </w:p>
    <w:p w14:paraId="68F5D7C5" w14:textId="77777777" w:rsidR="0054548D" w:rsidRDefault="00000000">
      <w:pPr>
        <w:pStyle w:val="FirstParagraph"/>
      </w:pPr>
      <w:r>
        <w:t>This research did not receive any specific grant from funding agencies in the public, commercial, or not-for-profit sectors.</w:t>
      </w:r>
    </w:p>
    <w:p w14:paraId="3A63A078" w14:textId="77777777" w:rsidR="0054548D" w:rsidRDefault="00000000">
      <w:pPr>
        <w:pStyle w:val="Heading1"/>
      </w:pPr>
      <w:bookmarkStart w:id="97" w:name="credit-author-contribution-statement"/>
      <w:bookmarkEnd w:id="96"/>
      <w:r>
        <w:t>CRediT Author Contribution Statement</w:t>
      </w:r>
    </w:p>
    <w:p w14:paraId="1B0FF7C2" w14:textId="77777777" w:rsidR="0054548D"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4EA090FD" w14:textId="77777777" w:rsidR="0054548D" w:rsidRDefault="00000000">
      <w:pPr>
        <w:pStyle w:val="Heading1"/>
      </w:pPr>
      <w:bookmarkStart w:id="98" w:name="X071796dd6bc546c91e96cca1cf5ff96599de61f"/>
      <w:bookmarkEnd w:id="97"/>
      <w:r>
        <w:t>Declaration of Generative AI and AI-assisted technologies in the writing process</w:t>
      </w:r>
    </w:p>
    <w:p w14:paraId="00E706A4" w14:textId="77777777" w:rsidR="0054548D" w:rsidRDefault="00000000">
      <w:pPr>
        <w:pStyle w:val="FirstParagraph"/>
      </w:pPr>
      <w:r>
        <w:t>During the preparation of this work, the author used Claude (Anthropic) to improve the language and readability of the manuscript. After using these tools, the author reviewed and edited the content as needed and takes full responsibility for the content of the publication.</w:t>
      </w:r>
    </w:p>
    <w:p w14:paraId="39F6750E" w14:textId="77777777" w:rsidR="0054548D" w:rsidRDefault="00000000">
      <w:pPr>
        <w:pStyle w:val="Heading1"/>
      </w:pPr>
      <w:bookmarkStart w:id="99" w:name="declaration-of-competing-interests"/>
      <w:bookmarkEnd w:id="98"/>
      <w:r>
        <w:t>Declaration of Competing Interests</w:t>
      </w:r>
    </w:p>
    <w:p w14:paraId="3EF56BC2" w14:textId="77777777" w:rsidR="0054548D" w:rsidRDefault="00000000">
      <w:pPr>
        <w:pStyle w:val="FirstParagraph"/>
      </w:pPr>
      <w:r>
        <w:t>The author declares no competing interests. IPFLang is released as open-source software with no commercial affiliations.</w:t>
      </w:r>
      <w:bookmarkEnd w:id="99"/>
    </w:p>
    <w:sectPr w:rsidR="0054548D">
      <w:footerReference w:type="default" r:id="rId5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2BB0E" w14:textId="77777777" w:rsidR="000A182C" w:rsidRDefault="000A182C" w:rsidP="00244D84">
      <w:pPr>
        <w:spacing w:after="0"/>
      </w:pPr>
      <w:r>
        <w:separator/>
      </w:r>
    </w:p>
  </w:endnote>
  <w:endnote w:type="continuationSeparator" w:id="0">
    <w:p w14:paraId="37FFCE60" w14:textId="77777777" w:rsidR="000A182C" w:rsidRDefault="000A182C" w:rsidP="00244D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7332614"/>
      <w:docPartObj>
        <w:docPartGallery w:val="Page Numbers (Bottom of Page)"/>
        <w:docPartUnique/>
      </w:docPartObj>
    </w:sdtPr>
    <w:sdtEndPr>
      <w:rPr>
        <w:noProof/>
      </w:rPr>
    </w:sdtEndPr>
    <w:sdtContent>
      <w:p w14:paraId="5B4F5136" w14:textId="1DB73C4A" w:rsidR="00244D84" w:rsidRDefault="00244D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549C35B" w14:textId="77777777" w:rsidR="00244D84" w:rsidRDefault="00244D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DF53F" w14:textId="77777777" w:rsidR="000A182C" w:rsidRDefault="000A182C" w:rsidP="00244D84">
      <w:pPr>
        <w:spacing w:after="0"/>
      </w:pPr>
      <w:r>
        <w:separator/>
      </w:r>
    </w:p>
  </w:footnote>
  <w:footnote w:type="continuationSeparator" w:id="0">
    <w:p w14:paraId="4571AC08" w14:textId="77777777" w:rsidR="000A182C" w:rsidRDefault="000A182C" w:rsidP="00244D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050DA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A0861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79E27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1486053">
    <w:abstractNumId w:val="0"/>
  </w:num>
  <w:num w:numId="2" w16cid:durableId="2439257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79739872">
    <w:abstractNumId w:val="1"/>
  </w:num>
  <w:num w:numId="4" w16cid:durableId="939723399">
    <w:abstractNumId w:val="1"/>
  </w:num>
  <w:num w:numId="5" w16cid:durableId="4478175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370419">
    <w:abstractNumId w:val="1"/>
  </w:num>
  <w:num w:numId="7" w16cid:durableId="688260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3349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3386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63009542">
    <w:abstractNumId w:val="1"/>
  </w:num>
  <w:num w:numId="11" w16cid:durableId="1650673276">
    <w:abstractNumId w:val="1"/>
  </w:num>
  <w:num w:numId="12" w16cid:durableId="486748138">
    <w:abstractNumId w:val="1"/>
  </w:num>
  <w:num w:numId="13" w16cid:durableId="71975082">
    <w:abstractNumId w:val="1"/>
  </w:num>
  <w:num w:numId="14" w16cid:durableId="1895040781">
    <w:abstractNumId w:val="1"/>
  </w:num>
  <w:num w:numId="15" w16cid:durableId="600189195">
    <w:abstractNumId w:val="1"/>
  </w:num>
  <w:num w:numId="16" w16cid:durableId="1852715892">
    <w:abstractNumId w:val="1"/>
  </w:num>
  <w:num w:numId="17" w16cid:durableId="471797063">
    <w:abstractNumId w:val="1"/>
  </w:num>
  <w:num w:numId="18" w16cid:durableId="296879523">
    <w:abstractNumId w:val="1"/>
  </w:num>
  <w:num w:numId="19" w16cid:durableId="389814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4548D"/>
    <w:rsid w:val="000A182C"/>
    <w:rsid w:val="00244D84"/>
    <w:rsid w:val="00337E38"/>
    <w:rsid w:val="003C6BFC"/>
    <w:rsid w:val="00543F30"/>
    <w:rsid w:val="0054548D"/>
    <w:rsid w:val="00657E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BA8CF4"/>
  <w15:docId w15:val="{AC0E9C46-1028-4AD1-BB83-7362441E6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244D84"/>
    <w:pPr>
      <w:tabs>
        <w:tab w:val="center" w:pos="4680"/>
        <w:tab w:val="right" w:pos="9360"/>
      </w:tabs>
      <w:spacing w:after="0"/>
    </w:pPr>
  </w:style>
  <w:style w:type="character" w:customStyle="1" w:styleId="HeaderChar">
    <w:name w:val="Header Char"/>
    <w:basedOn w:val="DefaultParagraphFont"/>
    <w:link w:val="Header"/>
    <w:rsid w:val="00244D84"/>
  </w:style>
  <w:style w:type="paragraph" w:styleId="Footer">
    <w:name w:val="footer"/>
    <w:basedOn w:val="Normal"/>
    <w:link w:val="FooterChar"/>
    <w:uiPriority w:val="99"/>
    <w:rsid w:val="00244D84"/>
    <w:pPr>
      <w:tabs>
        <w:tab w:val="center" w:pos="4680"/>
        <w:tab w:val="right" w:pos="9360"/>
      </w:tabs>
      <w:spacing w:after="0"/>
    </w:pPr>
  </w:style>
  <w:style w:type="character" w:customStyle="1" w:styleId="FooterChar">
    <w:name w:val="Footer Char"/>
    <w:basedOn w:val="DefaultParagraphFont"/>
    <w:link w:val="Footer"/>
    <w:uiPriority w:val="99"/>
    <w:rsid w:val="00244D84"/>
  </w:style>
  <w:style w:type="table" w:styleId="ListTable3">
    <w:name w:val="List Table 3"/>
    <w:basedOn w:val="TableNormal"/>
    <w:uiPriority w:val="48"/>
    <w:rsid w:val="003C6BFC"/>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odyTextChar">
    <w:name w:val="Body Text Char"/>
    <w:basedOn w:val="DefaultParagraphFont"/>
    <w:link w:val="BodyText"/>
    <w:rsid w:val="003C6B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diagramData" Target="diagrams/data4.xml"/><Relationship Id="rId39" Type="http://schemas.openxmlformats.org/officeDocument/2006/relationships/hyperlink" Target="https://www.epo.org/searching-for-patents/data/web-services/ops.html" TargetMode="External"/><Relationship Id="rId21" Type="http://schemas.openxmlformats.org/officeDocument/2006/relationships/diagramData" Target="diagrams/data3.xml"/><Relationship Id="rId34" Type="http://schemas.openxmlformats.org/officeDocument/2006/relationships/hyperlink" Target="https://www.wipo.int/" TargetMode="External"/><Relationship Id="rId42" Type="http://schemas.openxmlformats.org/officeDocument/2006/relationships/hyperlink" Target="https://www.drools.org/" TargetMode="External"/><Relationship Id="rId47" Type="http://schemas.openxmlformats.org/officeDocument/2006/relationships/hyperlink" Target="https://jcp.org/en/jsr/detail?id=354" TargetMode="External"/><Relationship Id="rId50" Type="http://schemas.openxmlformats.org/officeDocument/2006/relationships/hyperlink" Target="https://doi.org/10.1006/inco.1994.1093" TargetMode="External"/><Relationship Id="rId55" Type="http://schemas.openxmlformats.org/officeDocument/2006/relationships/hyperlink" Target="https://doi.org/10.1007/978-3-031-65630-9_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Layout" Target="diagrams/layout2.xml"/><Relationship Id="rId29" Type="http://schemas.openxmlformats.org/officeDocument/2006/relationships/diagramColors" Target="diagrams/colors4.xml"/><Relationship Id="rId11" Type="http://schemas.openxmlformats.org/officeDocument/2006/relationships/diagramLayout" Target="diagrams/layout1.xml"/><Relationship Id="rId24" Type="http://schemas.openxmlformats.org/officeDocument/2006/relationships/diagramColors" Target="diagrams/colors3.xml"/><Relationship Id="rId32" Type="http://schemas.openxmlformats.org/officeDocument/2006/relationships/hyperlink" Target="https://my.epoline.org/epoline-portal/classic/epoline.Scheduleoffees" TargetMode="External"/><Relationship Id="rId37" Type="http://schemas.openxmlformats.org/officeDocument/2006/relationships/hyperlink" Target="https://doi.org/10.1145/3473582" TargetMode="External"/><Relationship Id="rId40" Type="http://schemas.openxmlformats.org/officeDocument/2006/relationships/hyperlink" Target="https://doi.org/10.1007/978-3-642-17685-2_8" TargetMode="External"/><Relationship Id="rId45" Type="http://schemas.openxmlformats.org/officeDocument/2006/relationships/hyperlink" Target="https://doi.org/10.1787/3afe6ba5-en" TargetMode="External"/><Relationship Id="rId53" Type="http://schemas.openxmlformats.org/officeDocument/2006/relationships/hyperlink" Target="https://doi.org/10.2139/ssrn.3063289"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diagramDrawing" Target="diagrams/drawing1.xml"/><Relationship Id="rId22" Type="http://schemas.openxmlformats.org/officeDocument/2006/relationships/diagramLayout" Target="diagrams/layout3.xml"/><Relationship Id="rId27" Type="http://schemas.openxmlformats.org/officeDocument/2006/relationships/diagramLayout" Target="diagrams/layout4.xml"/><Relationship Id="rId30" Type="http://schemas.microsoft.com/office/2007/relationships/diagramDrawing" Target="diagrams/drawing4.xml"/><Relationship Id="rId35" Type="http://schemas.openxmlformats.org/officeDocument/2006/relationships/hyperlink" Target="https://www.cpaglobal.com/" TargetMode="External"/><Relationship Id="rId43" Type="http://schemas.openxmlformats.org/officeDocument/2006/relationships/hyperlink" Target="https://www.digital.govt.nz/dmsdocument/95-better-rules-for-government-discovery-report/html" TargetMode="External"/><Relationship Id="rId48" Type="http://schemas.openxmlformats.org/officeDocument/2006/relationships/hyperlink" Target="https://doi.org/10.1145/512950.512973" TargetMode="External"/><Relationship Id="rId56" Type="http://schemas.openxmlformats.org/officeDocument/2006/relationships/hyperlink" Target="https://github.com/vbocan/IPFLang" TargetMode="External"/><Relationship Id="rId8" Type="http://schemas.openxmlformats.org/officeDocument/2006/relationships/hyperlink" Target="mailto:valer.bocan@upt.ro" TargetMode="External"/><Relationship Id="rId51" Type="http://schemas.openxmlformats.org/officeDocument/2006/relationships/hyperlink" Target="https://doi.org/10.1007/s00778-017-0486-1" TargetMode="External"/><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microsoft.com/office/2007/relationships/diagramDrawing" Target="diagrams/drawing3.xml"/><Relationship Id="rId33" Type="http://schemas.openxmlformats.org/officeDocument/2006/relationships/hyperlink" Target="https://www.jpo.go.jp/" TargetMode="External"/><Relationship Id="rId38" Type="http://schemas.openxmlformats.org/officeDocument/2006/relationships/hyperlink" Target="https://www.wipo.int/standards/en/st96.html" TargetMode="External"/><Relationship Id="rId46" Type="http://schemas.openxmlformats.org/officeDocument/2006/relationships/hyperlink" Target="https://doi.org/10.1145/1118890.1118892" TargetMode="External"/><Relationship Id="rId59"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openfisca.org/" TargetMode="External"/><Relationship Id="rId54" Type="http://schemas.openxmlformats.org/officeDocument/2006/relationships/hyperlink" Target="https://doi.org/10.1145/3630106.365899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Data" Target="diagrams/data2.xml"/><Relationship Id="rId23" Type="http://schemas.openxmlformats.org/officeDocument/2006/relationships/diagramQuickStyle" Target="diagrams/quickStyle3.xml"/><Relationship Id="rId28" Type="http://schemas.openxmlformats.org/officeDocument/2006/relationships/diagramQuickStyle" Target="diagrams/quickStyle4.xml"/><Relationship Id="rId36" Type="http://schemas.openxmlformats.org/officeDocument/2006/relationships/hyperlink" Target="https://doi.org/10.1007/978-3-319-21768-0_6" TargetMode="External"/><Relationship Id="rId49" Type="http://schemas.openxmlformats.org/officeDocument/2006/relationships/hyperlink" Target="https://doi.org/10.1145/3586054" TargetMode="External"/><Relationship Id="rId57" Type="http://schemas.openxmlformats.org/officeDocument/2006/relationships/footer" Target="footer1.xml"/><Relationship Id="rId10" Type="http://schemas.openxmlformats.org/officeDocument/2006/relationships/diagramData" Target="diagrams/data1.xml"/><Relationship Id="rId31" Type="http://schemas.openxmlformats.org/officeDocument/2006/relationships/hyperlink" Target="https://www.uspto.gov/learning-and-resources/fees-and-payment/uspto-fee-schedule" TargetMode="External"/><Relationship Id="rId44" Type="http://schemas.openxmlformats.org/officeDocument/2006/relationships/hyperlink" Target="https://doi.org/10.1145/3341714" TargetMode="External"/><Relationship Id="rId52" Type="http://schemas.openxmlformats.org/officeDocument/2006/relationships/hyperlink" Target="https://doi.org/10.1145/3351095.3372873" TargetMode="External"/></Relationships>
</file>

<file path=word/diagrams/_rels/data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svg"/><Relationship Id="rId3" Type="http://schemas.openxmlformats.org/officeDocument/2006/relationships/image" Target="../media/image4.png"/><Relationship Id="rId7" Type="http://schemas.openxmlformats.org/officeDocument/2006/relationships/image" Target="../media/image8.png"/><Relationship Id="rId12" Type="http://schemas.openxmlformats.org/officeDocument/2006/relationships/image" Target="../media/image13.svg"/><Relationship Id="rId2" Type="http://schemas.openxmlformats.org/officeDocument/2006/relationships/image" Target="../media/image3.svg"/><Relationship Id="rId1" Type="http://schemas.openxmlformats.org/officeDocument/2006/relationships/image" Target="../media/image2.png"/><Relationship Id="rId6" Type="http://schemas.openxmlformats.org/officeDocument/2006/relationships/image" Target="../media/image7.svg"/><Relationship Id="rId11" Type="http://schemas.openxmlformats.org/officeDocument/2006/relationships/image" Target="../media/image12.png"/><Relationship Id="rId5" Type="http://schemas.openxmlformats.org/officeDocument/2006/relationships/image" Target="../media/image6.png"/><Relationship Id="rId10" Type="http://schemas.openxmlformats.org/officeDocument/2006/relationships/image" Target="../media/image11.svg"/><Relationship Id="rId4" Type="http://schemas.openxmlformats.org/officeDocument/2006/relationships/image" Target="../media/image5.svg"/><Relationship Id="rId9" Type="http://schemas.openxmlformats.org/officeDocument/2006/relationships/image" Target="../media/image10.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144FEE-A982-48B9-8AFD-F4D2837BFC39}" type="doc">
      <dgm:prSet loTypeId="urn:microsoft.com/office/officeart/2005/8/layout/hList7" loCatId="list" qsTypeId="urn:microsoft.com/office/officeart/2005/8/quickstyle/simple1" qsCatId="simple" csTypeId="urn:microsoft.com/office/officeart/2005/8/colors/colorful1" csCatId="colorful" phldr="1"/>
      <dgm:spPr/>
    </dgm:pt>
    <dgm:pt modelId="{F9EEF3A2-CEE8-4EBD-8091-5365CAF2AF44}">
      <dgm:prSet phldrT="[Text]" custT="1"/>
      <dgm:spPr/>
      <dgm:t>
        <a:bodyPr/>
        <a:lstStyle/>
        <a:p>
          <a:r>
            <a:rPr lang="ro-RO" sz="1000" b="1"/>
            <a:t>VERSION</a:t>
          </a:r>
          <a:r>
            <a:rPr lang="ro-RO" sz="1000"/>
            <a:t> Declaration (optional)</a:t>
          </a:r>
        </a:p>
      </dgm:t>
    </dgm:pt>
    <dgm:pt modelId="{171AC40A-31C5-48EF-90AA-965BF4583A87}" type="parTrans" cxnId="{663D36B0-C0E7-496D-9EDB-39BA8CB610A5}">
      <dgm:prSet/>
      <dgm:spPr/>
      <dgm:t>
        <a:bodyPr/>
        <a:lstStyle/>
        <a:p>
          <a:endParaRPr lang="ro-RO"/>
        </a:p>
      </dgm:t>
    </dgm:pt>
    <dgm:pt modelId="{262067C5-4D28-4BE8-B3C2-1BFE30AE2EFD}" type="sibTrans" cxnId="{663D36B0-C0E7-496D-9EDB-39BA8CB610A5}">
      <dgm:prSet/>
      <dgm:spPr/>
      <dgm:t>
        <a:bodyPr/>
        <a:lstStyle/>
        <a:p>
          <a:endParaRPr lang="ro-RO"/>
        </a:p>
      </dgm:t>
    </dgm:pt>
    <dgm:pt modelId="{70201B1B-3B81-4EC4-99FB-FDB07502202E}">
      <dgm:prSet phldrT="[Text]" custT="1"/>
      <dgm:spPr/>
      <dgm:t>
        <a:bodyPr/>
        <a:lstStyle/>
        <a:p>
          <a:r>
            <a:rPr lang="ro-RO" sz="1000" b="1"/>
            <a:t>Group Definitions</a:t>
          </a:r>
          <a:r>
            <a:rPr lang="ro-RO" sz="1000"/>
            <a:t> (optional)</a:t>
          </a:r>
        </a:p>
      </dgm:t>
    </dgm:pt>
    <dgm:pt modelId="{646FAA48-0EEE-425A-A97D-2952E0548D7B}" type="parTrans" cxnId="{6C1C592D-7486-4D22-BC6B-5922E99E8A09}">
      <dgm:prSet/>
      <dgm:spPr/>
      <dgm:t>
        <a:bodyPr/>
        <a:lstStyle/>
        <a:p>
          <a:endParaRPr lang="ro-RO"/>
        </a:p>
      </dgm:t>
    </dgm:pt>
    <dgm:pt modelId="{4AECCFA5-EA59-46E2-90A9-81263BD1460F}" type="sibTrans" cxnId="{6C1C592D-7486-4D22-BC6B-5922E99E8A09}">
      <dgm:prSet/>
      <dgm:spPr/>
      <dgm:t>
        <a:bodyPr/>
        <a:lstStyle/>
        <a:p>
          <a:endParaRPr lang="ro-RO"/>
        </a:p>
      </dgm:t>
    </dgm:pt>
    <dgm:pt modelId="{D9458F6B-C0CD-453C-BC12-D6119A6E8981}">
      <dgm:prSet phldrT="[Text]" custT="1"/>
      <dgm:spPr/>
      <dgm:t>
        <a:bodyPr/>
        <a:lstStyle/>
        <a:p>
          <a:r>
            <a:rPr lang="ro-RO" sz="1000" b="1"/>
            <a:t>Inputs</a:t>
          </a:r>
          <a:br>
            <a:rPr lang="ro-RO" sz="1000"/>
          </a:br>
          <a:r>
            <a:rPr lang="ro-RO" sz="600"/>
            <a:t>LIST (single choice)</a:t>
          </a:r>
        </a:p>
        <a:p>
          <a:r>
            <a:rPr lang="ro-RO" sz="600"/>
            <a:t>MULTILIST (multichoice)</a:t>
          </a:r>
        </a:p>
        <a:p>
          <a:r>
            <a:rPr lang="ro-RO" sz="600"/>
            <a:t>NUMBER (constrained)</a:t>
          </a:r>
        </a:p>
        <a:p>
          <a:r>
            <a:rPr lang="ro-RO" sz="600"/>
            <a:t>BOOLEAN(yes/no)</a:t>
          </a:r>
        </a:p>
        <a:p>
          <a:r>
            <a:rPr lang="ro-RO" sz="600"/>
            <a:t>DATE (temporal)</a:t>
          </a:r>
        </a:p>
        <a:p>
          <a:r>
            <a:rPr lang="ro-RO" sz="600"/>
            <a:t>AMOUNT</a:t>
          </a:r>
        </a:p>
      </dgm:t>
    </dgm:pt>
    <dgm:pt modelId="{392827CB-FA44-4813-AAE4-ADEB82F91CE7}" type="parTrans" cxnId="{85BB4649-87D9-4032-A765-3B6AD2257616}">
      <dgm:prSet/>
      <dgm:spPr/>
      <dgm:t>
        <a:bodyPr/>
        <a:lstStyle/>
        <a:p>
          <a:endParaRPr lang="ro-RO"/>
        </a:p>
      </dgm:t>
    </dgm:pt>
    <dgm:pt modelId="{B5D64900-C5A1-4E3F-8402-E8995C3544F3}" type="sibTrans" cxnId="{85BB4649-87D9-4032-A765-3B6AD2257616}">
      <dgm:prSet/>
      <dgm:spPr/>
      <dgm:t>
        <a:bodyPr/>
        <a:lstStyle/>
        <a:p>
          <a:endParaRPr lang="ro-RO"/>
        </a:p>
      </dgm:t>
    </dgm:pt>
    <dgm:pt modelId="{CE5024DF-2A85-436B-AF41-3B2F9F0EA275}">
      <dgm:prSet phldrT="[Text]" custT="1"/>
      <dgm:spPr/>
      <dgm:t>
        <a:bodyPr/>
        <a:lstStyle/>
        <a:p>
          <a:r>
            <a:rPr lang="ro-RO" sz="1000" b="1"/>
            <a:t>Fees</a:t>
          </a:r>
        </a:p>
        <a:p>
          <a:r>
            <a:rPr lang="ro-RO" sz="600"/>
            <a:t>COMPUTE FEE name</a:t>
          </a:r>
        </a:p>
        <a:p>
          <a:r>
            <a:rPr lang="ro-RO" sz="600"/>
            <a:t>LET var AS expr</a:t>
          </a:r>
        </a:p>
        <a:p>
          <a:r>
            <a:rPr lang="ro-RO" sz="600"/>
            <a:t>CASE condition AS</a:t>
          </a:r>
        </a:p>
        <a:p>
          <a:r>
            <a:rPr lang="ro-RO" sz="600"/>
            <a:t>YIELD expr</a:t>
          </a:r>
        </a:p>
        <a:p>
          <a:r>
            <a:rPr lang="ro-RO" sz="600"/>
            <a:t>ENDCASE</a:t>
          </a:r>
        </a:p>
        <a:p>
          <a:r>
            <a:rPr lang="ro-RO" sz="600"/>
            <a:t>YEILD expr IF cond</a:t>
          </a:r>
        </a:p>
        <a:p>
          <a:r>
            <a:rPr lang="ro-RO" sz="600"/>
            <a:t>ENDCOMPUTE</a:t>
          </a:r>
        </a:p>
      </dgm:t>
    </dgm:pt>
    <dgm:pt modelId="{8AB1A3DF-E166-4B3C-98A2-D003B5B9A10B}" type="parTrans" cxnId="{B7D662D5-DF39-43EB-A44E-E27446DC5265}">
      <dgm:prSet/>
      <dgm:spPr/>
      <dgm:t>
        <a:bodyPr/>
        <a:lstStyle/>
        <a:p>
          <a:endParaRPr lang="ro-RO"/>
        </a:p>
      </dgm:t>
    </dgm:pt>
    <dgm:pt modelId="{49013041-18B0-4A6D-B210-E5715601A3FA}" type="sibTrans" cxnId="{B7D662D5-DF39-43EB-A44E-E27446DC5265}">
      <dgm:prSet/>
      <dgm:spPr/>
      <dgm:t>
        <a:bodyPr/>
        <a:lstStyle/>
        <a:p>
          <a:endParaRPr lang="ro-RO"/>
        </a:p>
      </dgm:t>
    </dgm:pt>
    <dgm:pt modelId="{94246A1D-1AA2-4C4C-8508-12F0B85BB80E}">
      <dgm:prSet phldrT="[Text]" custT="1"/>
      <dgm:spPr/>
      <dgm:t>
        <a:bodyPr/>
        <a:lstStyle/>
        <a:p>
          <a:r>
            <a:rPr lang="ro-RO" sz="1050" b="1"/>
            <a:t>Verifiy Directives </a:t>
          </a:r>
          <a:r>
            <a:rPr lang="ro-RO" sz="1050"/>
            <a:t>(optional)</a:t>
          </a:r>
        </a:p>
      </dgm:t>
    </dgm:pt>
    <dgm:pt modelId="{DC816DC0-D2E8-4A31-90B7-7ACB172C0DB7}" type="parTrans" cxnId="{E5C67976-49AC-43C1-835E-01976B0D26BB}">
      <dgm:prSet/>
      <dgm:spPr/>
      <dgm:t>
        <a:bodyPr/>
        <a:lstStyle/>
        <a:p>
          <a:endParaRPr lang="ro-RO"/>
        </a:p>
      </dgm:t>
    </dgm:pt>
    <dgm:pt modelId="{625174AA-84F5-486F-B5AB-EA26A2030862}" type="sibTrans" cxnId="{E5C67976-49AC-43C1-835E-01976B0D26BB}">
      <dgm:prSet/>
      <dgm:spPr/>
      <dgm:t>
        <a:bodyPr/>
        <a:lstStyle/>
        <a:p>
          <a:endParaRPr lang="ro-RO"/>
        </a:p>
      </dgm:t>
    </dgm:pt>
    <dgm:pt modelId="{DE11F054-ACAB-4A99-951F-7630A4DFDF4E}">
      <dgm:prSet phldrT="[Text]" custT="1"/>
      <dgm:spPr/>
      <dgm:t>
        <a:bodyPr/>
        <a:lstStyle/>
        <a:p>
          <a:r>
            <a:rPr lang="ro-RO" sz="1000" b="1"/>
            <a:t>RETURN</a:t>
          </a:r>
          <a:r>
            <a:rPr lang="ro-RO" sz="1000"/>
            <a:t> Statements (optional)</a:t>
          </a:r>
        </a:p>
      </dgm:t>
    </dgm:pt>
    <dgm:pt modelId="{ADF3C565-FA15-42A0-957E-86390CC4D4A7}" type="parTrans" cxnId="{B9EECB10-2F21-4122-BA08-FF0490F3A3A5}">
      <dgm:prSet/>
      <dgm:spPr/>
      <dgm:t>
        <a:bodyPr/>
        <a:lstStyle/>
        <a:p>
          <a:endParaRPr lang="ro-RO"/>
        </a:p>
      </dgm:t>
    </dgm:pt>
    <dgm:pt modelId="{6DA54C08-DA67-4FB0-AE2D-B809522146C5}" type="sibTrans" cxnId="{B9EECB10-2F21-4122-BA08-FF0490F3A3A5}">
      <dgm:prSet/>
      <dgm:spPr/>
      <dgm:t>
        <a:bodyPr/>
        <a:lstStyle/>
        <a:p>
          <a:endParaRPr lang="ro-RO"/>
        </a:p>
      </dgm:t>
    </dgm:pt>
    <dgm:pt modelId="{E1D4A494-35FB-4CEB-B88E-89D41F16E57B}" type="pres">
      <dgm:prSet presAssocID="{BF144FEE-A982-48B9-8AFD-F4D2837BFC39}" presName="Name0" presStyleCnt="0">
        <dgm:presLayoutVars>
          <dgm:dir/>
          <dgm:resizeHandles val="exact"/>
        </dgm:presLayoutVars>
      </dgm:prSet>
      <dgm:spPr/>
    </dgm:pt>
    <dgm:pt modelId="{F01B6E5A-AE8B-4F01-A639-9101C9B83068}" type="pres">
      <dgm:prSet presAssocID="{BF144FEE-A982-48B9-8AFD-F4D2837BFC39}" presName="fgShape" presStyleLbl="fgShp" presStyleIdx="0" presStyleCnt="1"/>
      <dgm:spPr/>
    </dgm:pt>
    <dgm:pt modelId="{2F8C0CB0-E576-40A1-A385-57BD35E39EB5}" type="pres">
      <dgm:prSet presAssocID="{BF144FEE-A982-48B9-8AFD-F4D2837BFC39}" presName="linComp" presStyleCnt="0"/>
      <dgm:spPr/>
    </dgm:pt>
    <dgm:pt modelId="{8EB7A785-D08C-46B7-9DE2-EEB77EC4E5AD}" type="pres">
      <dgm:prSet presAssocID="{F9EEF3A2-CEE8-4EBD-8091-5365CAF2AF44}" presName="compNode" presStyleCnt="0"/>
      <dgm:spPr/>
    </dgm:pt>
    <dgm:pt modelId="{64BA1B26-E71F-4FB2-A5DD-F14C7DCB7FF3}" type="pres">
      <dgm:prSet presAssocID="{F9EEF3A2-CEE8-4EBD-8091-5365CAF2AF44}" presName="bkgdShape" presStyleLbl="node1" presStyleIdx="0" presStyleCnt="6"/>
      <dgm:spPr/>
    </dgm:pt>
    <dgm:pt modelId="{A4E76E0B-7CCB-4B8C-8BC9-E702E4E0AAC4}" type="pres">
      <dgm:prSet presAssocID="{F9EEF3A2-CEE8-4EBD-8091-5365CAF2AF44}" presName="nodeTx" presStyleLbl="node1" presStyleIdx="0" presStyleCnt="6">
        <dgm:presLayoutVars>
          <dgm:bulletEnabled val="1"/>
        </dgm:presLayoutVars>
      </dgm:prSet>
      <dgm:spPr/>
    </dgm:pt>
    <dgm:pt modelId="{8DD43A03-69E1-4C1B-890A-CEDE69DC30F2}" type="pres">
      <dgm:prSet presAssocID="{F9EEF3A2-CEE8-4EBD-8091-5365CAF2AF44}" presName="invisiNode" presStyleLbl="node1" presStyleIdx="0" presStyleCnt="6"/>
      <dgm:spPr/>
    </dgm:pt>
    <dgm:pt modelId="{830D70F4-6301-41B1-BD5C-09C51FBF4443}" type="pres">
      <dgm:prSet presAssocID="{F9EEF3A2-CEE8-4EBD-8091-5365CAF2AF44}" presName="imagNode" presStyleLbl="fgImgPlace1" presStyleIdx="0" presStyleCnt="6"/>
      <dgm:spPr>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dgm:spPr>
      <dgm:extLst>
        <a:ext uri="{E40237B7-FDA0-4F09-8148-C483321AD2D9}">
          <dgm14:cNvPr xmlns:dgm14="http://schemas.microsoft.com/office/drawing/2010/diagram" id="0" name="" descr="3d Glasses outline"/>
        </a:ext>
      </dgm:extLst>
    </dgm:pt>
    <dgm:pt modelId="{9234D592-BE90-42F8-AAE5-A7A45D5C4691}" type="pres">
      <dgm:prSet presAssocID="{262067C5-4D28-4BE8-B3C2-1BFE30AE2EFD}" presName="sibTrans" presStyleLbl="sibTrans2D1" presStyleIdx="0" presStyleCnt="0"/>
      <dgm:spPr/>
    </dgm:pt>
    <dgm:pt modelId="{A28FE4FD-CB22-4E83-B551-0FEDC021F0A6}" type="pres">
      <dgm:prSet presAssocID="{70201B1B-3B81-4EC4-99FB-FDB07502202E}" presName="compNode" presStyleCnt="0"/>
      <dgm:spPr/>
    </dgm:pt>
    <dgm:pt modelId="{BF77AB94-60C8-4DBB-9454-FE1EAD168D71}" type="pres">
      <dgm:prSet presAssocID="{70201B1B-3B81-4EC4-99FB-FDB07502202E}" presName="bkgdShape" presStyleLbl="node1" presStyleIdx="1" presStyleCnt="6"/>
      <dgm:spPr/>
    </dgm:pt>
    <dgm:pt modelId="{2793704D-4C12-4A33-93A0-BD318C26F716}" type="pres">
      <dgm:prSet presAssocID="{70201B1B-3B81-4EC4-99FB-FDB07502202E}" presName="nodeTx" presStyleLbl="node1" presStyleIdx="1" presStyleCnt="6">
        <dgm:presLayoutVars>
          <dgm:bulletEnabled val="1"/>
        </dgm:presLayoutVars>
      </dgm:prSet>
      <dgm:spPr/>
    </dgm:pt>
    <dgm:pt modelId="{F2E168AC-2DF9-4BF8-BB88-E01894862C18}" type="pres">
      <dgm:prSet presAssocID="{70201B1B-3B81-4EC4-99FB-FDB07502202E}" presName="invisiNode" presStyleLbl="node1" presStyleIdx="1" presStyleCnt="6"/>
      <dgm:spPr/>
    </dgm:pt>
    <dgm:pt modelId="{2AE2D1C0-A645-4744-B068-58E346CB4B00}" type="pres">
      <dgm:prSet presAssocID="{70201B1B-3B81-4EC4-99FB-FDB07502202E}" presName="imagNode" presStyleLbl="fgImgPlace1" presStyleIdx="1" presStyleCnt="6"/>
      <dgm:spPr>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dgm:spPr>
      <dgm:extLst>
        <a:ext uri="{E40237B7-FDA0-4F09-8148-C483321AD2D9}">
          <dgm14:cNvPr xmlns:dgm14="http://schemas.microsoft.com/office/drawing/2010/diagram" id="0" name="" descr="Network outline"/>
        </a:ext>
      </dgm:extLst>
    </dgm:pt>
    <dgm:pt modelId="{05BC2A79-3617-4ED8-B585-1E647992C90A}" type="pres">
      <dgm:prSet presAssocID="{4AECCFA5-EA59-46E2-90A9-81263BD1460F}" presName="sibTrans" presStyleLbl="sibTrans2D1" presStyleIdx="0" presStyleCnt="0"/>
      <dgm:spPr/>
    </dgm:pt>
    <dgm:pt modelId="{D86AF7B7-0A08-4B77-9B2B-5C4C5E7C8025}" type="pres">
      <dgm:prSet presAssocID="{D9458F6B-C0CD-453C-BC12-D6119A6E8981}" presName="compNode" presStyleCnt="0"/>
      <dgm:spPr/>
    </dgm:pt>
    <dgm:pt modelId="{BBC4A98B-6472-4E69-895E-7C230EA9161C}" type="pres">
      <dgm:prSet presAssocID="{D9458F6B-C0CD-453C-BC12-D6119A6E8981}" presName="bkgdShape" presStyleLbl="node1" presStyleIdx="2" presStyleCnt="6"/>
      <dgm:spPr/>
    </dgm:pt>
    <dgm:pt modelId="{DC1F7517-C3E8-423A-B61D-DF65736C3008}" type="pres">
      <dgm:prSet presAssocID="{D9458F6B-C0CD-453C-BC12-D6119A6E8981}" presName="nodeTx" presStyleLbl="node1" presStyleIdx="2" presStyleCnt="6">
        <dgm:presLayoutVars>
          <dgm:bulletEnabled val="1"/>
        </dgm:presLayoutVars>
      </dgm:prSet>
      <dgm:spPr/>
    </dgm:pt>
    <dgm:pt modelId="{6057A642-7A02-4D0B-A808-573CBE187405}" type="pres">
      <dgm:prSet presAssocID="{D9458F6B-C0CD-453C-BC12-D6119A6E8981}" presName="invisiNode" presStyleLbl="node1" presStyleIdx="2" presStyleCnt="6"/>
      <dgm:spPr/>
    </dgm:pt>
    <dgm:pt modelId="{0A80C0DD-4903-4031-9754-FAA63F9E4F0C}" type="pres">
      <dgm:prSet presAssocID="{D9458F6B-C0CD-453C-BC12-D6119A6E8981}" presName="imagNode" presStyleLbl="fgImgPlace1" presStyleIdx="2" presStyleCnt="6"/>
      <dgm:spPr>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dgm:spPr>
      <dgm:extLst>
        <a:ext uri="{E40237B7-FDA0-4F09-8148-C483321AD2D9}">
          <dgm14:cNvPr xmlns:dgm14="http://schemas.microsoft.com/office/drawing/2010/diagram" id="0" name="" descr="Keyboard outline"/>
        </a:ext>
      </dgm:extLst>
    </dgm:pt>
    <dgm:pt modelId="{BDF95605-AC7E-4032-A728-BA4E633566E9}" type="pres">
      <dgm:prSet presAssocID="{B5D64900-C5A1-4E3F-8402-E8995C3544F3}" presName="sibTrans" presStyleLbl="sibTrans2D1" presStyleIdx="0" presStyleCnt="0"/>
      <dgm:spPr/>
    </dgm:pt>
    <dgm:pt modelId="{0545A41A-429F-48F4-802F-4D40CF32B19D}" type="pres">
      <dgm:prSet presAssocID="{CE5024DF-2A85-436B-AF41-3B2F9F0EA275}" presName="compNode" presStyleCnt="0"/>
      <dgm:spPr/>
    </dgm:pt>
    <dgm:pt modelId="{ADD93F6F-E885-4CFA-870E-95F6AFB929C9}" type="pres">
      <dgm:prSet presAssocID="{CE5024DF-2A85-436B-AF41-3B2F9F0EA275}" presName="bkgdShape" presStyleLbl="node1" presStyleIdx="3" presStyleCnt="6"/>
      <dgm:spPr/>
    </dgm:pt>
    <dgm:pt modelId="{15BFB79C-7EB2-4E25-AE01-2BD20B0604DE}" type="pres">
      <dgm:prSet presAssocID="{CE5024DF-2A85-436B-AF41-3B2F9F0EA275}" presName="nodeTx" presStyleLbl="node1" presStyleIdx="3" presStyleCnt="6">
        <dgm:presLayoutVars>
          <dgm:bulletEnabled val="1"/>
        </dgm:presLayoutVars>
      </dgm:prSet>
      <dgm:spPr/>
    </dgm:pt>
    <dgm:pt modelId="{DB91857C-EFBC-4EBA-8445-9C70D8910A75}" type="pres">
      <dgm:prSet presAssocID="{CE5024DF-2A85-436B-AF41-3B2F9F0EA275}" presName="invisiNode" presStyleLbl="node1" presStyleIdx="3" presStyleCnt="6"/>
      <dgm:spPr/>
    </dgm:pt>
    <dgm:pt modelId="{2F51B1E1-C32E-4FE4-B283-0A0B1D0AF218}" type="pres">
      <dgm:prSet presAssocID="{CE5024DF-2A85-436B-AF41-3B2F9F0EA275}" presName="imagNode" presStyleLbl="fgImgPlace1" presStyleIdx="3" presStyleCnt="6"/>
      <dgm:spPr>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dgm:spPr>
      <dgm:extLst>
        <a:ext uri="{E40237B7-FDA0-4F09-8148-C483321AD2D9}">
          <dgm14:cNvPr xmlns:dgm14="http://schemas.microsoft.com/office/drawing/2010/diagram" id="0" name="" descr="Money with solid fill"/>
        </a:ext>
      </dgm:extLst>
    </dgm:pt>
    <dgm:pt modelId="{754E7DDF-673A-4797-99A4-51D1F1D8F32A}" type="pres">
      <dgm:prSet presAssocID="{49013041-18B0-4A6D-B210-E5715601A3FA}" presName="sibTrans" presStyleLbl="sibTrans2D1" presStyleIdx="0" presStyleCnt="0"/>
      <dgm:spPr/>
    </dgm:pt>
    <dgm:pt modelId="{4F03C78B-BA9C-4A10-AC6C-1363CE0F4B6C}" type="pres">
      <dgm:prSet presAssocID="{94246A1D-1AA2-4C4C-8508-12F0B85BB80E}" presName="compNode" presStyleCnt="0"/>
      <dgm:spPr/>
    </dgm:pt>
    <dgm:pt modelId="{53E5778A-4E3C-4AF3-B93E-A694DBEE44D0}" type="pres">
      <dgm:prSet presAssocID="{94246A1D-1AA2-4C4C-8508-12F0B85BB80E}" presName="bkgdShape" presStyleLbl="node1" presStyleIdx="4" presStyleCnt="6"/>
      <dgm:spPr/>
    </dgm:pt>
    <dgm:pt modelId="{5D7E001A-A12B-4679-8D7F-210F43D97A21}" type="pres">
      <dgm:prSet presAssocID="{94246A1D-1AA2-4C4C-8508-12F0B85BB80E}" presName="nodeTx" presStyleLbl="node1" presStyleIdx="4" presStyleCnt="6">
        <dgm:presLayoutVars>
          <dgm:bulletEnabled val="1"/>
        </dgm:presLayoutVars>
      </dgm:prSet>
      <dgm:spPr/>
    </dgm:pt>
    <dgm:pt modelId="{E4CD8DA4-5FCB-4D21-9CBB-108A2CF3A35C}" type="pres">
      <dgm:prSet presAssocID="{94246A1D-1AA2-4C4C-8508-12F0B85BB80E}" presName="invisiNode" presStyleLbl="node1" presStyleIdx="4" presStyleCnt="6"/>
      <dgm:spPr/>
    </dgm:pt>
    <dgm:pt modelId="{4DC2A4AB-D33E-4F6F-9A33-24F11B8C60DC}" type="pres">
      <dgm:prSet presAssocID="{94246A1D-1AA2-4C4C-8508-12F0B85BB80E}" presName="imagNode" presStyleLbl="fgImgPlace1" presStyleIdx="4" presStyleCnt="6"/>
      <dgm:spPr>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dgm:spPr>
      <dgm:extLst>
        <a:ext uri="{E40237B7-FDA0-4F09-8148-C483321AD2D9}">
          <dgm14:cNvPr xmlns:dgm14="http://schemas.microsoft.com/office/drawing/2010/diagram" id="0" name="" descr="Clipboard Partially Checked outline"/>
        </a:ext>
      </dgm:extLst>
    </dgm:pt>
    <dgm:pt modelId="{2532BDD8-B766-4B97-8AD3-7A23AE7826A5}" type="pres">
      <dgm:prSet presAssocID="{625174AA-84F5-486F-B5AB-EA26A2030862}" presName="sibTrans" presStyleLbl="sibTrans2D1" presStyleIdx="0" presStyleCnt="0"/>
      <dgm:spPr/>
    </dgm:pt>
    <dgm:pt modelId="{9CCD881C-3D4A-4855-A567-F6911320CB86}" type="pres">
      <dgm:prSet presAssocID="{DE11F054-ACAB-4A99-951F-7630A4DFDF4E}" presName="compNode" presStyleCnt="0"/>
      <dgm:spPr/>
    </dgm:pt>
    <dgm:pt modelId="{AA8960FB-908E-47B3-82BA-AFBDEE077E8E}" type="pres">
      <dgm:prSet presAssocID="{DE11F054-ACAB-4A99-951F-7630A4DFDF4E}" presName="bkgdShape" presStyleLbl="node1" presStyleIdx="5" presStyleCnt="6"/>
      <dgm:spPr/>
    </dgm:pt>
    <dgm:pt modelId="{26D7E1CD-4C89-4D78-9584-017FAD49C5D1}" type="pres">
      <dgm:prSet presAssocID="{DE11F054-ACAB-4A99-951F-7630A4DFDF4E}" presName="nodeTx" presStyleLbl="node1" presStyleIdx="5" presStyleCnt="6">
        <dgm:presLayoutVars>
          <dgm:bulletEnabled val="1"/>
        </dgm:presLayoutVars>
      </dgm:prSet>
      <dgm:spPr/>
    </dgm:pt>
    <dgm:pt modelId="{5E903F61-D710-42FB-801D-8F0DE8038CD2}" type="pres">
      <dgm:prSet presAssocID="{DE11F054-ACAB-4A99-951F-7630A4DFDF4E}" presName="invisiNode" presStyleLbl="node1" presStyleIdx="5" presStyleCnt="6"/>
      <dgm:spPr/>
    </dgm:pt>
    <dgm:pt modelId="{813D5726-4186-4F1F-B0A9-156B60A6C2D8}" type="pres">
      <dgm:prSet presAssocID="{DE11F054-ACAB-4A99-951F-7630A4DFDF4E}" presName="imagNode" presStyleLbl="fgImgPlace1" presStyleIdx="5" presStyleCnt="6"/>
      <dgm:spPr>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dgm:spPr>
      <dgm:extLst>
        <a:ext uri="{E40237B7-FDA0-4F09-8148-C483321AD2D9}">
          <dgm14:cNvPr xmlns:dgm14="http://schemas.microsoft.com/office/drawing/2010/diagram" id="0" name="" descr="Venn diagram outline"/>
        </a:ext>
      </dgm:extLst>
    </dgm:pt>
  </dgm:ptLst>
  <dgm:cxnLst>
    <dgm:cxn modelId="{B9EECB10-2F21-4122-BA08-FF0490F3A3A5}" srcId="{BF144FEE-A982-48B9-8AFD-F4D2837BFC39}" destId="{DE11F054-ACAB-4A99-951F-7630A4DFDF4E}" srcOrd="5" destOrd="0" parTransId="{ADF3C565-FA15-42A0-957E-86390CC4D4A7}" sibTransId="{6DA54C08-DA67-4FB0-AE2D-B809522146C5}"/>
    <dgm:cxn modelId="{AA14E810-76B1-4632-BA13-F540001F5F10}" type="presOf" srcId="{70201B1B-3B81-4EC4-99FB-FDB07502202E}" destId="{BF77AB94-60C8-4DBB-9454-FE1EAD168D71}" srcOrd="0" destOrd="0" presId="urn:microsoft.com/office/officeart/2005/8/layout/hList7"/>
    <dgm:cxn modelId="{6C1C592D-7486-4D22-BC6B-5922E99E8A09}" srcId="{BF144FEE-A982-48B9-8AFD-F4D2837BFC39}" destId="{70201B1B-3B81-4EC4-99FB-FDB07502202E}" srcOrd="1" destOrd="0" parTransId="{646FAA48-0EEE-425A-A97D-2952E0548D7B}" sibTransId="{4AECCFA5-EA59-46E2-90A9-81263BD1460F}"/>
    <dgm:cxn modelId="{F77D233F-B2E4-46D4-B460-F613FCCA70F4}" type="presOf" srcId="{94246A1D-1AA2-4C4C-8508-12F0B85BB80E}" destId="{5D7E001A-A12B-4679-8D7F-210F43D97A21}" srcOrd="1" destOrd="0" presId="urn:microsoft.com/office/officeart/2005/8/layout/hList7"/>
    <dgm:cxn modelId="{10FB0640-9617-41A9-86A8-085F4A780814}" type="presOf" srcId="{F9EEF3A2-CEE8-4EBD-8091-5365CAF2AF44}" destId="{64BA1B26-E71F-4FB2-A5DD-F14C7DCB7FF3}" srcOrd="0" destOrd="0" presId="urn:microsoft.com/office/officeart/2005/8/layout/hList7"/>
    <dgm:cxn modelId="{85BB4649-87D9-4032-A765-3B6AD2257616}" srcId="{BF144FEE-A982-48B9-8AFD-F4D2837BFC39}" destId="{D9458F6B-C0CD-453C-BC12-D6119A6E8981}" srcOrd="2" destOrd="0" parTransId="{392827CB-FA44-4813-AAE4-ADEB82F91CE7}" sibTransId="{B5D64900-C5A1-4E3F-8402-E8995C3544F3}"/>
    <dgm:cxn modelId="{898A8E72-8E78-4642-8365-E2818CABCE8D}" type="presOf" srcId="{BF144FEE-A982-48B9-8AFD-F4D2837BFC39}" destId="{E1D4A494-35FB-4CEB-B88E-89D41F16E57B}" srcOrd="0" destOrd="0" presId="urn:microsoft.com/office/officeart/2005/8/layout/hList7"/>
    <dgm:cxn modelId="{69DC0E75-64F2-43C2-9C24-4E36C5FD010C}" type="presOf" srcId="{70201B1B-3B81-4EC4-99FB-FDB07502202E}" destId="{2793704D-4C12-4A33-93A0-BD318C26F716}" srcOrd="1" destOrd="0" presId="urn:microsoft.com/office/officeart/2005/8/layout/hList7"/>
    <dgm:cxn modelId="{E5C67976-49AC-43C1-835E-01976B0D26BB}" srcId="{BF144FEE-A982-48B9-8AFD-F4D2837BFC39}" destId="{94246A1D-1AA2-4C4C-8508-12F0B85BB80E}" srcOrd="4" destOrd="0" parTransId="{DC816DC0-D2E8-4A31-90B7-7ACB172C0DB7}" sibTransId="{625174AA-84F5-486F-B5AB-EA26A2030862}"/>
    <dgm:cxn modelId="{11C74E7C-2916-4DB8-9E18-BEEE0842644C}" type="presOf" srcId="{DE11F054-ACAB-4A99-951F-7630A4DFDF4E}" destId="{AA8960FB-908E-47B3-82BA-AFBDEE077E8E}" srcOrd="0" destOrd="0" presId="urn:microsoft.com/office/officeart/2005/8/layout/hList7"/>
    <dgm:cxn modelId="{0999B097-B387-46B4-AEBD-49DCA48A0F71}" type="presOf" srcId="{F9EEF3A2-CEE8-4EBD-8091-5365CAF2AF44}" destId="{A4E76E0B-7CCB-4B8C-8BC9-E702E4E0AAC4}" srcOrd="1" destOrd="0" presId="urn:microsoft.com/office/officeart/2005/8/layout/hList7"/>
    <dgm:cxn modelId="{E9645E98-6EF7-43DF-A595-DC2A8E53F2F7}" type="presOf" srcId="{CE5024DF-2A85-436B-AF41-3B2F9F0EA275}" destId="{15BFB79C-7EB2-4E25-AE01-2BD20B0604DE}" srcOrd="1" destOrd="0" presId="urn:microsoft.com/office/officeart/2005/8/layout/hList7"/>
    <dgm:cxn modelId="{663D36B0-C0E7-496D-9EDB-39BA8CB610A5}" srcId="{BF144FEE-A982-48B9-8AFD-F4D2837BFC39}" destId="{F9EEF3A2-CEE8-4EBD-8091-5365CAF2AF44}" srcOrd="0" destOrd="0" parTransId="{171AC40A-31C5-48EF-90AA-965BF4583A87}" sibTransId="{262067C5-4D28-4BE8-B3C2-1BFE30AE2EFD}"/>
    <dgm:cxn modelId="{67728FB3-72FD-4057-99E2-8716D55A7FF9}" type="presOf" srcId="{CE5024DF-2A85-436B-AF41-3B2F9F0EA275}" destId="{ADD93F6F-E885-4CFA-870E-95F6AFB929C9}" srcOrd="0" destOrd="0" presId="urn:microsoft.com/office/officeart/2005/8/layout/hList7"/>
    <dgm:cxn modelId="{18BA21C3-1467-4F12-80B8-D5FB5E7685D1}" type="presOf" srcId="{D9458F6B-C0CD-453C-BC12-D6119A6E8981}" destId="{DC1F7517-C3E8-423A-B61D-DF65736C3008}" srcOrd="1" destOrd="0" presId="urn:microsoft.com/office/officeart/2005/8/layout/hList7"/>
    <dgm:cxn modelId="{F40D03C8-2D84-4A68-ABAE-951F4712231A}" type="presOf" srcId="{94246A1D-1AA2-4C4C-8508-12F0B85BB80E}" destId="{53E5778A-4E3C-4AF3-B93E-A694DBEE44D0}" srcOrd="0" destOrd="0" presId="urn:microsoft.com/office/officeart/2005/8/layout/hList7"/>
    <dgm:cxn modelId="{830E2DD0-A3BE-42AE-AFCB-C9FC18A08231}" type="presOf" srcId="{49013041-18B0-4A6D-B210-E5715601A3FA}" destId="{754E7DDF-673A-4797-99A4-51D1F1D8F32A}" srcOrd="0" destOrd="0" presId="urn:microsoft.com/office/officeart/2005/8/layout/hList7"/>
    <dgm:cxn modelId="{95FF61D5-6B70-40F7-A341-D0383ACE6AA8}" type="presOf" srcId="{262067C5-4D28-4BE8-B3C2-1BFE30AE2EFD}" destId="{9234D592-BE90-42F8-AAE5-A7A45D5C4691}" srcOrd="0" destOrd="0" presId="urn:microsoft.com/office/officeart/2005/8/layout/hList7"/>
    <dgm:cxn modelId="{B7D662D5-DF39-43EB-A44E-E27446DC5265}" srcId="{BF144FEE-A982-48B9-8AFD-F4D2837BFC39}" destId="{CE5024DF-2A85-436B-AF41-3B2F9F0EA275}" srcOrd="3" destOrd="0" parTransId="{8AB1A3DF-E166-4B3C-98A2-D003B5B9A10B}" sibTransId="{49013041-18B0-4A6D-B210-E5715601A3FA}"/>
    <dgm:cxn modelId="{77DD8CD5-573C-46DE-8C2B-96B80C2743E3}" type="presOf" srcId="{DE11F054-ACAB-4A99-951F-7630A4DFDF4E}" destId="{26D7E1CD-4C89-4D78-9584-017FAD49C5D1}" srcOrd="1" destOrd="0" presId="urn:microsoft.com/office/officeart/2005/8/layout/hList7"/>
    <dgm:cxn modelId="{7F07FEDE-28C3-4D64-9183-09AB00BFE718}" type="presOf" srcId="{B5D64900-C5A1-4E3F-8402-E8995C3544F3}" destId="{BDF95605-AC7E-4032-A728-BA4E633566E9}" srcOrd="0" destOrd="0" presId="urn:microsoft.com/office/officeart/2005/8/layout/hList7"/>
    <dgm:cxn modelId="{C9BFDCE7-7E91-4468-8DE2-E4A2616481C3}" type="presOf" srcId="{D9458F6B-C0CD-453C-BC12-D6119A6E8981}" destId="{BBC4A98B-6472-4E69-895E-7C230EA9161C}" srcOrd="0" destOrd="0" presId="urn:microsoft.com/office/officeart/2005/8/layout/hList7"/>
    <dgm:cxn modelId="{2F5D83EA-5442-4DE1-9904-88974EA5CA8C}" type="presOf" srcId="{4AECCFA5-EA59-46E2-90A9-81263BD1460F}" destId="{05BC2A79-3617-4ED8-B585-1E647992C90A}" srcOrd="0" destOrd="0" presId="urn:microsoft.com/office/officeart/2005/8/layout/hList7"/>
    <dgm:cxn modelId="{66C9F5EC-B081-4E9F-B0FD-356C227E92C2}" type="presOf" srcId="{625174AA-84F5-486F-B5AB-EA26A2030862}" destId="{2532BDD8-B766-4B97-8AD3-7A23AE7826A5}" srcOrd="0" destOrd="0" presId="urn:microsoft.com/office/officeart/2005/8/layout/hList7"/>
    <dgm:cxn modelId="{FCE423D5-0FF5-497B-9634-AB9CAD0E4D75}" type="presParOf" srcId="{E1D4A494-35FB-4CEB-B88E-89D41F16E57B}" destId="{F01B6E5A-AE8B-4F01-A639-9101C9B83068}" srcOrd="0" destOrd="0" presId="urn:microsoft.com/office/officeart/2005/8/layout/hList7"/>
    <dgm:cxn modelId="{B8C967A7-8554-4352-960F-3B88BA114EFE}" type="presParOf" srcId="{E1D4A494-35FB-4CEB-B88E-89D41F16E57B}" destId="{2F8C0CB0-E576-40A1-A385-57BD35E39EB5}" srcOrd="1" destOrd="0" presId="urn:microsoft.com/office/officeart/2005/8/layout/hList7"/>
    <dgm:cxn modelId="{40323964-F421-4E6C-8B9A-0D32726F4A92}" type="presParOf" srcId="{2F8C0CB0-E576-40A1-A385-57BD35E39EB5}" destId="{8EB7A785-D08C-46B7-9DE2-EEB77EC4E5AD}" srcOrd="0" destOrd="0" presId="urn:microsoft.com/office/officeart/2005/8/layout/hList7"/>
    <dgm:cxn modelId="{61158B2B-B495-4C08-BB58-030F1CB22506}" type="presParOf" srcId="{8EB7A785-D08C-46B7-9DE2-EEB77EC4E5AD}" destId="{64BA1B26-E71F-4FB2-A5DD-F14C7DCB7FF3}" srcOrd="0" destOrd="0" presId="urn:microsoft.com/office/officeart/2005/8/layout/hList7"/>
    <dgm:cxn modelId="{7671D861-82D2-4D29-BD5D-0D6E9D0DBE56}" type="presParOf" srcId="{8EB7A785-D08C-46B7-9DE2-EEB77EC4E5AD}" destId="{A4E76E0B-7CCB-4B8C-8BC9-E702E4E0AAC4}" srcOrd="1" destOrd="0" presId="urn:microsoft.com/office/officeart/2005/8/layout/hList7"/>
    <dgm:cxn modelId="{43E33C39-B60C-4B80-8D3F-B530DB1CC293}" type="presParOf" srcId="{8EB7A785-D08C-46B7-9DE2-EEB77EC4E5AD}" destId="{8DD43A03-69E1-4C1B-890A-CEDE69DC30F2}" srcOrd="2" destOrd="0" presId="urn:microsoft.com/office/officeart/2005/8/layout/hList7"/>
    <dgm:cxn modelId="{92DAD4DA-57E8-4085-A798-D5F080E20A2C}" type="presParOf" srcId="{8EB7A785-D08C-46B7-9DE2-EEB77EC4E5AD}" destId="{830D70F4-6301-41B1-BD5C-09C51FBF4443}" srcOrd="3" destOrd="0" presId="urn:microsoft.com/office/officeart/2005/8/layout/hList7"/>
    <dgm:cxn modelId="{DCBBD29F-F304-46A7-B371-B7F1EA1994A5}" type="presParOf" srcId="{2F8C0CB0-E576-40A1-A385-57BD35E39EB5}" destId="{9234D592-BE90-42F8-AAE5-A7A45D5C4691}" srcOrd="1" destOrd="0" presId="urn:microsoft.com/office/officeart/2005/8/layout/hList7"/>
    <dgm:cxn modelId="{D6D15120-D78D-470D-B1F8-2718120CFC14}" type="presParOf" srcId="{2F8C0CB0-E576-40A1-A385-57BD35E39EB5}" destId="{A28FE4FD-CB22-4E83-B551-0FEDC021F0A6}" srcOrd="2" destOrd="0" presId="urn:microsoft.com/office/officeart/2005/8/layout/hList7"/>
    <dgm:cxn modelId="{3800313F-0073-49B7-9FFB-BBD84674383C}" type="presParOf" srcId="{A28FE4FD-CB22-4E83-B551-0FEDC021F0A6}" destId="{BF77AB94-60C8-4DBB-9454-FE1EAD168D71}" srcOrd="0" destOrd="0" presId="urn:microsoft.com/office/officeart/2005/8/layout/hList7"/>
    <dgm:cxn modelId="{053A4BA7-8988-4EEF-89EE-FB3BB0CBF24D}" type="presParOf" srcId="{A28FE4FD-CB22-4E83-B551-0FEDC021F0A6}" destId="{2793704D-4C12-4A33-93A0-BD318C26F716}" srcOrd="1" destOrd="0" presId="urn:microsoft.com/office/officeart/2005/8/layout/hList7"/>
    <dgm:cxn modelId="{1002DE16-EB67-434E-9895-5AD41F0DCC65}" type="presParOf" srcId="{A28FE4FD-CB22-4E83-B551-0FEDC021F0A6}" destId="{F2E168AC-2DF9-4BF8-BB88-E01894862C18}" srcOrd="2" destOrd="0" presId="urn:microsoft.com/office/officeart/2005/8/layout/hList7"/>
    <dgm:cxn modelId="{5C4DD30B-48F6-4259-9DAF-E31E78149CDA}" type="presParOf" srcId="{A28FE4FD-CB22-4E83-B551-0FEDC021F0A6}" destId="{2AE2D1C0-A645-4744-B068-58E346CB4B00}" srcOrd="3" destOrd="0" presId="urn:microsoft.com/office/officeart/2005/8/layout/hList7"/>
    <dgm:cxn modelId="{C7703442-4C38-4E20-AF3C-83A1A0BED00C}" type="presParOf" srcId="{2F8C0CB0-E576-40A1-A385-57BD35E39EB5}" destId="{05BC2A79-3617-4ED8-B585-1E647992C90A}" srcOrd="3" destOrd="0" presId="urn:microsoft.com/office/officeart/2005/8/layout/hList7"/>
    <dgm:cxn modelId="{315FB959-28BF-4FDB-977C-A70AD281F4DB}" type="presParOf" srcId="{2F8C0CB0-E576-40A1-A385-57BD35E39EB5}" destId="{D86AF7B7-0A08-4B77-9B2B-5C4C5E7C8025}" srcOrd="4" destOrd="0" presId="urn:microsoft.com/office/officeart/2005/8/layout/hList7"/>
    <dgm:cxn modelId="{5935EC6F-89DA-43AE-8792-8F0F816615DA}" type="presParOf" srcId="{D86AF7B7-0A08-4B77-9B2B-5C4C5E7C8025}" destId="{BBC4A98B-6472-4E69-895E-7C230EA9161C}" srcOrd="0" destOrd="0" presId="urn:microsoft.com/office/officeart/2005/8/layout/hList7"/>
    <dgm:cxn modelId="{7D063835-E5E7-4489-9D2C-BD08F5C16C5B}" type="presParOf" srcId="{D86AF7B7-0A08-4B77-9B2B-5C4C5E7C8025}" destId="{DC1F7517-C3E8-423A-B61D-DF65736C3008}" srcOrd="1" destOrd="0" presId="urn:microsoft.com/office/officeart/2005/8/layout/hList7"/>
    <dgm:cxn modelId="{565A60E9-7ADC-467A-A98B-776CF5CA416B}" type="presParOf" srcId="{D86AF7B7-0A08-4B77-9B2B-5C4C5E7C8025}" destId="{6057A642-7A02-4D0B-A808-573CBE187405}" srcOrd="2" destOrd="0" presId="urn:microsoft.com/office/officeart/2005/8/layout/hList7"/>
    <dgm:cxn modelId="{E625942B-00BB-462B-A8DF-F17ACC4FC444}" type="presParOf" srcId="{D86AF7B7-0A08-4B77-9B2B-5C4C5E7C8025}" destId="{0A80C0DD-4903-4031-9754-FAA63F9E4F0C}" srcOrd="3" destOrd="0" presId="urn:microsoft.com/office/officeart/2005/8/layout/hList7"/>
    <dgm:cxn modelId="{B7C4116E-EFA7-4815-A66A-D862F8864F7A}" type="presParOf" srcId="{2F8C0CB0-E576-40A1-A385-57BD35E39EB5}" destId="{BDF95605-AC7E-4032-A728-BA4E633566E9}" srcOrd="5" destOrd="0" presId="urn:microsoft.com/office/officeart/2005/8/layout/hList7"/>
    <dgm:cxn modelId="{A3BD2F0E-DA57-40DD-BDB3-3DCC1E722E8D}" type="presParOf" srcId="{2F8C0CB0-E576-40A1-A385-57BD35E39EB5}" destId="{0545A41A-429F-48F4-802F-4D40CF32B19D}" srcOrd="6" destOrd="0" presId="urn:microsoft.com/office/officeart/2005/8/layout/hList7"/>
    <dgm:cxn modelId="{8923E1E9-C936-4D65-9EA9-D3859EF3A017}" type="presParOf" srcId="{0545A41A-429F-48F4-802F-4D40CF32B19D}" destId="{ADD93F6F-E885-4CFA-870E-95F6AFB929C9}" srcOrd="0" destOrd="0" presId="urn:microsoft.com/office/officeart/2005/8/layout/hList7"/>
    <dgm:cxn modelId="{4FB9DCBE-7924-456D-A147-A31F0AD2F7B8}" type="presParOf" srcId="{0545A41A-429F-48F4-802F-4D40CF32B19D}" destId="{15BFB79C-7EB2-4E25-AE01-2BD20B0604DE}" srcOrd="1" destOrd="0" presId="urn:microsoft.com/office/officeart/2005/8/layout/hList7"/>
    <dgm:cxn modelId="{201E11A4-80EF-474B-B909-9CAB6D9302DF}" type="presParOf" srcId="{0545A41A-429F-48F4-802F-4D40CF32B19D}" destId="{DB91857C-EFBC-4EBA-8445-9C70D8910A75}" srcOrd="2" destOrd="0" presId="urn:microsoft.com/office/officeart/2005/8/layout/hList7"/>
    <dgm:cxn modelId="{723CDCA6-514F-4EDB-88E4-E892B3D38C71}" type="presParOf" srcId="{0545A41A-429F-48F4-802F-4D40CF32B19D}" destId="{2F51B1E1-C32E-4FE4-B283-0A0B1D0AF218}" srcOrd="3" destOrd="0" presId="urn:microsoft.com/office/officeart/2005/8/layout/hList7"/>
    <dgm:cxn modelId="{02B0F639-6B70-4B05-91FA-26A9E432E3C2}" type="presParOf" srcId="{2F8C0CB0-E576-40A1-A385-57BD35E39EB5}" destId="{754E7DDF-673A-4797-99A4-51D1F1D8F32A}" srcOrd="7" destOrd="0" presId="urn:microsoft.com/office/officeart/2005/8/layout/hList7"/>
    <dgm:cxn modelId="{308E61CB-4B92-45AB-963F-709455B42B0C}" type="presParOf" srcId="{2F8C0CB0-E576-40A1-A385-57BD35E39EB5}" destId="{4F03C78B-BA9C-4A10-AC6C-1363CE0F4B6C}" srcOrd="8" destOrd="0" presId="urn:microsoft.com/office/officeart/2005/8/layout/hList7"/>
    <dgm:cxn modelId="{87F3F5AC-10EC-4A5F-A383-FDE036CFC946}" type="presParOf" srcId="{4F03C78B-BA9C-4A10-AC6C-1363CE0F4B6C}" destId="{53E5778A-4E3C-4AF3-B93E-A694DBEE44D0}" srcOrd="0" destOrd="0" presId="urn:microsoft.com/office/officeart/2005/8/layout/hList7"/>
    <dgm:cxn modelId="{6C8D1C6B-FA00-4825-ACB2-991160581259}" type="presParOf" srcId="{4F03C78B-BA9C-4A10-AC6C-1363CE0F4B6C}" destId="{5D7E001A-A12B-4679-8D7F-210F43D97A21}" srcOrd="1" destOrd="0" presId="urn:microsoft.com/office/officeart/2005/8/layout/hList7"/>
    <dgm:cxn modelId="{80D07C44-5D33-4E14-AC31-4E77625E5044}" type="presParOf" srcId="{4F03C78B-BA9C-4A10-AC6C-1363CE0F4B6C}" destId="{E4CD8DA4-5FCB-4D21-9CBB-108A2CF3A35C}" srcOrd="2" destOrd="0" presId="urn:microsoft.com/office/officeart/2005/8/layout/hList7"/>
    <dgm:cxn modelId="{646F408D-AF7D-48EC-B194-8BCC15812A11}" type="presParOf" srcId="{4F03C78B-BA9C-4A10-AC6C-1363CE0F4B6C}" destId="{4DC2A4AB-D33E-4F6F-9A33-24F11B8C60DC}" srcOrd="3" destOrd="0" presId="urn:microsoft.com/office/officeart/2005/8/layout/hList7"/>
    <dgm:cxn modelId="{D679209F-6C29-4F22-8CB0-58CA6E5816D7}" type="presParOf" srcId="{2F8C0CB0-E576-40A1-A385-57BD35E39EB5}" destId="{2532BDD8-B766-4B97-8AD3-7A23AE7826A5}" srcOrd="9" destOrd="0" presId="urn:microsoft.com/office/officeart/2005/8/layout/hList7"/>
    <dgm:cxn modelId="{1611AE77-E34D-4AB0-AFC3-B406ADDA38D7}" type="presParOf" srcId="{2F8C0CB0-E576-40A1-A385-57BD35E39EB5}" destId="{9CCD881C-3D4A-4855-A567-F6911320CB86}" srcOrd="10" destOrd="0" presId="urn:microsoft.com/office/officeart/2005/8/layout/hList7"/>
    <dgm:cxn modelId="{9396B844-06CA-4654-9C65-FA52FBEBF441}" type="presParOf" srcId="{9CCD881C-3D4A-4855-A567-F6911320CB86}" destId="{AA8960FB-908E-47B3-82BA-AFBDEE077E8E}" srcOrd="0" destOrd="0" presId="urn:microsoft.com/office/officeart/2005/8/layout/hList7"/>
    <dgm:cxn modelId="{75CBD881-4AEE-4EEA-89EF-9B7FD51BADC1}" type="presParOf" srcId="{9CCD881C-3D4A-4855-A567-F6911320CB86}" destId="{26D7E1CD-4C89-4D78-9584-017FAD49C5D1}" srcOrd="1" destOrd="0" presId="urn:microsoft.com/office/officeart/2005/8/layout/hList7"/>
    <dgm:cxn modelId="{BC9EE074-3F22-45E6-9BD5-FAF423E55BEE}" type="presParOf" srcId="{9CCD881C-3D4A-4855-A567-F6911320CB86}" destId="{5E903F61-D710-42FB-801D-8F0DE8038CD2}" srcOrd="2" destOrd="0" presId="urn:microsoft.com/office/officeart/2005/8/layout/hList7"/>
    <dgm:cxn modelId="{51093DBD-8AE6-4D50-8B68-E5EEFD0413E7}" type="presParOf" srcId="{9CCD881C-3D4A-4855-A567-F6911320CB86}" destId="{813D5726-4186-4F1F-B0A9-156B60A6C2D8}" srcOrd="3" destOrd="0" presId="urn:microsoft.com/office/officeart/2005/8/layout/hList7"/>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τ</a:t>
          </a:r>
          <a:r>
            <a:rPr lang="ro-RO"/>
            <a:t> (Type)</a:t>
          </a:r>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ro-RO"/>
            <a:t>Num</a:t>
          </a:r>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ro-RO"/>
            <a:t>Bool</a:t>
          </a:r>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ro-RO"/>
            <a:t>Sym</a:t>
          </a:r>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ro-RO"/>
            <a:t>Date</a:t>
          </a:r>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E4828077-848B-4BF3-B4F7-4E92A9B0D4BE}">
      <dgm:prSet phldrT="[Text]"/>
      <dgm:spPr/>
      <dgm:t>
        <a:bodyPr/>
        <a:lstStyle/>
        <a:p>
          <a:r>
            <a:rPr lang="ro-RO"/>
            <a:t>SymList</a:t>
          </a:r>
        </a:p>
      </dgm:t>
    </dgm:pt>
    <dgm:pt modelId="{B47DC67F-1020-4DA6-809D-C368EA4BB255}" type="parTrans" cxnId="{C79F19CC-3520-4E45-A3C9-27CDE2039EC0}">
      <dgm:prSet/>
      <dgm:spPr/>
      <dgm:t>
        <a:bodyPr/>
        <a:lstStyle/>
        <a:p>
          <a:endParaRPr lang="ro-RO"/>
        </a:p>
      </dgm:t>
    </dgm:pt>
    <dgm:pt modelId="{DB59D18F-7016-4856-8777-07307BE5D22B}" type="sibTrans" cxnId="{C79F19CC-3520-4E45-A3C9-27CDE2039EC0}">
      <dgm:prSet/>
      <dgm:spPr/>
      <dgm:t>
        <a:bodyPr/>
        <a:lstStyle/>
        <a:p>
          <a:endParaRPr lang="ro-RO"/>
        </a:p>
      </dgm:t>
    </dgm:pt>
    <dgm:pt modelId="{08EF4949-1E27-42E2-995F-C5AE309D9D23}">
      <dgm:prSet phldrT="[Text]"/>
      <dgm:spPr/>
      <dgm:t>
        <a:bodyPr/>
        <a:lstStyle/>
        <a:p>
          <a:r>
            <a:rPr lang="ro-RO"/>
            <a:t>Amt[c]</a:t>
          </a:r>
        </a:p>
      </dgm:t>
    </dgm:pt>
    <dgm:pt modelId="{4BCFED1E-6EB3-4498-AD74-FA7D74C08E0D}" type="parTrans" cxnId="{60758E9A-AAA9-4FA6-B976-84C3093FD5AF}">
      <dgm:prSet/>
      <dgm:spPr/>
      <dgm:t>
        <a:bodyPr/>
        <a:lstStyle/>
        <a:p>
          <a:endParaRPr lang="ro-RO"/>
        </a:p>
      </dgm:t>
    </dgm:pt>
    <dgm:pt modelId="{9B67A659-48C2-4127-BFED-D3A653F3A34F}" type="sibTrans" cxnId="{60758E9A-AAA9-4FA6-B976-84C3093FD5AF}">
      <dgm:prSet/>
      <dgm:spPr/>
      <dgm:t>
        <a:bodyPr/>
        <a:lstStyle/>
        <a:p>
          <a:endParaRPr lang="ro-RO"/>
        </a:p>
      </dgm:t>
    </dgm:pt>
    <dgm:pt modelId="{F2E5C41B-C105-46B2-B1E4-249B8BEFD37A}">
      <dgm:prSet phldrT="[Text]"/>
      <dgm:spPr/>
      <dgm:t>
        <a:bodyPr/>
        <a:lstStyle/>
        <a:p>
          <a:pPr>
            <a:buNone/>
          </a:pPr>
          <a:r>
            <a:rPr lang="en-US"/>
            <a:t>α</a:t>
          </a:r>
          <a:r>
            <a:rPr lang="ro-RO"/>
            <a:t> (type variable)</a:t>
          </a:r>
        </a:p>
      </dgm:t>
    </dgm:pt>
    <dgm:pt modelId="{84C1B531-FD92-4DB2-ADB7-EAF6A40F7753}" type="parTrans" cxnId="{6AD13E4A-92C8-41DF-B409-A5F06686EB96}">
      <dgm:prSet/>
      <dgm:spPr/>
      <dgm:t>
        <a:bodyPr/>
        <a:lstStyle/>
        <a:p>
          <a:endParaRPr lang="ro-RO"/>
        </a:p>
      </dgm:t>
    </dgm:pt>
    <dgm:pt modelId="{9F49040D-D98D-4A08-813F-434BB1EC03B1}" type="sibTrans" cxnId="{6AD13E4A-92C8-41DF-B409-A5F06686EB96}">
      <dgm:prSet/>
      <dgm:spPr/>
      <dgm:t>
        <a:bodyPr/>
        <a:lstStyle/>
        <a:p>
          <a:endParaRPr lang="ro-RO"/>
        </a:p>
      </dgm:t>
    </dgm:pt>
    <dgm:pt modelId="{140E0FB0-2ABA-45B5-BFC1-0C44E92CAE32}">
      <dgm:prSet phldrT="[Text]"/>
      <dgm:spPr/>
      <dgm:t>
        <a:bodyPr/>
        <a:lstStyle/>
        <a:p>
          <a:r>
            <a:rPr lang="ro-RO"/>
            <a:t>EUR</a:t>
          </a:r>
        </a:p>
      </dgm:t>
    </dgm:pt>
    <dgm:pt modelId="{27718962-0775-4E45-A94E-A6253D628052}" type="parTrans" cxnId="{402D1C5C-2713-4C93-85DE-A7A675A22F7F}">
      <dgm:prSet/>
      <dgm:spPr/>
      <dgm:t>
        <a:bodyPr/>
        <a:lstStyle/>
        <a:p>
          <a:endParaRPr lang="ro-RO"/>
        </a:p>
      </dgm:t>
    </dgm:pt>
    <dgm:pt modelId="{F9D1A050-6BAE-4E7B-8964-B91FA6076186}" type="sibTrans" cxnId="{402D1C5C-2713-4C93-85DE-A7A675A22F7F}">
      <dgm:prSet/>
      <dgm:spPr/>
      <dgm:t>
        <a:bodyPr/>
        <a:lstStyle/>
        <a:p>
          <a:endParaRPr lang="ro-RO"/>
        </a:p>
      </dgm:t>
    </dgm:pt>
    <dgm:pt modelId="{04687AD6-3D67-45DB-A1F6-30A90F3FF149}">
      <dgm:prSet phldrT="[Text]"/>
      <dgm:spPr/>
      <dgm:t>
        <a:bodyPr/>
        <a:lstStyle/>
        <a:p>
          <a:r>
            <a:rPr lang="ro-RO"/>
            <a:t>USD</a:t>
          </a:r>
        </a:p>
      </dgm:t>
    </dgm:pt>
    <dgm:pt modelId="{1C55685D-18B4-4B05-B9E6-ACCE25A7B747}" type="parTrans" cxnId="{9F79B3EE-1860-4493-A5F4-DE8B28720306}">
      <dgm:prSet/>
      <dgm:spPr/>
      <dgm:t>
        <a:bodyPr/>
        <a:lstStyle/>
        <a:p>
          <a:endParaRPr lang="ro-RO"/>
        </a:p>
      </dgm:t>
    </dgm:pt>
    <dgm:pt modelId="{ECF558C0-2124-4608-87F9-6F5410AEF538}" type="sibTrans" cxnId="{9F79B3EE-1860-4493-A5F4-DE8B28720306}">
      <dgm:prSet/>
      <dgm:spPr/>
      <dgm:t>
        <a:bodyPr/>
        <a:lstStyle/>
        <a:p>
          <a:endParaRPr lang="ro-RO"/>
        </a:p>
      </dgm:t>
    </dgm:pt>
    <dgm:pt modelId="{49ECC830-CCB7-41D7-8E2E-F386FDB48BE0}">
      <dgm:prSet phldrT="[Text]"/>
      <dgm:spPr/>
      <dgm:t>
        <a:bodyPr/>
        <a:lstStyle/>
        <a:p>
          <a:r>
            <a:rPr lang="ro-RO"/>
            <a:t>GBP</a:t>
          </a:r>
        </a:p>
      </dgm:t>
    </dgm:pt>
    <dgm:pt modelId="{B7FBD5B2-61E7-41CD-A55E-7C1DC9E8D56B}" type="parTrans" cxnId="{D9AA7F32-AEE1-4015-89EB-496DE8A3B828}">
      <dgm:prSet/>
      <dgm:spPr/>
      <dgm:t>
        <a:bodyPr/>
        <a:lstStyle/>
        <a:p>
          <a:endParaRPr lang="ro-RO"/>
        </a:p>
      </dgm:t>
    </dgm:pt>
    <dgm:pt modelId="{04D91F40-241D-4146-9CAF-DBD43F7124F2}" type="sibTrans" cxnId="{D9AA7F32-AEE1-4015-89EB-496DE8A3B828}">
      <dgm:prSet/>
      <dgm:spPr/>
      <dgm:t>
        <a:bodyPr/>
        <a:lstStyle/>
        <a:p>
          <a:endParaRPr lang="ro-RO"/>
        </a:p>
      </dgm:t>
    </dgm:pt>
    <dgm:pt modelId="{F508F3BA-9C95-475D-84EF-2B93E05CA015}">
      <dgm:prSet phldrT="[Text]"/>
      <dgm:spPr/>
      <dgm:t>
        <a:bodyPr/>
        <a:lstStyle/>
        <a:p>
          <a:r>
            <a:rPr lang="ro-RO"/>
            <a:t>JPY</a:t>
          </a:r>
        </a:p>
      </dgm:t>
    </dgm:pt>
    <dgm:pt modelId="{CC2AFC5A-7F42-4A0C-BECF-AC1E60C39172}" type="parTrans" cxnId="{EFCD9EE1-58D1-4326-ACE8-488BF5B5F2E7}">
      <dgm:prSet/>
      <dgm:spPr/>
      <dgm:t>
        <a:bodyPr/>
        <a:lstStyle/>
        <a:p>
          <a:endParaRPr lang="ro-RO"/>
        </a:p>
      </dgm:t>
    </dgm:pt>
    <dgm:pt modelId="{0FF88390-C6DA-45A1-98F7-BE2FADEEA443}" type="sibTrans" cxnId="{EFCD9EE1-58D1-4326-ACE8-488BF5B5F2E7}">
      <dgm:prSet/>
      <dgm:spPr/>
      <dgm:t>
        <a:bodyPr/>
        <a:lstStyle/>
        <a:p>
          <a:endParaRPr lang="ro-RO"/>
        </a:p>
      </dgm:t>
    </dgm:pt>
    <dgm:pt modelId="{6AD9AC48-B27F-46ED-B765-45FA689EF5DE}">
      <dgm:prSet phldrT="[Text]"/>
      <dgm:spPr/>
      <dgm:t>
        <a:bodyPr/>
        <a:lstStyle/>
        <a:p>
          <a:r>
            <a:rPr lang="ro-RO"/>
            <a:t>CHF</a:t>
          </a:r>
        </a:p>
      </dgm:t>
    </dgm:pt>
    <dgm:pt modelId="{3E587E3B-D7EF-48E4-862D-A6975B38E286}" type="parTrans" cxnId="{E357BA7F-272E-41A6-892B-D1E2802183FE}">
      <dgm:prSet/>
      <dgm:spPr/>
      <dgm:t>
        <a:bodyPr/>
        <a:lstStyle/>
        <a:p>
          <a:endParaRPr lang="ro-RO"/>
        </a:p>
      </dgm:t>
    </dgm:pt>
    <dgm:pt modelId="{BBF90C0D-D917-4C94-814C-0519CDBA53AF}" type="sibTrans" cxnId="{E357BA7F-272E-41A6-892B-D1E2802183FE}">
      <dgm:prSet/>
      <dgm:spPr/>
      <dgm:t>
        <a:bodyPr/>
        <a:lstStyle/>
        <a:p>
          <a:endParaRPr lang="ro-RO"/>
        </a:p>
      </dgm:t>
    </dgm:pt>
    <dgm:pt modelId="{D2DCD9CF-B25A-4DBC-8CDC-7828F835FC1B}">
      <dgm:prSet phldrT="[Text]"/>
      <dgm:spPr/>
      <dgm:t>
        <a:bodyPr/>
        <a:lstStyle/>
        <a:p>
          <a:r>
            <a:rPr lang="ro-RO"/>
            <a:t>... 161 in total</a:t>
          </a:r>
        </a:p>
      </dgm:t>
    </dgm:pt>
    <dgm:pt modelId="{9DFE015E-6F4D-43CA-8954-E357A0E7012C}" type="parTrans" cxnId="{F5A8015F-36B2-4D73-BF37-4855E51413E1}">
      <dgm:prSet/>
      <dgm:spPr/>
      <dgm:t>
        <a:bodyPr/>
        <a:lstStyle/>
        <a:p>
          <a:endParaRPr lang="ro-RO"/>
        </a:p>
      </dgm:t>
    </dgm:pt>
    <dgm:pt modelId="{C178B16D-53A2-4341-A8CA-69AD715AFAB5}" type="sibTrans" cxnId="{F5A8015F-36B2-4D73-BF37-4855E51413E1}">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4AA8AA03-9F28-448C-8954-343F90E2BA20}" type="pres">
      <dgm:prSet presAssocID="{E4D5A858-86E6-404E-8FC9-6B9D05A01F73}" presName="Name10" presStyleLbl="parChTrans1D2" presStyleIdx="0" presStyleCnt="7"/>
      <dgm:spPr/>
    </dgm:pt>
    <dgm:pt modelId="{63DC8D6C-BA3F-429F-A79E-D2937F38741A}" type="pres">
      <dgm:prSet presAssocID="{B0FEF7B5-F1C1-47BC-A03A-138A9504FDD6}" presName="hierRoot2" presStyleCnt="0"/>
      <dgm:spPr/>
    </dgm:pt>
    <dgm:pt modelId="{76EB691D-E49D-4EBB-8E87-E5D10A4AB6BB}" type="pres">
      <dgm:prSet presAssocID="{B0FEF7B5-F1C1-47BC-A03A-138A9504FDD6}" presName="composite2" presStyleCnt="0"/>
      <dgm:spPr/>
    </dgm:pt>
    <dgm:pt modelId="{27C14384-BA9F-400A-B978-CF25A974314D}" type="pres">
      <dgm:prSet presAssocID="{B0FEF7B5-F1C1-47BC-A03A-138A9504FDD6}" presName="background2" presStyleLbl="node2" presStyleIdx="0" presStyleCnt="7"/>
      <dgm:spPr/>
    </dgm:pt>
    <dgm:pt modelId="{D4392B14-F23C-40EA-B24E-8A608900445C}" type="pres">
      <dgm:prSet presAssocID="{B0FEF7B5-F1C1-47BC-A03A-138A9504FDD6}" presName="text2" presStyleLbl="fgAcc2" presStyleIdx="0" presStyleCnt="7">
        <dgm:presLayoutVars>
          <dgm:chPref val="3"/>
        </dgm:presLayoutVars>
      </dgm:prSet>
      <dgm:spPr/>
    </dgm:pt>
    <dgm:pt modelId="{A68E3401-4E70-457A-AEBE-4F215DC1004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7"/>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7"/>
      <dgm:spPr/>
    </dgm:pt>
    <dgm:pt modelId="{D001ACD0-14F4-4674-81E7-6958F8C47A46}" type="pres">
      <dgm:prSet presAssocID="{E64A642E-501C-443D-9357-F33D5D2CD08B}" presName="text2" presStyleLbl="fgAcc2" presStyleIdx="1" presStyleCnt="7">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7"/>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7"/>
      <dgm:spPr/>
    </dgm:pt>
    <dgm:pt modelId="{71C6CF7E-BE10-4C5C-9F13-DBE17BDE0FAA}" type="pres">
      <dgm:prSet presAssocID="{B08205D4-97E2-447D-AE0A-37C5054A40A7}" presName="text2" presStyleLbl="fgAcc2" presStyleIdx="2" presStyleCnt="7">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7"/>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7"/>
      <dgm:spPr/>
    </dgm:pt>
    <dgm:pt modelId="{60022835-B03D-4F51-B084-C53C3C5F3C5F}" type="pres">
      <dgm:prSet presAssocID="{204A4A64-11AF-43B0-A706-3041C31C7533}" presName="text2" presStyleLbl="fgAcc2" presStyleIdx="3" presStyleCnt="7">
        <dgm:presLayoutVars>
          <dgm:chPref val="3"/>
        </dgm:presLayoutVars>
      </dgm:prSet>
      <dgm:spPr/>
    </dgm:pt>
    <dgm:pt modelId="{2545035D-F602-4FDC-9CE4-BAB15331624A}" type="pres">
      <dgm:prSet presAssocID="{204A4A64-11AF-43B0-A706-3041C31C7533}" presName="hierChild3" presStyleCnt="0"/>
      <dgm:spPr/>
    </dgm:pt>
    <dgm:pt modelId="{38AB086B-E2B2-4C6E-B8E8-0ABDA96D98E4}" type="pres">
      <dgm:prSet presAssocID="{B47DC67F-1020-4DA6-809D-C368EA4BB255}" presName="Name10" presStyleLbl="parChTrans1D2" presStyleIdx="4" presStyleCnt="7"/>
      <dgm:spPr/>
    </dgm:pt>
    <dgm:pt modelId="{591BAAA9-C795-43BB-A805-8FDFD57CC4D2}" type="pres">
      <dgm:prSet presAssocID="{E4828077-848B-4BF3-B4F7-4E92A9B0D4BE}" presName="hierRoot2" presStyleCnt="0"/>
      <dgm:spPr/>
    </dgm:pt>
    <dgm:pt modelId="{75525781-6140-406F-A093-85E22D945BA2}" type="pres">
      <dgm:prSet presAssocID="{E4828077-848B-4BF3-B4F7-4E92A9B0D4BE}" presName="composite2" presStyleCnt="0"/>
      <dgm:spPr/>
    </dgm:pt>
    <dgm:pt modelId="{D32C58B7-9D5F-43FA-967A-270DDAAAF0AA}" type="pres">
      <dgm:prSet presAssocID="{E4828077-848B-4BF3-B4F7-4E92A9B0D4BE}" presName="background2" presStyleLbl="node2" presStyleIdx="4" presStyleCnt="7"/>
      <dgm:spPr/>
    </dgm:pt>
    <dgm:pt modelId="{31BAAFF5-78A5-4BDC-8C22-FA0E94F330A6}" type="pres">
      <dgm:prSet presAssocID="{E4828077-848B-4BF3-B4F7-4E92A9B0D4BE}" presName="text2" presStyleLbl="fgAcc2" presStyleIdx="4" presStyleCnt="7">
        <dgm:presLayoutVars>
          <dgm:chPref val="3"/>
        </dgm:presLayoutVars>
      </dgm:prSet>
      <dgm:spPr/>
    </dgm:pt>
    <dgm:pt modelId="{E9A18037-4DF8-4E85-B955-290C5B2CD0A5}" type="pres">
      <dgm:prSet presAssocID="{E4828077-848B-4BF3-B4F7-4E92A9B0D4BE}" presName="hierChild3" presStyleCnt="0"/>
      <dgm:spPr/>
    </dgm:pt>
    <dgm:pt modelId="{9DF9F28F-65E8-404C-81A4-4C44C19ED86F}" type="pres">
      <dgm:prSet presAssocID="{4BCFED1E-6EB3-4498-AD74-FA7D74C08E0D}" presName="Name10" presStyleLbl="parChTrans1D2" presStyleIdx="5" presStyleCnt="7"/>
      <dgm:spPr/>
    </dgm:pt>
    <dgm:pt modelId="{35704ADB-51A7-4B28-B28C-BA4CD41EEB24}" type="pres">
      <dgm:prSet presAssocID="{08EF4949-1E27-42E2-995F-C5AE309D9D23}" presName="hierRoot2" presStyleCnt="0"/>
      <dgm:spPr/>
    </dgm:pt>
    <dgm:pt modelId="{45F258E2-C432-4923-B319-877598EE6709}" type="pres">
      <dgm:prSet presAssocID="{08EF4949-1E27-42E2-995F-C5AE309D9D23}" presName="composite2" presStyleCnt="0"/>
      <dgm:spPr/>
    </dgm:pt>
    <dgm:pt modelId="{D3DCAA9F-565E-46E9-A4F0-C212DF81C742}" type="pres">
      <dgm:prSet presAssocID="{08EF4949-1E27-42E2-995F-C5AE309D9D23}" presName="background2" presStyleLbl="node2" presStyleIdx="5" presStyleCnt="7"/>
      <dgm:spPr/>
    </dgm:pt>
    <dgm:pt modelId="{1461DE53-5D76-4DFC-A3DD-9759FAE76CFC}" type="pres">
      <dgm:prSet presAssocID="{08EF4949-1E27-42E2-995F-C5AE309D9D23}" presName="text2" presStyleLbl="fgAcc2" presStyleIdx="5" presStyleCnt="7">
        <dgm:presLayoutVars>
          <dgm:chPref val="3"/>
        </dgm:presLayoutVars>
      </dgm:prSet>
      <dgm:spPr/>
    </dgm:pt>
    <dgm:pt modelId="{DD8539B3-7C35-4EEC-8C68-E2AE991BD828}" type="pres">
      <dgm:prSet presAssocID="{08EF4949-1E27-42E2-995F-C5AE309D9D23}" presName="hierChild3" presStyleCnt="0"/>
      <dgm:spPr/>
    </dgm:pt>
    <dgm:pt modelId="{72E4FC94-F9C6-464E-A33E-13F76B4FE8CB}" type="pres">
      <dgm:prSet presAssocID="{27718962-0775-4E45-A94E-A6253D628052}" presName="Name17" presStyleLbl="parChTrans1D3" presStyleIdx="0" presStyleCnt="6"/>
      <dgm:spPr/>
    </dgm:pt>
    <dgm:pt modelId="{4D764711-9B31-4D45-ADF2-1A40B5E39158}" type="pres">
      <dgm:prSet presAssocID="{140E0FB0-2ABA-45B5-BFC1-0C44E92CAE32}" presName="hierRoot3" presStyleCnt="0"/>
      <dgm:spPr/>
    </dgm:pt>
    <dgm:pt modelId="{772670F1-B43E-43E7-85CA-B0B37989399C}" type="pres">
      <dgm:prSet presAssocID="{140E0FB0-2ABA-45B5-BFC1-0C44E92CAE32}" presName="composite3" presStyleCnt="0"/>
      <dgm:spPr/>
    </dgm:pt>
    <dgm:pt modelId="{FF47EDE4-96CB-42F1-89D7-835F6C51E8A9}" type="pres">
      <dgm:prSet presAssocID="{140E0FB0-2ABA-45B5-BFC1-0C44E92CAE32}" presName="background3" presStyleLbl="node3" presStyleIdx="0" presStyleCnt="6"/>
      <dgm:spPr/>
    </dgm:pt>
    <dgm:pt modelId="{DF7D0A20-F29C-4578-8CD4-B62D557165F9}" type="pres">
      <dgm:prSet presAssocID="{140E0FB0-2ABA-45B5-BFC1-0C44E92CAE32}" presName="text3" presStyleLbl="fgAcc3" presStyleIdx="0" presStyleCnt="6">
        <dgm:presLayoutVars>
          <dgm:chPref val="3"/>
        </dgm:presLayoutVars>
      </dgm:prSet>
      <dgm:spPr/>
    </dgm:pt>
    <dgm:pt modelId="{1A13B6A2-4934-4CF2-BEBB-B5F14CF7939B}" type="pres">
      <dgm:prSet presAssocID="{140E0FB0-2ABA-45B5-BFC1-0C44E92CAE32}" presName="hierChild4" presStyleCnt="0"/>
      <dgm:spPr/>
    </dgm:pt>
    <dgm:pt modelId="{06312162-5822-4CF1-8BC9-B6C5325FCF37}" type="pres">
      <dgm:prSet presAssocID="{1C55685D-18B4-4B05-B9E6-ACCE25A7B747}" presName="Name17" presStyleLbl="parChTrans1D3" presStyleIdx="1" presStyleCnt="6"/>
      <dgm:spPr/>
    </dgm:pt>
    <dgm:pt modelId="{9DFBB62A-3230-4E8C-A108-C1E95A19BF9E}" type="pres">
      <dgm:prSet presAssocID="{04687AD6-3D67-45DB-A1F6-30A90F3FF149}" presName="hierRoot3" presStyleCnt="0"/>
      <dgm:spPr/>
    </dgm:pt>
    <dgm:pt modelId="{318DEE91-6DCD-4BDD-889F-A780E26C7B74}" type="pres">
      <dgm:prSet presAssocID="{04687AD6-3D67-45DB-A1F6-30A90F3FF149}" presName="composite3" presStyleCnt="0"/>
      <dgm:spPr/>
    </dgm:pt>
    <dgm:pt modelId="{5F7CCCE0-0202-4BB8-895C-CA42260CE108}" type="pres">
      <dgm:prSet presAssocID="{04687AD6-3D67-45DB-A1F6-30A90F3FF149}" presName="background3" presStyleLbl="node3" presStyleIdx="1" presStyleCnt="6"/>
      <dgm:spPr/>
    </dgm:pt>
    <dgm:pt modelId="{91643AAA-2695-4CD8-AE39-264EADA1A88E}" type="pres">
      <dgm:prSet presAssocID="{04687AD6-3D67-45DB-A1F6-30A90F3FF149}" presName="text3" presStyleLbl="fgAcc3" presStyleIdx="1" presStyleCnt="6">
        <dgm:presLayoutVars>
          <dgm:chPref val="3"/>
        </dgm:presLayoutVars>
      </dgm:prSet>
      <dgm:spPr/>
    </dgm:pt>
    <dgm:pt modelId="{FC9DA568-BD26-45AA-8963-38FA254BC8B1}" type="pres">
      <dgm:prSet presAssocID="{04687AD6-3D67-45DB-A1F6-30A90F3FF149}" presName="hierChild4" presStyleCnt="0"/>
      <dgm:spPr/>
    </dgm:pt>
    <dgm:pt modelId="{83DE9D4D-9409-414F-9979-160B0416150B}" type="pres">
      <dgm:prSet presAssocID="{B7FBD5B2-61E7-41CD-A55E-7C1DC9E8D56B}" presName="Name17" presStyleLbl="parChTrans1D3" presStyleIdx="2" presStyleCnt="6"/>
      <dgm:spPr/>
    </dgm:pt>
    <dgm:pt modelId="{C76EDCC5-BD80-486C-9A95-F859449B8B40}" type="pres">
      <dgm:prSet presAssocID="{49ECC830-CCB7-41D7-8E2E-F386FDB48BE0}" presName="hierRoot3" presStyleCnt="0"/>
      <dgm:spPr/>
    </dgm:pt>
    <dgm:pt modelId="{B237FCE6-B134-48BA-81A2-7358CBD2BF6E}" type="pres">
      <dgm:prSet presAssocID="{49ECC830-CCB7-41D7-8E2E-F386FDB48BE0}" presName="composite3" presStyleCnt="0"/>
      <dgm:spPr/>
    </dgm:pt>
    <dgm:pt modelId="{9E97FDCA-D1AC-42EF-9B89-171EB134C780}" type="pres">
      <dgm:prSet presAssocID="{49ECC830-CCB7-41D7-8E2E-F386FDB48BE0}" presName="background3" presStyleLbl="node3" presStyleIdx="2" presStyleCnt="6"/>
      <dgm:spPr/>
    </dgm:pt>
    <dgm:pt modelId="{180BF3D4-FBAD-48FF-9061-693E85D67949}" type="pres">
      <dgm:prSet presAssocID="{49ECC830-CCB7-41D7-8E2E-F386FDB48BE0}" presName="text3" presStyleLbl="fgAcc3" presStyleIdx="2" presStyleCnt="6">
        <dgm:presLayoutVars>
          <dgm:chPref val="3"/>
        </dgm:presLayoutVars>
      </dgm:prSet>
      <dgm:spPr/>
    </dgm:pt>
    <dgm:pt modelId="{13B0E452-4AEC-4B48-862C-972B90B427FB}" type="pres">
      <dgm:prSet presAssocID="{49ECC830-CCB7-41D7-8E2E-F386FDB48BE0}" presName="hierChild4" presStyleCnt="0"/>
      <dgm:spPr/>
    </dgm:pt>
    <dgm:pt modelId="{8BEC7AD9-6B53-42DC-B7B8-E89993DB1404}" type="pres">
      <dgm:prSet presAssocID="{CC2AFC5A-7F42-4A0C-BECF-AC1E60C39172}" presName="Name17" presStyleLbl="parChTrans1D3" presStyleIdx="3" presStyleCnt="6"/>
      <dgm:spPr/>
    </dgm:pt>
    <dgm:pt modelId="{81387556-C180-476F-8BE0-F4E29FB654F8}" type="pres">
      <dgm:prSet presAssocID="{F508F3BA-9C95-475D-84EF-2B93E05CA015}" presName="hierRoot3" presStyleCnt="0"/>
      <dgm:spPr/>
    </dgm:pt>
    <dgm:pt modelId="{F789EBD9-0C02-4B94-81F6-C3228D11683B}" type="pres">
      <dgm:prSet presAssocID="{F508F3BA-9C95-475D-84EF-2B93E05CA015}" presName="composite3" presStyleCnt="0"/>
      <dgm:spPr/>
    </dgm:pt>
    <dgm:pt modelId="{1334E469-2073-48D7-9203-B4D424551FEC}" type="pres">
      <dgm:prSet presAssocID="{F508F3BA-9C95-475D-84EF-2B93E05CA015}" presName="background3" presStyleLbl="node3" presStyleIdx="3" presStyleCnt="6"/>
      <dgm:spPr/>
    </dgm:pt>
    <dgm:pt modelId="{FB70920D-A9B2-4F67-A53F-C0BE0D5C9CDC}" type="pres">
      <dgm:prSet presAssocID="{F508F3BA-9C95-475D-84EF-2B93E05CA015}" presName="text3" presStyleLbl="fgAcc3" presStyleIdx="3" presStyleCnt="6">
        <dgm:presLayoutVars>
          <dgm:chPref val="3"/>
        </dgm:presLayoutVars>
      </dgm:prSet>
      <dgm:spPr/>
    </dgm:pt>
    <dgm:pt modelId="{8CAFE146-1261-43C8-B999-25CCAEEF32D5}" type="pres">
      <dgm:prSet presAssocID="{F508F3BA-9C95-475D-84EF-2B93E05CA015}" presName="hierChild4" presStyleCnt="0"/>
      <dgm:spPr/>
    </dgm:pt>
    <dgm:pt modelId="{5A20CE4A-5424-4776-B10F-C83EDF6D7531}" type="pres">
      <dgm:prSet presAssocID="{3E587E3B-D7EF-48E4-862D-A6975B38E286}" presName="Name17" presStyleLbl="parChTrans1D3" presStyleIdx="4" presStyleCnt="6"/>
      <dgm:spPr/>
    </dgm:pt>
    <dgm:pt modelId="{CA42A02D-B121-4193-BE2E-59EAF5172F23}" type="pres">
      <dgm:prSet presAssocID="{6AD9AC48-B27F-46ED-B765-45FA689EF5DE}" presName="hierRoot3" presStyleCnt="0"/>
      <dgm:spPr/>
    </dgm:pt>
    <dgm:pt modelId="{180A0048-1096-4CF3-9020-09E2E1A25FD5}" type="pres">
      <dgm:prSet presAssocID="{6AD9AC48-B27F-46ED-B765-45FA689EF5DE}" presName="composite3" presStyleCnt="0"/>
      <dgm:spPr/>
    </dgm:pt>
    <dgm:pt modelId="{2AB84733-073D-4779-9A8F-5033831C43F4}" type="pres">
      <dgm:prSet presAssocID="{6AD9AC48-B27F-46ED-B765-45FA689EF5DE}" presName="background3" presStyleLbl="node3" presStyleIdx="4" presStyleCnt="6"/>
      <dgm:spPr/>
    </dgm:pt>
    <dgm:pt modelId="{EAACD3D0-F777-4EB5-93D1-FE0E52BCCA95}" type="pres">
      <dgm:prSet presAssocID="{6AD9AC48-B27F-46ED-B765-45FA689EF5DE}" presName="text3" presStyleLbl="fgAcc3" presStyleIdx="4" presStyleCnt="6">
        <dgm:presLayoutVars>
          <dgm:chPref val="3"/>
        </dgm:presLayoutVars>
      </dgm:prSet>
      <dgm:spPr/>
    </dgm:pt>
    <dgm:pt modelId="{BCA213E5-6300-4C73-9AE5-B38AF038CB21}" type="pres">
      <dgm:prSet presAssocID="{6AD9AC48-B27F-46ED-B765-45FA689EF5DE}" presName="hierChild4" presStyleCnt="0"/>
      <dgm:spPr/>
    </dgm:pt>
    <dgm:pt modelId="{7D3FCFDD-0A37-4A87-9B26-3AF872E57BBD}" type="pres">
      <dgm:prSet presAssocID="{9DFE015E-6F4D-43CA-8954-E357A0E7012C}" presName="Name17" presStyleLbl="parChTrans1D3" presStyleIdx="5" presStyleCnt="6"/>
      <dgm:spPr/>
    </dgm:pt>
    <dgm:pt modelId="{460987E9-E552-4F8E-B9FA-249C5B4B4CC7}" type="pres">
      <dgm:prSet presAssocID="{D2DCD9CF-B25A-4DBC-8CDC-7828F835FC1B}" presName="hierRoot3" presStyleCnt="0"/>
      <dgm:spPr/>
    </dgm:pt>
    <dgm:pt modelId="{E5AB7CE5-3C3D-4D9D-948C-6E98F974258B}" type="pres">
      <dgm:prSet presAssocID="{D2DCD9CF-B25A-4DBC-8CDC-7828F835FC1B}" presName="composite3" presStyleCnt="0"/>
      <dgm:spPr/>
    </dgm:pt>
    <dgm:pt modelId="{BF09DF34-69BE-478A-BEFA-3649759B4E4D}" type="pres">
      <dgm:prSet presAssocID="{D2DCD9CF-B25A-4DBC-8CDC-7828F835FC1B}" presName="background3" presStyleLbl="node3" presStyleIdx="5" presStyleCnt="6"/>
      <dgm:spPr/>
    </dgm:pt>
    <dgm:pt modelId="{E10AB480-821A-4A83-B0ED-BA53F5A06D7C}" type="pres">
      <dgm:prSet presAssocID="{D2DCD9CF-B25A-4DBC-8CDC-7828F835FC1B}" presName="text3" presStyleLbl="fgAcc3" presStyleIdx="5" presStyleCnt="6">
        <dgm:presLayoutVars>
          <dgm:chPref val="3"/>
        </dgm:presLayoutVars>
      </dgm:prSet>
      <dgm:spPr/>
    </dgm:pt>
    <dgm:pt modelId="{CB59A2DB-B324-4AED-BDDA-FF60DF468039}" type="pres">
      <dgm:prSet presAssocID="{D2DCD9CF-B25A-4DBC-8CDC-7828F835FC1B}" presName="hierChild4" presStyleCnt="0"/>
      <dgm:spPr/>
    </dgm:pt>
    <dgm:pt modelId="{5C102CB7-4A90-4D03-A418-1043E7100AD2}" type="pres">
      <dgm:prSet presAssocID="{84C1B531-FD92-4DB2-ADB7-EAF6A40F7753}" presName="Name10" presStyleLbl="parChTrans1D2" presStyleIdx="6" presStyleCnt="7"/>
      <dgm:spPr/>
    </dgm:pt>
    <dgm:pt modelId="{3691F8DA-B774-4C56-9F2B-9457BEEE1DF6}" type="pres">
      <dgm:prSet presAssocID="{F2E5C41B-C105-46B2-B1E4-249B8BEFD37A}" presName="hierRoot2" presStyleCnt="0"/>
      <dgm:spPr/>
    </dgm:pt>
    <dgm:pt modelId="{9A128289-5884-46EF-86DF-E8CDE19134AA}" type="pres">
      <dgm:prSet presAssocID="{F2E5C41B-C105-46B2-B1E4-249B8BEFD37A}" presName="composite2" presStyleCnt="0"/>
      <dgm:spPr/>
    </dgm:pt>
    <dgm:pt modelId="{B334FE29-FEE8-493F-9647-72310A434C9A}" type="pres">
      <dgm:prSet presAssocID="{F2E5C41B-C105-46B2-B1E4-249B8BEFD37A}" presName="background2" presStyleLbl="node2" presStyleIdx="6" presStyleCnt="7"/>
      <dgm:spPr/>
    </dgm:pt>
    <dgm:pt modelId="{0FB958E9-40D9-4C80-AA76-D1DCB0A3F5E9}" type="pres">
      <dgm:prSet presAssocID="{F2E5C41B-C105-46B2-B1E4-249B8BEFD37A}" presName="text2" presStyleLbl="fgAcc2" presStyleIdx="6" presStyleCnt="7">
        <dgm:presLayoutVars>
          <dgm:chPref val="3"/>
        </dgm:presLayoutVars>
      </dgm:prSet>
      <dgm:spPr/>
    </dgm:pt>
    <dgm:pt modelId="{3EF2973E-2527-4BA2-A422-D66866CD88C2}" type="pres">
      <dgm:prSet presAssocID="{F2E5C41B-C105-46B2-B1E4-249B8BEFD37A}" presName="hierChild3" presStyleCnt="0"/>
      <dgm:spPr/>
    </dgm:pt>
  </dgm:ptLst>
  <dgm:cxnLst>
    <dgm:cxn modelId="{4B96F204-68F9-4CE5-A315-2EB0D5459724}" type="presOf" srcId="{684DFDAD-C907-4E2E-95A2-9B5B09D3FB0D}" destId="{E76D2D81-FF88-4E24-ABAA-CBD90BB0D040}" srcOrd="0" destOrd="0" presId="urn:microsoft.com/office/officeart/2005/8/layout/hierarchy1"/>
    <dgm:cxn modelId="{FB21CD05-42D0-423D-8BFB-612EDE95BF42}" type="presOf" srcId="{140E0FB0-2ABA-45B5-BFC1-0C44E92CAE32}" destId="{DF7D0A20-F29C-4578-8CD4-B62D557165F9}" srcOrd="0" destOrd="0" presId="urn:microsoft.com/office/officeart/2005/8/layout/hierarchy1"/>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F4E9662A-D155-48D2-9088-6B95511647E6}" type="presOf" srcId="{A2AEA094-96E9-48AB-A3D4-041DD0DE1585}" destId="{98BBFCED-C8E5-4F97-87AD-7C1E77833058}" srcOrd="0" destOrd="0" presId="urn:microsoft.com/office/officeart/2005/8/layout/hierarchy1"/>
    <dgm:cxn modelId="{02AF4D32-176D-47B4-B1B9-ABA5CF48B52B}" type="presOf" srcId="{27718962-0775-4E45-A94E-A6253D628052}" destId="{72E4FC94-F9C6-464E-A33E-13F76B4FE8CB}" srcOrd="0" destOrd="0" presId="urn:microsoft.com/office/officeart/2005/8/layout/hierarchy1"/>
    <dgm:cxn modelId="{D9AA7F32-AEE1-4015-89EB-496DE8A3B828}" srcId="{08EF4949-1E27-42E2-995F-C5AE309D9D23}" destId="{49ECC830-CCB7-41D7-8E2E-F386FDB48BE0}" srcOrd="2" destOrd="0" parTransId="{B7FBD5B2-61E7-41CD-A55E-7C1DC9E8D56B}" sibTransId="{04D91F40-241D-4146-9CAF-DBD43F7124F2}"/>
    <dgm:cxn modelId="{6E7A0C34-FB1B-43FA-82E6-DEC254986F65}" type="presOf" srcId="{49ECC830-CCB7-41D7-8E2E-F386FDB48BE0}" destId="{180BF3D4-FBAD-48FF-9061-693E85D67949}" srcOrd="0" destOrd="0" presId="urn:microsoft.com/office/officeart/2005/8/layout/hierarchy1"/>
    <dgm:cxn modelId="{C8970536-F0CE-4D5E-AEFC-6910F71E1476}" type="presOf" srcId="{1C55685D-18B4-4B05-B9E6-ACCE25A7B747}" destId="{06312162-5822-4CF1-8BC9-B6C5325FCF37}" srcOrd="0" destOrd="0" presId="urn:microsoft.com/office/officeart/2005/8/layout/hierarchy1"/>
    <dgm:cxn modelId="{402D1C5C-2713-4C93-85DE-A7A675A22F7F}" srcId="{08EF4949-1E27-42E2-995F-C5AE309D9D23}" destId="{140E0FB0-2ABA-45B5-BFC1-0C44E92CAE32}" srcOrd="0" destOrd="0" parTransId="{27718962-0775-4E45-A94E-A6253D628052}" sibTransId="{F9D1A050-6BAE-4E7B-8964-B91FA6076186}"/>
    <dgm:cxn modelId="{21C8215C-95D6-4B26-8C3A-BD51DC5C85B6}" type="presOf" srcId="{E4D5A858-86E6-404E-8FC9-6B9D05A01F73}" destId="{4AA8AA03-9F28-448C-8954-343F90E2BA20}" srcOrd="0" destOrd="0" presId="urn:microsoft.com/office/officeart/2005/8/layout/hierarchy1"/>
    <dgm:cxn modelId="{F5A8015F-36B2-4D73-BF37-4855E51413E1}" srcId="{08EF4949-1E27-42E2-995F-C5AE309D9D23}" destId="{D2DCD9CF-B25A-4DBC-8CDC-7828F835FC1B}" srcOrd="5" destOrd="0" parTransId="{9DFE015E-6F4D-43CA-8954-E357A0E7012C}" sibTransId="{C178B16D-53A2-4341-A8CA-69AD715AFAB5}"/>
    <dgm:cxn modelId="{B06F5860-67A8-4417-AE82-27986E06622F}" type="presOf" srcId="{D638658B-6705-4460-844F-D619AF7E2B24}" destId="{7132B58D-797A-4636-8461-9C8BC2B58394}" srcOrd="0" destOrd="0" presId="urn:microsoft.com/office/officeart/2005/8/layout/hierarchy1"/>
    <dgm:cxn modelId="{0CC9BA62-3FD3-4C6A-822C-C9343F3A4AC8}" type="presOf" srcId="{08EF4949-1E27-42E2-995F-C5AE309D9D23}" destId="{1461DE53-5D76-4DFC-A3DD-9759FAE76CFC}" srcOrd="0" destOrd="0" presId="urn:microsoft.com/office/officeart/2005/8/layout/hierarchy1"/>
    <dgm:cxn modelId="{6AD13E4A-92C8-41DF-B409-A5F06686EB96}" srcId="{A0B71AEC-B7AB-477E-BC0A-E9AC47D35701}" destId="{F2E5C41B-C105-46B2-B1E4-249B8BEFD37A}" srcOrd="6" destOrd="0" parTransId="{84C1B531-FD92-4DB2-ADB7-EAF6A40F7753}" sibTransId="{9F49040D-D98D-4A08-813F-434BB1EC03B1}"/>
    <dgm:cxn modelId="{CEE2004B-2835-4BA3-BA2A-7DE9703FF604}" type="presOf" srcId="{84C1B531-FD92-4DB2-ADB7-EAF6A40F7753}" destId="{5C102CB7-4A90-4D03-A418-1043E7100AD2}" srcOrd="0" destOrd="0" presId="urn:microsoft.com/office/officeart/2005/8/layout/hierarchy1"/>
    <dgm:cxn modelId="{886B0B54-A9FC-4A08-A3C9-7D3656A8CED2}" type="presOf" srcId="{9DFE015E-6F4D-43CA-8954-E357A0E7012C}" destId="{7D3FCFDD-0A37-4A87-9B26-3AF872E57BBD}" srcOrd="0" destOrd="0" presId="urn:microsoft.com/office/officeart/2005/8/layout/hierarchy1"/>
    <dgm:cxn modelId="{0CCE115A-F74D-4D7C-A0AB-916201560B36}" type="presOf" srcId="{CC2AFC5A-7F42-4A0C-BECF-AC1E60C39172}" destId="{8BEC7AD9-6B53-42DC-B7B8-E89993DB1404}" srcOrd="0" destOrd="0" presId="urn:microsoft.com/office/officeart/2005/8/layout/hierarchy1"/>
    <dgm:cxn modelId="{E357BA7F-272E-41A6-892B-D1E2802183FE}" srcId="{08EF4949-1E27-42E2-995F-C5AE309D9D23}" destId="{6AD9AC48-B27F-46ED-B765-45FA689EF5DE}" srcOrd="4" destOrd="0" parTransId="{3E587E3B-D7EF-48E4-862D-A6975B38E286}" sibTransId="{BBF90C0D-D917-4C94-814C-0519CDBA53AF}"/>
    <dgm:cxn modelId="{D9446582-2437-4ECD-B05E-5880F3CAE4E9}" type="presOf" srcId="{F2E5C41B-C105-46B2-B1E4-249B8BEFD37A}" destId="{0FB958E9-40D9-4C80-AA76-D1DCB0A3F5E9}" srcOrd="0" destOrd="0" presId="urn:microsoft.com/office/officeart/2005/8/layout/hierarchy1"/>
    <dgm:cxn modelId="{83617283-FBD6-452A-94BA-DA5C0BB52031}" type="presOf" srcId="{B7FBD5B2-61E7-41CD-A55E-7C1DC9E8D56B}" destId="{83DE9D4D-9409-414F-9979-160B0416150B}" srcOrd="0" destOrd="0" presId="urn:microsoft.com/office/officeart/2005/8/layout/hierarchy1"/>
    <dgm:cxn modelId="{85939288-F406-4F28-813D-5060B4F44F68}" type="presOf" srcId="{B47DC67F-1020-4DA6-809D-C368EA4BB255}" destId="{38AB086B-E2B2-4C6E-B8E8-0ABDA96D98E4}" srcOrd="0" destOrd="0" presId="urn:microsoft.com/office/officeart/2005/8/layout/hierarchy1"/>
    <dgm:cxn modelId="{60758E9A-AAA9-4FA6-B976-84C3093FD5AF}" srcId="{A0B71AEC-B7AB-477E-BC0A-E9AC47D35701}" destId="{08EF4949-1E27-42E2-995F-C5AE309D9D23}" srcOrd="5" destOrd="0" parTransId="{4BCFED1E-6EB3-4498-AD74-FA7D74C08E0D}" sibTransId="{9B67A659-48C2-4127-BFED-D3A653F3A34F}"/>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81DF12A7-9977-4C88-ABEE-3EB35A50CB09}" type="presOf" srcId="{3E587E3B-D7EF-48E4-862D-A6975B38E286}" destId="{5A20CE4A-5424-4776-B10F-C83EDF6D7531}" srcOrd="0" destOrd="0" presId="urn:microsoft.com/office/officeart/2005/8/layout/hierarchy1"/>
    <dgm:cxn modelId="{230FF0B0-B1E4-4A4B-9601-71EC31B159D5}" type="presOf" srcId="{4BCFED1E-6EB3-4498-AD74-FA7D74C08E0D}" destId="{9DF9F28F-65E8-404C-81A4-4C44C19ED86F}" srcOrd="0" destOrd="0" presId="urn:microsoft.com/office/officeart/2005/8/layout/hierarchy1"/>
    <dgm:cxn modelId="{03FDF5B2-71E4-4B82-87BE-2F3C11E19894}" type="presOf" srcId="{E4828077-848B-4BF3-B4F7-4E92A9B0D4BE}" destId="{31BAAFF5-78A5-4BDC-8C22-FA0E94F330A6}" srcOrd="0" destOrd="0" presId="urn:microsoft.com/office/officeart/2005/8/layout/hierarchy1"/>
    <dgm:cxn modelId="{318B2AB9-0611-477D-9D80-65F43093D348}" type="presOf" srcId="{6AD9AC48-B27F-46ED-B765-45FA689EF5DE}" destId="{EAACD3D0-F777-4EB5-93D1-FE0E52BCCA95}" srcOrd="0" destOrd="0" presId="urn:microsoft.com/office/officeart/2005/8/layout/hierarchy1"/>
    <dgm:cxn modelId="{5B2614C7-DDE8-4371-B2EC-14084193E515}" type="presOf" srcId="{D2DCD9CF-B25A-4DBC-8CDC-7828F835FC1B}" destId="{E10AB480-821A-4A83-B0ED-BA53F5A06D7C}" srcOrd="0" destOrd="0" presId="urn:microsoft.com/office/officeart/2005/8/layout/hierarchy1"/>
    <dgm:cxn modelId="{C79F19CC-3520-4E45-A3C9-27CDE2039EC0}" srcId="{A0B71AEC-B7AB-477E-BC0A-E9AC47D35701}" destId="{E4828077-848B-4BF3-B4F7-4E92A9B0D4BE}" srcOrd="4" destOrd="0" parTransId="{B47DC67F-1020-4DA6-809D-C368EA4BB255}" sibTransId="{DB59D18F-7016-4856-8777-07307BE5D22B}"/>
    <dgm:cxn modelId="{472CA3CD-A15E-4164-AFF4-A0EABC9D2F58}" type="presOf" srcId="{E64A642E-501C-443D-9357-F33D5D2CD08B}" destId="{D001ACD0-14F4-4674-81E7-6958F8C47A46}" srcOrd="0" destOrd="0" presId="urn:microsoft.com/office/officeart/2005/8/layout/hierarchy1"/>
    <dgm:cxn modelId="{592383CE-5694-49A4-BCA2-A3ADBC306558}" type="presOf" srcId="{04687AD6-3D67-45DB-A1F6-30A90F3FF149}" destId="{91643AAA-2695-4CD8-AE39-264EADA1A88E}" srcOrd="0" destOrd="0" presId="urn:microsoft.com/office/officeart/2005/8/layout/hierarchy1"/>
    <dgm:cxn modelId="{7483D1CE-5429-4CD1-A990-8BD6294098BE}" type="presOf" srcId="{F508F3BA-9C95-475D-84EF-2B93E05CA015}" destId="{FB70920D-A9B2-4F67-A53F-C0BE0D5C9CDC}" srcOrd="0" destOrd="0" presId="urn:microsoft.com/office/officeart/2005/8/layout/hierarchy1"/>
    <dgm:cxn modelId="{39848BD3-85FA-4954-92F9-7D9AA7687F77}" type="presOf" srcId="{204A4A64-11AF-43B0-A706-3041C31C7533}" destId="{60022835-B03D-4F51-B084-C53C3C5F3C5F}" srcOrd="0" destOrd="0" presId="urn:microsoft.com/office/officeart/2005/8/layout/hierarchy1"/>
    <dgm:cxn modelId="{EFCD9EE1-58D1-4326-ACE8-488BF5B5F2E7}" srcId="{08EF4949-1E27-42E2-995F-C5AE309D9D23}" destId="{F508F3BA-9C95-475D-84EF-2B93E05CA015}" srcOrd="3" destOrd="0" parTransId="{CC2AFC5A-7F42-4A0C-BECF-AC1E60C39172}" sibTransId="{0FF88390-C6DA-45A1-98F7-BE2FADEEA443}"/>
    <dgm:cxn modelId="{57CA08E8-3F9F-4DAB-A4D5-0DBF8D495FA0}" type="presOf" srcId="{B08205D4-97E2-447D-AE0A-37C5054A40A7}" destId="{71C6CF7E-BE10-4C5C-9F13-DBE17BDE0FAA}" srcOrd="0" destOrd="0" presId="urn:microsoft.com/office/officeart/2005/8/layout/hierarchy1"/>
    <dgm:cxn modelId="{E0E66CEC-8330-46D1-BD85-63D217B42C96}" type="presOf" srcId="{B0FEF7B5-F1C1-47BC-A03A-138A9504FDD6}" destId="{D4392B14-F23C-40EA-B24E-8A608900445C}" srcOrd="0" destOrd="0" presId="urn:microsoft.com/office/officeart/2005/8/layout/hierarchy1"/>
    <dgm:cxn modelId="{9F79B3EE-1860-4493-A5F4-DE8B28720306}" srcId="{08EF4949-1E27-42E2-995F-C5AE309D9D23}" destId="{04687AD6-3D67-45DB-A1F6-30A90F3FF149}" srcOrd="1" destOrd="0" parTransId="{1C55685D-18B4-4B05-B9E6-ACCE25A7B747}" sibTransId="{ECF558C0-2124-4608-87F9-6F5410AEF538}"/>
    <dgm:cxn modelId="{72DCFBFA-123C-4AA9-8927-096B335E5D09}" type="presOf" srcId="{1C284C0D-7EE2-4B81-95A0-316CAEBDECCA}" destId="{F76933DA-CC89-49D6-A9C9-99E843F2C3B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04EEE448-0C16-4632-8407-E2CF15A2B4E7}" type="presParOf" srcId="{1D594DBA-7FB8-4164-999A-FA9E63D28550}" destId="{4AA8AA03-9F28-448C-8954-343F90E2BA20}" srcOrd="0" destOrd="0" presId="urn:microsoft.com/office/officeart/2005/8/layout/hierarchy1"/>
    <dgm:cxn modelId="{88CB3CF2-42F1-4332-8BAC-F70E1A8A95D5}" type="presParOf" srcId="{1D594DBA-7FB8-4164-999A-FA9E63D28550}" destId="{63DC8D6C-BA3F-429F-A79E-D2937F38741A}" srcOrd="1" destOrd="0" presId="urn:microsoft.com/office/officeart/2005/8/layout/hierarchy1"/>
    <dgm:cxn modelId="{C371B8B0-A864-47E5-ADCE-05FC0A7694C8}" type="presParOf" srcId="{63DC8D6C-BA3F-429F-A79E-D2937F38741A}" destId="{76EB691D-E49D-4EBB-8E87-E5D10A4AB6BB}" srcOrd="0" destOrd="0" presId="urn:microsoft.com/office/officeart/2005/8/layout/hierarchy1"/>
    <dgm:cxn modelId="{5F0C8A6D-E1F1-4D53-B64F-F02785AD2694}" type="presParOf" srcId="{76EB691D-E49D-4EBB-8E87-E5D10A4AB6BB}" destId="{27C14384-BA9F-400A-B978-CF25A974314D}" srcOrd="0" destOrd="0" presId="urn:microsoft.com/office/officeart/2005/8/layout/hierarchy1"/>
    <dgm:cxn modelId="{E6BBED53-EF1F-4099-94E2-D0867FB100F8}" type="presParOf" srcId="{76EB691D-E49D-4EBB-8E87-E5D10A4AB6BB}" destId="{D4392B14-F23C-40EA-B24E-8A608900445C}" srcOrd="1" destOrd="0" presId="urn:microsoft.com/office/officeart/2005/8/layout/hierarchy1"/>
    <dgm:cxn modelId="{1159D24B-5C1F-4789-8E7B-8A4279963511}" type="presParOf" srcId="{63DC8D6C-BA3F-429F-A79E-D2937F38741A}" destId="{A68E3401-4E70-457A-AEBE-4F215DC10045}" srcOrd="1" destOrd="0" presId="urn:microsoft.com/office/officeart/2005/8/layout/hierarchy1"/>
    <dgm:cxn modelId="{C41D14BD-559F-426F-A7F4-6EE9601B9702}" type="presParOf" srcId="{1D594DBA-7FB8-4164-999A-FA9E63D28550}" destId="{F76933DA-CC89-49D6-A9C9-99E843F2C3B0}" srcOrd="2" destOrd="0" presId="urn:microsoft.com/office/officeart/2005/8/layout/hierarchy1"/>
    <dgm:cxn modelId="{9485705F-5E7D-4EFD-9131-1E45B6FD0F00}" type="presParOf" srcId="{1D594DBA-7FB8-4164-999A-FA9E63D28550}" destId="{A14C18A6-8973-4DE5-867D-92D022D76366}" srcOrd="3" destOrd="0" presId="urn:microsoft.com/office/officeart/2005/8/layout/hierarchy1"/>
    <dgm:cxn modelId="{1F9C76B0-78A0-4F6D-8B84-470160947EBC}" type="presParOf" srcId="{A14C18A6-8973-4DE5-867D-92D022D76366}" destId="{82C99448-AEC6-4B1F-91EE-37FCF86C01DD}" srcOrd="0" destOrd="0" presId="urn:microsoft.com/office/officeart/2005/8/layout/hierarchy1"/>
    <dgm:cxn modelId="{60ED4AA2-B322-4367-909A-4BA414B5B22D}" type="presParOf" srcId="{82C99448-AEC6-4B1F-91EE-37FCF86C01DD}" destId="{7A90D4F0-2269-4706-8C7B-0ABE3BB6CB13}" srcOrd="0" destOrd="0" presId="urn:microsoft.com/office/officeart/2005/8/layout/hierarchy1"/>
    <dgm:cxn modelId="{61C0C8E7-4752-4715-B24A-537C8C2E0658}" type="presParOf" srcId="{82C99448-AEC6-4B1F-91EE-37FCF86C01DD}" destId="{D001ACD0-14F4-4674-81E7-6958F8C47A46}" srcOrd="1" destOrd="0" presId="urn:microsoft.com/office/officeart/2005/8/layout/hierarchy1"/>
    <dgm:cxn modelId="{66FD5F7E-AE5E-4B44-BB81-2D32D73F29EF}" type="presParOf" srcId="{A14C18A6-8973-4DE5-867D-92D022D76366}" destId="{17FAE417-DF36-46A3-B5D5-FE23CAD12897}" srcOrd="1" destOrd="0" presId="urn:microsoft.com/office/officeart/2005/8/layout/hierarchy1"/>
    <dgm:cxn modelId="{FD11E439-F7D9-4E29-A93B-BB4E5361FCCF}" type="presParOf" srcId="{1D594DBA-7FB8-4164-999A-FA9E63D28550}" destId="{E76D2D81-FF88-4E24-ABAA-CBD90BB0D040}" srcOrd="4" destOrd="0" presId="urn:microsoft.com/office/officeart/2005/8/layout/hierarchy1"/>
    <dgm:cxn modelId="{37BD9597-1D24-433D-9F5B-596DF1476F75}" type="presParOf" srcId="{1D594DBA-7FB8-4164-999A-FA9E63D28550}" destId="{192F0FE6-C79F-4713-999F-242AC8EE30D1}" srcOrd="5" destOrd="0" presId="urn:microsoft.com/office/officeart/2005/8/layout/hierarchy1"/>
    <dgm:cxn modelId="{CE359E4B-F443-4080-B4C0-AD17E41FFF67}" type="presParOf" srcId="{192F0FE6-C79F-4713-999F-242AC8EE30D1}" destId="{7D7BCBE7-64F9-47DD-8A83-540A8AD7FB64}" srcOrd="0" destOrd="0" presId="urn:microsoft.com/office/officeart/2005/8/layout/hierarchy1"/>
    <dgm:cxn modelId="{E72B2755-421C-46F7-8D48-626F95D6DE66}" type="presParOf" srcId="{7D7BCBE7-64F9-47DD-8A83-540A8AD7FB64}" destId="{E726D2CB-426B-4B57-BEFE-03AC2FD45058}" srcOrd="0" destOrd="0" presId="urn:microsoft.com/office/officeart/2005/8/layout/hierarchy1"/>
    <dgm:cxn modelId="{B4F03BAF-0267-4108-BE84-2609DB1FCDC8}" type="presParOf" srcId="{7D7BCBE7-64F9-47DD-8A83-540A8AD7FB64}" destId="{71C6CF7E-BE10-4C5C-9F13-DBE17BDE0FAA}" srcOrd="1" destOrd="0" presId="urn:microsoft.com/office/officeart/2005/8/layout/hierarchy1"/>
    <dgm:cxn modelId="{FA4B9073-4FBB-4252-9E4E-8D17B8AF3096}" type="presParOf" srcId="{192F0FE6-C79F-4713-999F-242AC8EE30D1}" destId="{B61EE5EF-2E44-4170-ACAF-2CBBE884E95F}" srcOrd="1" destOrd="0" presId="urn:microsoft.com/office/officeart/2005/8/layout/hierarchy1"/>
    <dgm:cxn modelId="{F8B24D70-C28B-457A-B53C-FF450E12F4B0}" type="presParOf" srcId="{1D594DBA-7FB8-4164-999A-FA9E63D28550}" destId="{98BBFCED-C8E5-4F97-87AD-7C1E77833058}" srcOrd="6" destOrd="0" presId="urn:microsoft.com/office/officeart/2005/8/layout/hierarchy1"/>
    <dgm:cxn modelId="{7209637F-AC44-46AE-B5C8-C8595DF32702}" type="presParOf" srcId="{1D594DBA-7FB8-4164-999A-FA9E63D28550}" destId="{8A8ACF67-D8A3-479C-A696-07CE82844934}" srcOrd="7" destOrd="0" presId="urn:microsoft.com/office/officeart/2005/8/layout/hierarchy1"/>
    <dgm:cxn modelId="{9D49C954-E52F-47A2-9817-0CBF25D17F3D}" type="presParOf" srcId="{8A8ACF67-D8A3-479C-A696-07CE82844934}" destId="{160953B0-1790-4499-B853-EBB79B982FBB}" srcOrd="0" destOrd="0" presId="urn:microsoft.com/office/officeart/2005/8/layout/hierarchy1"/>
    <dgm:cxn modelId="{24CB5C86-A8C7-4093-B922-BBAEC3BFEEAF}" type="presParOf" srcId="{160953B0-1790-4499-B853-EBB79B982FBB}" destId="{9FBE6E31-894F-4A8D-A995-3793189C2058}" srcOrd="0" destOrd="0" presId="urn:microsoft.com/office/officeart/2005/8/layout/hierarchy1"/>
    <dgm:cxn modelId="{47532EF4-6998-49FD-ADE1-43CFDD69A992}" type="presParOf" srcId="{160953B0-1790-4499-B853-EBB79B982FBB}" destId="{60022835-B03D-4F51-B084-C53C3C5F3C5F}" srcOrd="1" destOrd="0" presId="urn:microsoft.com/office/officeart/2005/8/layout/hierarchy1"/>
    <dgm:cxn modelId="{9A412DE9-605F-49A8-A4BD-01700B165E00}" type="presParOf" srcId="{8A8ACF67-D8A3-479C-A696-07CE82844934}" destId="{2545035D-F602-4FDC-9CE4-BAB15331624A}" srcOrd="1" destOrd="0" presId="urn:microsoft.com/office/officeart/2005/8/layout/hierarchy1"/>
    <dgm:cxn modelId="{7B228E52-85EB-41C8-AEC1-558742CC8CAC}" type="presParOf" srcId="{1D594DBA-7FB8-4164-999A-FA9E63D28550}" destId="{38AB086B-E2B2-4C6E-B8E8-0ABDA96D98E4}" srcOrd="8" destOrd="0" presId="urn:microsoft.com/office/officeart/2005/8/layout/hierarchy1"/>
    <dgm:cxn modelId="{ABC483D1-2C2E-4A45-8B37-6DAEF65E568C}" type="presParOf" srcId="{1D594DBA-7FB8-4164-999A-FA9E63D28550}" destId="{591BAAA9-C795-43BB-A805-8FDFD57CC4D2}" srcOrd="9" destOrd="0" presId="urn:microsoft.com/office/officeart/2005/8/layout/hierarchy1"/>
    <dgm:cxn modelId="{1C1C6ED8-FE19-41FF-9039-384F63A3A0C9}" type="presParOf" srcId="{591BAAA9-C795-43BB-A805-8FDFD57CC4D2}" destId="{75525781-6140-406F-A093-85E22D945BA2}" srcOrd="0" destOrd="0" presId="urn:microsoft.com/office/officeart/2005/8/layout/hierarchy1"/>
    <dgm:cxn modelId="{D41C8568-172D-495C-8CD8-90E2149B17A0}" type="presParOf" srcId="{75525781-6140-406F-A093-85E22D945BA2}" destId="{D32C58B7-9D5F-43FA-967A-270DDAAAF0AA}" srcOrd="0" destOrd="0" presId="urn:microsoft.com/office/officeart/2005/8/layout/hierarchy1"/>
    <dgm:cxn modelId="{17AEF82B-767C-4E5D-9912-F0FF2732FB0C}" type="presParOf" srcId="{75525781-6140-406F-A093-85E22D945BA2}" destId="{31BAAFF5-78A5-4BDC-8C22-FA0E94F330A6}" srcOrd="1" destOrd="0" presId="urn:microsoft.com/office/officeart/2005/8/layout/hierarchy1"/>
    <dgm:cxn modelId="{6E9F35CD-6F2C-401B-9494-E8A94B939472}" type="presParOf" srcId="{591BAAA9-C795-43BB-A805-8FDFD57CC4D2}" destId="{E9A18037-4DF8-4E85-B955-290C5B2CD0A5}" srcOrd="1" destOrd="0" presId="urn:microsoft.com/office/officeart/2005/8/layout/hierarchy1"/>
    <dgm:cxn modelId="{BBAA6419-FE9F-48E6-B58E-2D3334C778D6}" type="presParOf" srcId="{1D594DBA-7FB8-4164-999A-FA9E63D28550}" destId="{9DF9F28F-65E8-404C-81A4-4C44C19ED86F}" srcOrd="10" destOrd="0" presId="urn:microsoft.com/office/officeart/2005/8/layout/hierarchy1"/>
    <dgm:cxn modelId="{BE5BA555-745B-4C3E-BA79-A6A41F92DE2D}" type="presParOf" srcId="{1D594DBA-7FB8-4164-999A-FA9E63D28550}" destId="{35704ADB-51A7-4B28-B28C-BA4CD41EEB24}" srcOrd="11" destOrd="0" presId="urn:microsoft.com/office/officeart/2005/8/layout/hierarchy1"/>
    <dgm:cxn modelId="{A261108C-41CB-4864-BD58-4394FFD44E09}" type="presParOf" srcId="{35704ADB-51A7-4B28-B28C-BA4CD41EEB24}" destId="{45F258E2-C432-4923-B319-877598EE6709}" srcOrd="0" destOrd="0" presId="urn:microsoft.com/office/officeart/2005/8/layout/hierarchy1"/>
    <dgm:cxn modelId="{5082A56B-4CD7-4101-8920-FA9EDE611FB6}" type="presParOf" srcId="{45F258E2-C432-4923-B319-877598EE6709}" destId="{D3DCAA9F-565E-46E9-A4F0-C212DF81C742}" srcOrd="0" destOrd="0" presId="urn:microsoft.com/office/officeart/2005/8/layout/hierarchy1"/>
    <dgm:cxn modelId="{64E768A1-DDDE-4606-9FDC-CBC428AD5BDB}" type="presParOf" srcId="{45F258E2-C432-4923-B319-877598EE6709}" destId="{1461DE53-5D76-4DFC-A3DD-9759FAE76CFC}" srcOrd="1" destOrd="0" presId="urn:microsoft.com/office/officeart/2005/8/layout/hierarchy1"/>
    <dgm:cxn modelId="{BE51D3E9-9A2A-4981-857F-6FBFF2882A20}" type="presParOf" srcId="{35704ADB-51A7-4B28-B28C-BA4CD41EEB24}" destId="{DD8539B3-7C35-4EEC-8C68-E2AE991BD828}" srcOrd="1" destOrd="0" presId="urn:microsoft.com/office/officeart/2005/8/layout/hierarchy1"/>
    <dgm:cxn modelId="{3901AA9B-F79F-4B63-B650-099064D6ABD9}" type="presParOf" srcId="{DD8539B3-7C35-4EEC-8C68-E2AE991BD828}" destId="{72E4FC94-F9C6-464E-A33E-13F76B4FE8CB}" srcOrd="0" destOrd="0" presId="urn:microsoft.com/office/officeart/2005/8/layout/hierarchy1"/>
    <dgm:cxn modelId="{45DDFC89-3D66-4CFA-8F14-ABD1AFA34C0B}" type="presParOf" srcId="{DD8539B3-7C35-4EEC-8C68-E2AE991BD828}" destId="{4D764711-9B31-4D45-ADF2-1A40B5E39158}" srcOrd="1" destOrd="0" presId="urn:microsoft.com/office/officeart/2005/8/layout/hierarchy1"/>
    <dgm:cxn modelId="{3EFF18E1-588A-4EA9-AF10-93C5C0B79FF7}" type="presParOf" srcId="{4D764711-9B31-4D45-ADF2-1A40B5E39158}" destId="{772670F1-B43E-43E7-85CA-B0B37989399C}" srcOrd="0" destOrd="0" presId="urn:microsoft.com/office/officeart/2005/8/layout/hierarchy1"/>
    <dgm:cxn modelId="{BEA282A6-7DB2-4B9C-B574-4C09ED7D896A}" type="presParOf" srcId="{772670F1-B43E-43E7-85CA-B0B37989399C}" destId="{FF47EDE4-96CB-42F1-89D7-835F6C51E8A9}" srcOrd="0" destOrd="0" presId="urn:microsoft.com/office/officeart/2005/8/layout/hierarchy1"/>
    <dgm:cxn modelId="{4CBEF31E-0D1E-43CC-BE22-AC726D2F219B}" type="presParOf" srcId="{772670F1-B43E-43E7-85CA-B0B37989399C}" destId="{DF7D0A20-F29C-4578-8CD4-B62D557165F9}" srcOrd="1" destOrd="0" presId="urn:microsoft.com/office/officeart/2005/8/layout/hierarchy1"/>
    <dgm:cxn modelId="{67F64910-FE83-4DEB-8274-8F39E561F9C8}" type="presParOf" srcId="{4D764711-9B31-4D45-ADF2-1A40B5E39158}" destId="{1A13B6A2-4934-4CF2-BEBB-B5F14CF7939B}" srcOrd="1" destOrd="0" presId="urn:microsoft.com/office/officeart/2005/8/layout/hierarchy1"/>
    <dgm:cxn modelId="{DECB9648-6B1E-4526-AA66-8D39AE43507F}" type="presParOf" srcId="{DD8539B3-7C35-4EEC-8C68-E2AE991BD828}" destId="{06312162-5822-4CF1-8BC9-B6C5325FCF37}" srcOrd="2" destOrd="0" presId="urn:microsoft.com/office/officeart/2005/8/layout/hierarchy1"/>
    <dgm:cxn modelId="{785AA21E-69F0-4735-A23F-CDD2A518C109}" type="presParOf" srcId="{DD8539B3-7C35-4EEC-8C68-E2AE991BD828}" destId="{9DFBB62A-3230-4E8C-A108-C1E95A19BF9E}" srcOrd="3" destOrd="0" presId="urn:microsoft.com/office/officeart/2005/8/layout/hierarchy1"/>
    <dgm:cxn modelId="{A31BFE39-59EB-4004-A4D9-70B79701BBE7}" type="presParOf" srcId="{9DFBB62A-3230-4E8C-A108-C1E95A19BF9E}" destId="{318DEE91-6DCD-4BDD-889F-A780E26C7B74}" srcOrd="0" destOrd="0" presId="urn:microsoft.com/office/officeart/2005/8/layout/hierarchy1"/>
    <dgm:cxn modelId="{6C052F07-675E-44AD-B3E6-08555D14B60E}" type="presParOf" srcId="{318DEE91-6DCD-4BDD-889F-A780E26C7B74}" destId="{5F7CCCE0-0202-4BB8-895C-CA42260CE108}" srcOrd="0" destOrd="0" presId="urn:microsoft.com/office/officeart/2005/8/layout/hierarchy1"/>
    <dgm:cxn modelId="{36707DBF-F06F-4939-B270-603CFFEDACC7}" type="presParOf" srcId="{318DEE91-6DCD-4BDD-889F-A780E26C7B74}" destId="{91643AAA-2695-4CD8-AE39-264EADA1A88E}" srcOrd="1" destOrd="0" presId="urn:microsoft.com/office/officeart/2005/8/layout/hierarchy1"/>
    <dgm:cxn modelId="{CEE080BD-5440-4D06-ACA7-4DADA5CD47A5}" type="presParOf" srcId="{9DFBB62A-3230-4E8C-A108-C1E95A19BF9E}" destId="{FC9DA568-BD26-45AA-8963-38FA254BC8B1}" srcOrd="1" destOrd="0" presId="urn:microsoft.com/office/officeart/2005/8/layout/hierarchy1"/>
    <dgm:cxn modelId="{E2E7D2C9-85C4-497F-B5AF-DCDE486DAF45}" type="presParOf" srcId="{DD8539B3-7C35-4EEC-8C68-E2AE991BD828}" destId="{83DE9D4D-9409-414F-9979-160B0416150B}" srcOrd="4" destOrd="0" presId="urn:microsoft.com/office/officeart/2005/8/layout/hierarchy1"/>
    <dgm:cxn modelId="{0B8B9EB9-3233-4A8D-A832-C3238D5C85F1}" type="presParOf" srcId="{DD8539B3-7C35-4EEC-8C68-E2AE991BD828}" destId="{C76EDCC5-BD80-486C-9A95-F859449B8B40}" srcOrd="5" destOrd="0" presId="urn:microsoft.com/office/officeart/2005/8/layout/hierarchy1"/>
    <dgm:cxn modelId="{A2F1280A-0F0D-4478-BCDA-79C7B681E6D1}" type="presParOf" srcId="{C76EDCC5-BD80-486C-9A95-F859449B8B40}" destId="{B237FCE6-B134-48BA-81A2-7358CBD2BF6E}" srcOrd="0" destOrd="0" presId="urn:microsoft.com/office/officeart/2005/8/layout/hierarchy1"/>
    <dgm:cxn modelId="{4BF198A0-A047-465F-A7FD-AEFB30EDCEEE}" type="presParOf" srcId="{B237FCE6-B134-48BA-81A2-7358CBD2BF6E}" destId="{9E97FDCA-D1AC-42EF-9B89-171EB134C780}" srcOrd="0" destOrd="0" presId="urn:microsoft.com/office/officeart/2005/8/layout/hierarchy1"/>
    <dgm:cxn modelId="{B6951DB6-1EF1-4980-9903-2EFF4DBDB3C3}" type="presParOf" srcId="{B237FCE6-B134-48BA-81A2-7358CBD2BF6E}" destId="{180BF3D4-FBAD-48FF-9061-693E85D67949}" srcOrd="1" destOrd="0" presId="urn:microsoft.com/office/officeart/2005/8/layout/hierarchy1"/>
    <dgm:cxn modelId="{6DCCCFD8-94DB-49B7-96AC-F77E754FE4C1}" type="presParOf" srcId="{C76EDCC5-BD80-486C-9A95-F859449B8B40}" destId="{13B0E452-4AEC-4B48-862C-972B90B427FB}" srcOrd="1" destOrd="0" presId="urn:microsoft.com/office/officeart/2005/8/layout/hierarchy1"/>
    <dgm:cxn modelId="{51D712AC-43C9-4C22-B73C-B2432BB96FEA}" type="presParOf" srcId="{DD8539B3-7C35-4EEC-8C68-E2AE991BD828}" destId="{8BEC7AD9-6B53-42DC-B7B8-E89993DB1404}" srcOrd="6" destOrd="0" presId="urn:microsoft.com/office/officeart/2005/8/layout/hierarchy1"/>
    <dgm:cxn modelId="{697B63D2-AD4A-49FC-B3EB-247611FD06CC}" type="presParOf" srcId="{DD8539B3-7C35-4EEC-8C68-E2AE991BD828}" destId="{81387556-C180-476F-8BE0-F4E29FB654F8}" srcOrd="7" destOrd="0" presId="urn:microsoft.com/office/officeart/2005/8/layout/hierarchy1"/>
    <dgm:cxn modelId="{2D506730-B911-4B97-A3F5-FD6BDD3A2B28}" type="presParOf" srcId="{81387556-C180-476F-8BE0-F4E29FB654F8}" destId="{F789EBD9-0C02-4B94-81F6-C3228D11683B}" srcOrd="0" destOrd="0" presId="urn:microsoft.com/office/officeart/2005/8/layout/hierarchy1"/>
    <dgm:cxn modelId="{CA4C8934-4819-4514-A857-CC4B47A41F65}" type="presParOf" srcId="{F789EBD9-0C02-4B94-81F6-C3228D11683B}" destId="{1334E469-2073-48D7-9203-B4D424551FEC}" srcOrd="0" destOrd="0" presId="urn:microsoft.com/office/officeart/2005/8/layout/hierarchy1"/>
    <dgm:cxn modelId="{4E137E49-8433-4E89-9A2B-0601F611A14D}" type="presParOf" srcId="{F789EBD9-0C02-4B94-81F6-C3228D11683B}" destId="{FB70920D-A9B2-4F67-A53F-C0BE0D5C9CDC}" srcOrd="1" destOrd="0" presId="urn:microsoft.com/office/officeart/2005/8/layout/hierarchy1"/>
    <dgm:cxn modelId="{2A464401-0E6A-44C8-B55E-76A38E63C522}" type="presParOf" srcId="{81387556-C180-476F-8BE0-F4E29FB654F8}" destId="{8CAFE146-1261-43C8-B999-25CCAEEF32D5}" srcOrd="1" destOrd="0" presId="urn:microsoft.com/office/officeart/2005/8/layout/hierarchy1"/>
    <dgm:cxn modelId="{5367A844-E945-4404-A0CE-138A6AA9FF7D}" type="presParOf" srcId="{DD8539B3-7C35-4EEC-8C68-E2AE991BD828}" destId="{5A20CE4A-5424-4776-B10F-C83EDF6D7531}" srcOrd="8" destOrd="0" presId="urn:microsoft.com/office/officeart/2005/8/layout/hierarchy1"/>
    <dgm:cxn modelId="{D9A02E1A-E13D-4451-BA63-856CBC761488}" type="presParOf" srcId="{DD8539B3-7C35-4EEC-8C68-E2AE991BD828}" destId="{CA42A02D-B121-4193-BE2E-59EAF5172F23}" srcOrd="9" destOrd="0" presId="urn:microsoft.com/office/officeart/2005/8/layout/hierarchy1"/>
    <dgm:cxn modelId="{27011688-C579-4986-BD4F-4E98FBD96987}" type="presParOf" srcId="{CA42A02D-B121-4193-BE2E-59EAF5172F23}" destId="{180A0048-1096-4CF3-9020-09E2E1A25FD5}" srcOrd="0" destOrd="0" presId="urn:microsoft.com/office/officeart/2005/8/layout/hierarchy1"/>
    <dgm:cxn modelId="{520A7CC3-0C44-4C93-B6D0-43CE216A666A}" type="presParOf" srcId="{180A0048-1096-4CF3-9020-09E2E1A25FD5}" destId="{2AB84733-073D-4779-9A8F-5033831C43F4}" srcOrd="0" destOrd="0" presId="urn:microsoft.com/office/officeart/2005/8/layout/hierarchy1"/>
    <dgm:cxn modelId="{A3B7CD20-1153-4B4C-95DE-78375DC5D026}" type="presParOf" srcId="{180A0048-1096-4CF3-9020-09E2E1A25FD5}" destId="{EAACD3D0-F777-4EB5-93D1-FE0E52BCCA95}" srcOrd="1" destOrd="0" presId="urn:microsoft.com/office/officeart/2005/8/layout/hierarchy1"/>
    <dgm:cxn modelId="{DD3C6349-8E84-4651-89DE-105E5A3F4A6E}" type="presParOf" srcId="{CA42A02D-B121-4193-BE2E-59EAF5172F23}" destId="{BCA213E5-6300-4C73-9AE5-B38AF038CB21}" srcOrd="1" destOrd="0" presId="urn:microsoft.com/office/officeart/2005/8/layout/hierarchy1"/>
    <dgm:cxn modelId="{1F88F648-AA2F-49BA-BBE1-2526A57FEF01}" type="presParOf" srcId="{DD8539B3-7C35-4EEC-8C68-E2AE991BD828}" destId="{7D3FCFDD-0A37-4A87-9B26-3AF872E57BBD}" srcOrd="10" destOrd="0" presId="urn:microsoft.com/office/officeart/2005/8/layout/hierarchy1"/>
    <dgm:cxn modelId="{88A3418D-5348-48FE-B1B2-D14D95779756}" type="presParOf" srcId="{DD8539B3-7C35-4EEC-8C68-E2AE991BD828}" destId="{460987E9-E552-4F8E-B9FA-249C5B4B4CC7}" srcOrd="11" destOrd="0" presId="urn:microsoft.com/office/officeart/2005/8/layout/hierarchy1"/>
    <dgm:cxn modelId="{6DB21789-CBD9-4911-B8B3-75EE8CF945D8}" type="presParOf" srcId="{460987E9-E552-4F8E-B9FA-249C5B4B4CC7}" destId="{E5AB7CE5-3C3D-4D9D-948C-6E98F974258B}" srcOrd="0" destOrd="0" presId="urn:microsoft.com/office/officeart/2005/8/layout/hierarchy1"/>
    <dgm:cxn modelId="{3C4BE225-FF95-4627-86F5-1FEC0E987C8E}" type="presParOf" srcId="{E5AB7CE5-3C3D-4D9D-948C-6E98F974258B}" destId="{BF09DF34-69BE-478A-BEFA-3649759B4E4D}" srcOrd="0" destOrd="0" presId="urn:microsoft.com/office/officeart/2005/8/layout/hierarchy1"/>
    <dgm:cxn modelId="{629D48D4-F732-4892-91BD-AD90B2DFA2D2}" type="presParOf" srcId="{E5AB7CE5-3C3D-4D9D-948C-6E98F974258B}" destId="{E10AB480-821A-4A83-B0ED-BA53F5A06D7C}" srcOrd="1" destOrd="0" presId="urn:microsoft.com/office/officeart/2005/8/layout/hierarchy1"/>
    <dgm:cxn modelId="{882D02A8-B705-4265-94F5-1158E26B40D9}" type="presParOf" srcId="{460987E9-E552-4F8E-B9FA-249C5B4B4CC7}" destId="{CB59A2DB-B324-4AED-BDDA-FF60DF468039}" srcOrd="1" destOrd="0" presId="urn:microsoft.com/office/officeart/2005/8/layout/hierarchy1"/>
    <dgm:cxn modelId="{1E45CCE5-3D8D-4EA6-A347-DDB9174C407F}" type="presParOf" srcId="{1D594DBA-7FB8-4164-999A-FA9E63D28550}" destId="{5C102CB7-4A90-4D03-A418-1043E7100AD2}" srcOrd="12" destOrd="0" presId="urn:microsoft.com/office/officeart/2005/8/layout/hierarchy1"/>
    <dgm:cxn modelId="{EE08FE3C-29E3-462E-9348-A13E0DDE6846}" type="presParOf" srcId="{1D594DBA-7FB8-4164-999A-FA9E63D28550}" destId="{3691F8DA-B774-4C56-9F2B-9457BEEE1DF6}" srcOrd="13" destOrd="0" presId="urn:microsoft.com/office/officeart/2005/8/layout/hierarchy1"/>
    <dgm:cxn modelId="{1D1BB8D5-0CBE-48FD-A217-B83C721C71F5}" type="presParOf" srcId="{3691F8DA-B774-4C56-9F2B-9457BEEE1DF6}" destId="{9A128289-5884-46EF-86DF-E8CDE19134AA}" srcOrd="0" destOrd="0" presId="urn:microsoft.com/office/officeart/2005/8/layout/hierarchy1"/>
    <dgm:cxn modelId="{DB25AC16-DBC8-4703-AA05-75B226D23684}" type="presParOf" srcId="{9A128289-5884-46EF-86DF-E8CDE19134AA}" destId="{B334FE29-FEE8-493F-9647-72310A434C9A}" srcOrd="0" destOrd="0" presId="urn:microsoft.com/office/officeart/2005/8/layout/hierarchy1"/>
    <dgm:cxn modelId="{4EF7BD06-01DB-4D39-B639-84D7B67BD654}" type="presParOf" srcId="{9A128289-5884-46EF-86DF-E8CDE19134AA}" destId="{0FB958E9-40D9-4C80-AA76-D1DCB0A3F5E9}" srcOrd="1" destOrd="0" presId="urn:microsoft.com/office/officeart/2005/8/layout/hierarchy1"/>
    <dgm:cxn modelId="{E29790AD-F3CB-4BB6-8BCC-A949BDB2FD52}" type="presParOf" srcId="{3691F8DA-B774-4C56-9F2B-9457BEEE1DF6}" destId="{3EF2973E-2527-4BA2-A422-D66866CD88C2}" srcOrd="1" destOrd="0" presId="urn:microsoft.com/office/officeart/2005/8/layout/hierarchy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Regional Patent Organizations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EPO (38 member states)</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E64A642E-501C-443D-9357-F33D5D2CD08B}">
      <dgm:prSet phldrT="[Text]"/>
      <dgm:spPr/>
      <dgm:t>
        <a:bodyPr/>
        <a:lstStyle/>
        <a:p>
          <a:r>
            <a:rPr lang="en-US"/>
            <a:t>EA (9 member states)</a:t>
          </a:r>
          <a:endParaRPr lang="ro-RO"/>
        </a:p>
      </dgm:t>
    </dgm:pt>
    <dgm:pt modelId="{1C284C0D-7EE2-4B81-95A0-316CAEBDECCA}" type="parTrans" cxnId="{85840417-AD11-430B-A039-64E06A67F08B}">
      <dgm:prSet/>
      <dgm:spPr/>
      <dgm:t>
        <a:bodyPr/>
        <a:lstStyle/>
        <a:p>
          <a:endParaRPr lang="ro-RO"/>
        </a:p>
      </dgm:t>
    </dgm:pt>
    <dgm:pt modelId="{DAC895A5-8D49-4B07-B821-2BA18679A95C}" type="sibTrans" cxnId="{85840417-AD11-430B-A039-64E06A67F08B}">
      <dgm:prSet/>
      <dgm:spPr/>
      <dgm:t>
        <a:bodyPr/>
        <a:lstStyle/>
        <a:p>
          <a:endParaRPr lang="ro-RO"/>
        </a:p>
      </dgm:t>
    </dgm:pt>
    <dgm:pt modelId="{B08205D4-97E2-447D-AE0A-37C5054A40A7}">
      <dgm:prSet phldrT="[Text]"/>
      <dgm:spPr/>
      <dgm:t>
        <a:bodyPr/>
        <a:lstStyle/>
        <a:p>
          <a:r>
            <a:rPr lang="en-US"/>
            <a:t>AP (19 member states)</a:t>
          </a:r>
          <a:endParaRPr lang="ro-RO"/>
        </a:p>
      </dgm:t>
    </dgm:pt>
    <dgm:pt modelId="{684DFDAD-C907-4E2E-95A2-9B5B09D3FB0D}" type="parTrans" cxnId="{A8546CA1-DBCB-4E0D-820A-B44290991278}">
      <dgm:prSet/>
      <dgm:spPr/>
      <dgm:t>
        <a:bodyPr/>
        <a:lstStyle/>
        <a:p>
          <a:endParaRPr lang="ro-RO"/>
        </a:p>
      </dgm:t>
    </dgm:pt>
    <dgm:pt modelId="{DB2E7587-192C-4C75-B9FD-133F8EC402BC}" type="sibTrans" cxnId="{A8546CA1-DBCB-4E0D-820A-B44290991278}">
      <dgm:prSet/>
      <dgm:spPr/>
      <dgm:t>
        <a:bodyPr/>
        <a:lstStyle/>
        <a:p>
          <a:endParaRPr lang="ro-RO"/>
        </a:p>
      </dgm:t>
    </dgm:pt>
    <dgm:pt modelId="{204A4A64-11AF-43B0-A706-3041C31C7533}">
      <dgm:prSet phldrT="[Text]"/>
      <dgm:spPr/>
      <dgm:t>
        <a:bodyPr/>
        <a:lstStyle/>
        <a:p>
          <a:r>
            <a:rPr lang="en-US"/>
            <a:t>OA (17 member states)</a:t>
          </a:r>
          <a:endParaRPr lang="ro-RO"/>
        </a:p>
      </dgm:t>
    </dgm:pt>
    <dgm:pt modelId="{A2AEA094-96E9-48AB-A3D4-041DD0DE1585}" type="parTrans" cxnId="{CB20B808-64C9-4BD6-95A4-8DFD08EE5DCE}">
      <dgm:prSet/>
      <dgm:spPr/>
      <dgm:t>
        <a:bodyPr/>
        <a:lstStyle/>
        <a:p>
          <a:endParaRPr lang="ro-RO"/>
        </a:p>
      </dgm:t>
    </dgm:pt>
    <dgm:pt modelId="{77B6A6A5-B180-4B60-AEC2-241AE4032768}" type="sibTrans" cxnId="{CB20B808-64C9-4BD6-95A4-8DFD08EE5DCE}">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1"/>
      <dgm:spPr/>
    </dgm:pt>
    <dgm:pt modelId="{E0CB718A-025B-478E-99CE-A425FA597C19}" type="pres">
      <dgm:prSet presAssocID="{A0B71AEC-B7AB-477E-BC0A-E9AC47D35701}" presName="text" presStyleLbl="fgAcc0" presStyleIdx="0" presStyleCnt="1">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4"/>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4"/>
      <dgm:spPr/>
    </dgm:pt>
    <dgm:pt modelId="{6B788632-D491-4B86-894E-B0EF0B0030A0}" type="pres">
      <dgm:prSet presAssocID="{B0FEF7B5-F1C1-47BC-A03A-138A9504FDD6}" presName="text2" presStyleLbl="fgAcc2" presStyleIdx="0" presStyleCnt="4">
        <dgm:presLayoutVars>
          <dgm:chPref val="3"/>
        </dgm:presLayoutVars>
      </dgm:prSet>
      <dgm:spPr/>
    </dgm:pt>
    <dgm:pt modelId="{DFCC5A91-E615-4442-8218-7A9C3A4C7D95}" type="pres">
      <dgm:prSet presAssocID="{B0FEF7B5-F1C1-47BC-A03A-138A9504FDD6}" presName="hierChild3" presStyleCnt="0"/>
      <dgm:spPr/>
    </dgm:pt>
    <dgm:pt modelId="{F76933DA-CC89-49D6-A9C9-99E843F2C3B0}" type="pres">
      <dgm:prSet presAssocID="{1C284C0D-7EE2-4B81-95A0-316CAEBDECCA}" presName="Name10" presStyleLbl="parChTrans1D2" presStyleIdx="1" presStyleCnt="4"/>
      <dgm:spPr/>
    </dgm:pt>
    <dgm:pt modelId="{A14C18A6-8973-4DE5-867D-92D022D76366}" type="pres">
      <dgm:prSet presAssocID="{E64A642E-501C-443D-9357-F33D5D2CD08B}" presName="hierRoot2" presStyleCnt="0"/>
      <dgm:spPr/>
    </dgm:pt>
    <dgm:pt modelId="{82C99448-AEC6-4B1F-91EE-37FCF86C01DD}" type="pres">
      <dgm:prSet presAssocID="{E64A642E-501C-443D-9357-F33D5D2CD08B}" presName="composite2" presStyleCnt="0"/>
      <dgm:spPr/>
    </dgm:pt>
    <dgm:pt modelId="{7A90D4F0-2269-4706-8C7B-0ABE3BB6CB13}" type="pres">
      <dgm:prSet presAssocID="{E64A642E-501C-443D-9357-F33D5D2CD08B}" presName="background2" presStyleLbl="node2" presStyleIdx="1" presStyleCnt="4"/>
      <dgm:spPr/>
    </dgm:pt>
    <dgm:pt modelId="{D001ACD0-14F4-4674-81E7-6958F8C47A46}" type="pres">
      <dgm:prSet presAssocID="{E64A642E-501C-443D-9357-F33D5D2CD08B}" presName="text2" presStyleLbl="fgAcc2" presStyleIdx="1" presStyleCnt="4">
        <dgm:presLayoutVars>
          <dgm:chPref val="3"/>
        </dgm:presLayoutVars>
      </dgm:prSet>
      <dgm:spPr/>
    </dgm:pt>
    <dgm:pt modelId="{17FAE417-DF36-46A3-B5D5-FE23CAD12897}" type="pres">
      <dgm:prSet presAssocID="{E64A642E-501C-443D-9357-F33D5D2CD08B}" presName="hierChild3" presStyleCnt="0"/>
      <dgm:spPr/>
    </dgm:pt>
    <dgm:pt modelId="{E76D2D81-FF88-4E24-ABAA-CBD90BB0D040}" type="pres">
      <dgm:prSet presAssocID="{684DFDAD-C907-4E2E-95A2-9B5B09D3FB0D}" presName="Name10" presStyleLbl="parChTrans1D2" presStyleIdx="2" presStyleCnt="4"/>
      <dgm:spPr/>
    </dgm:pt>
    <dgm:pt modelId="{192F0FE6-C79F-4713-999F-242AC8EE30D1}" type="pres">
      <dgm:prSet presAssocID="{B08205D4-97E2-447D-AE0A-37C5054A40A7}" presName="hierRoot2" presStyleCnt="0"/>
      <dgm:spPr/>
    </dgm:pt>
    <dgm:pt modelId="{7D7BCBE7-64F9-47DD-8A83-540A8AD7FB64}" type="pres">
      <dgm:prSet presAssocID="{B08205D4-97E2-447D-AE0A-37C5054A40A7}" presName="composite2" presStyleCnt="0"/>
      <dgm:spPr/>
    </dgm:pt>
    <dgm:pt modelId="{E726D2CB-426B-4B57-BEFE-03AC2FD45058}" type="pres">
      <dgm:prSet presAssocID="{B08205D4-97E2-447D-AE0A-37C5054A40A7}" presName="background2" presStyleLbl="node2" presStyleIdx="2" presStyleCnt="4"/>
      <dgm:spPr/>
    </dgm:pt>
    <dgm:pt modelId="{71C6CF7E-BE10-4C5C-9F13-DBE17BDE0FAA}" type="pres">
      <dgm:prSet presAssocID="{B08205D4-97E2-447D-AE0A-37C5054A40A7}" presName="text2" presStyleLbl="fgAcc2" presStyleIdx="2" presStyleCnt="4">
        <dgm:presLayoutVars>
          <dgm:chPref val="3"/>
        </dgm:presLayoutVars>
      </dgm:prSet>
      <dgm:spPr/>
    </dgm:pt>
    <dgm:pt modelId="{B61EE5EF-2E44-4170-ACAF-2CBBE884E95F}" type="pres">
      <dgm:prSet presAssocID="{B08205D4-97E2-447D-AE0A-37C5054A40A7}" presName="hierChild3" presStyleCnt="0"/>
      <dgm:spPr/>
    </dgm:pt>
    <dgm:pt modelId="{98BBFCED-C8E5-4F97-87AD-7C1E77833058}" type="pres">
      <dgm:prSet presAssocID="{A2AEA094-96E9-48AB-A3D4-041DD0DE1585}" presName="Name10" presStyleLbl="parChTrans1D2" presStyleIdx="3" presStyleCnt="4"/>
      <dgm:spPr/>
    </dgm:pt>
    <dgm:pt modelId="{8A8ACF67-D8A3-479C-A696-07CE82844934}" type="pres">
      <dgm:prSet presAssocID="{204A4A64-11AF-43B0-A706-3041C31C7533}" presName="hierRoot2" presStyleCnt="0"/>
      <dgm:spPr/>
    </dgm:pt>
    <dgm:pt modelId="{160953B0-1790-4499-B853-EBB79B982FBB}" type="pres">
      <dgm:prSet presAssocID="{204A4A64-11AF-43B0-A706-3041C31C7533}" presName="composite2" presStyleCnt="0"/>
      <dgm:spPr/>
    </dgm:pt>
    <dgm:pt modelId="{9FBE6E31-894F-4A8D-A995-3793189C2058}" type="pres">
      <dgm:prSet presAssocID="{204A4A64-11AF-43B0-A706-3041C31C7533}" presName="background2" presStyleLbl="node2" presStyleIdx="3" presStyleCnt="4"/>
      <dgm:spPr/>
    </dgm:pt>
    <dgm:pt modelId="{60022835-B03D-4F51-B084-C53C3C5F3C5F}" type="pres">
      <dgm:prSet presAssocID="{204A4A64-11AF-43B0-A706-3041C31C7533}" presName="text2" presStyleLbl="fgAcc2" presStyleIdx="3" presStyleCnt="4">
        <dgm:presLayoutVars>
          <dgm:chPref val="3"/>
        </dgm:presLayoutVars>
      </dgm:prSet>
      <dgm:spPr/>
    </dgm:pt>
    <dgm:pt modelId="{2545035D-F602-4FDC-9CE4-BAB15331624A}" type="pres">
      <dgm:prSet presAssocID="{204A4A64-11AF-43B0-A706-3041C31C7533}" presName="hierChild3" presStyleCnt="0"/>
      <dgm:spPr/>
    </dgm:pt>
  </dgm:ptLst>
  <dgm:cxnLst>
    <dgm:cxn modelId="{1E7C9406-04F1-4322-9665-A7621BA2E7B6}" srcId="{A0B71AEC-B7AB-477E-BC0A-E9AC47D35701}" destId="{B0FEF7B5-F1C1-47BC-A03A-138A9504FDD6}" srcOrd="0" destOrd="0" parTransId="{E4D5A858-86E6-404E-8FC9-6B9D05A01F73}" sibTransId="{F7596F82-5ECD-45F2-AEEE-D7934D6C2184}"/>
    <dgm:cxn modelId="{CB20B808-64C9-4BD6-95A4-8DFD08EE5DCE}" srcId="{A0B71AEC-B7AB-477E-BC0A-E9AC47D35701}" destId="{204A4A64-11AF-43B0-A706-3041C31C7533}" srcOrd="3" destOrd="0" parTransId="{A2AEA094-96E9-48AB-A3D4-041DD0DE1585}" sibTransId="{77B6A6A5-B180-4B60-AEC2-241AE4032768}"/>
    <dgm:cxn modelId="{85840417-AD11-430B-A039-64E06A67F08B}" srcId="{A0B71AEC-B7AB-477E-BC0A-E9AC47D35701}" destId="{E64A642E-501C-443D-9357-F33D5D2CD08B}" srcOrd="1" destOrd="0" parTransId="{1C284C0D-7EE2-4B81-95A0-316CAEBDECCA}" sibTransId="{DAC895A5-8D49-4B07-B821-2BA18679A95C}"/>
    <dgm:cxn modelId="{B193F626-D98D-4F9E-A20F-D4850CEE0118}" type="presOf" srcId="{A0B71AEC-B7AB-477E-BC0A-E9AC47D35701}" destId="{E0CB718A-025B-478E-99CE-A425FA597C19}"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EA3A1A6B-0FF8-4A9C-89F5-AFB9A00EC3C9}" type="presOf" srcId="{1C284C0D-7EE2-4B81-95A0-316CAEBDECCA}" destId="{F76933DA-CC89-49D6-A9C9-99E843F2C3B0}"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733DBC99-37C0-48B6-9893-743034586539}" type="presOf" srcId="{684DFDAD-C907-4E2E-95A2-9B5B09D3FB0D}" destId="{E76D2D81-FF88-4E24-ABAA-CBD90BB0D040}"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A8546CA1-DBCB-4E0D-820A-B44290991278}" srcId="{A0B71AEC-B7AB-477E-BC0A-E9AC47D35701}" destId="{B08205D4-97E2-447D-AE0A-37C5054A40A7}" srcOrd="2" destOrd="0" parTransId="{684DFDAD-C907-4E2E-95A2-9B5B09D3FB0D}" sibTransId="{DB2E7587-192C-4C75-B9FD-133F8EC402BC}"/>
    <dgm:cxn modelId="{E016CBA6-2842-4E1B-BE24-B16C320521AE}" type="presOf" srcId="{A2AEA094-96E9-48AB-A3D4-041DD0DE1585}" destId="{98BBFCED-C8E5-4F97-87AD-7C1E77833058}" srcOrd="0" destOrd="0" presId="urn:microsoft.com/office/officeart/2005/8/layout/hierarchy1"/>
    <dgm:cxn modelId="{5E6E4BB6-502B-46A5-8CFA-7E4F6B71C2C5}" type="presOf" srcId="{B08205D4-97E2-447D-AE0A-37C5054A40A7}" destId="{71C6CF7E-BE10-4C5C-9F13-DBE17BDE0FAA}" srcOrd="0" destOrd="0" presId="urn:microsoft.com/office/officeart/2005/8/layout/hierarchy1"/>
    <dgm:cxn modelId="{AD1993E1-88B4-45CB-803D-30FC5635257C}" type="presOf" srcId="{204A4A64-11AF-43B0-A706-3041C31C7533}" destId="{60022835-B03D-4F51-B084-C53C3C5F3C5F}" srcOrd="0" destOrd="0" presId="urn:microsoft.com/office/officeart/2005/8/layout/hierarchy1"/>
    <dgm:cxn modelId="{18D896E9-5B45-402B-B105-BC816BD19912}" type="presOf" srcId="{E64A642E-501C-443D-9357-F33D5D2CD08B}" destId="{D001ACD0-14F4-4674-81E7-6958F8C47A46}"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5EB23E38-4C69-4AA4-9C18-B58D3B1479C4}" type="presParOf" srcId="{1D594DBA-7FB8-4164-999A-FA9E63D28550}" destId="{F76933DA-CC89-49D6-A9C9-99E843F2C3B0}" srcOrd="2" destOrd="0" presId="urn:microsoft.com/office/officeart/2005/8/layout/hierarchy1"/>
    <dgm:cxn modelId="{413554DB-64EC-4669-916F-959E6DC2BB21}" type="presParOf" srcId="{1D594DBA-7FB8-4164-999A-FA9E63D28550}" destId="{A14C18A6-8973-4DE5-867D-92D022D76366}" srcOrd="3" destOrd="0" presId="urn:microsoft.com/office/officeart/2005/8/layout/hierarchy1"/>
    <dgm:cxn modelId="{711B4FA8-E1B8-4F42-81BF-16A1AF0B204E}" type="presParOf" srcId="{A14C18A6-8973-4DE5-867D-92D022D76366}" destId="{82C99448-AEC6-4B1F-91EE-37FCF86C01DD}" srcOrd="0" destOrd="0" presId="urn:microsoft.com/office/officeart/2005/8/layout/hierarchy1"/>
    <dgm:cxn modelId="{66EDCF81-7806-4A0C-84DC-6CDB4156D4B7}" type="presParOf" srcId="{82C99448-AEC6-4B1F-91EE-37FCF86C01DD}" destId="{7A90D4F0-2269-4706-8C7B-0ABE3BB6CB13}" srcOrd="0" destOrd="0" presId="urn:microsoft.com/office/officeart/2005/8/layout/hierarchy1"/>
    <dgm:cxn modelId="{CA74899F-4C3B-410B-B077-EDDBF9FB64AF}" type="presParOf" srcId="{82C99448-AEC6-4B1F-91EE-37FCF86C01DD}" destId="{D001ACD0-14F4-4674-81E7-6958F8C47A46}" srcOrd="1" destOrd="0" presId="urn:microsoft.com/office/officeart/2005/8/layout/hierarchy1"/>
    <dgm:cxn modelId="{4741C8D9-476E-40F6-B683-5CA571175F04}" type="presParOf" srcId="{A14C18A6-8973-4DE5-867D-92D022D76366}" destId="{17FAE417-DF36-46A3-B5D5-FE23CAD12897}" srcOrd="1" destOrd="0" presId="urn:microsoft.com/office/officeart/2005/8/layout/hierarchy1"/>
    <dgm:cxn modelId="{34443173-C92A-41D0-9E8A-98A7BC1BEE70}" type="presParOf" srcId="{1D594DBA-7FB8-4164-999A-FA9E63D28550}" destId="{E76D2D81-FF88-4E24-ABAA-CBD90BB0D040}" srcOrd="4" destOrd="0" presId="urn:microsoft.com/office/officeart/2005/8/layout/hierarchy1"/>
    <dgm:cxn modelId="{AE7F2F78-A3DA-4167-89D2-987930885246}" type="presParOf" srcId="{1D594DBA-7FB8-4164-999A-FA9E63D28550}" destId="{192F0FE6-C79F-4713-999F-242AC8EE30D1}" srcOrd="5" destOrd="0" presId="urn:microsoft.com/office/officeart/2005/8/layout/hierarchy1"/>
    <dgm:cxn modelId="{E7C9ADFA-70F8-4AF1-806A-48475867637D}" type="presParOf" srcId="{192F0FE6-C79F-4713-999F-242AC8EE30D1}" destId="{7D7BCBE7-64F9-47DD-8A83-540A8AD7FB64}" srcOrd="0" destOrd="0" presId="urn:microsoft.com/office/officeart/2005/8/layout/hierarchy1"/>
    <dgm:cxn modelId="{D1BF7F3D-863A-4861-928A-5C08A9914249}" type="presParOf" srcId="{7D7BCBE7-64F9-47DD-8A83-540A8AD7FB64}" destId="{E726D2CB-426B-4B57-BEFE-03AC2FD45058}" srcOrd="0" destOrd="0" presId="urn:microsoft.com/office/officeart/2005/8/layout/hierarchy1"/>
    <dgm:cxn modelId="{5FCA36B8-4D6B-4C8C-8020-81AD10C9887A}" type="presParOf" srcId="{7D7BCBE7-64F9-47DD-8A83-540A8AD7FB64}" destId="{71C6CF7E-BE10-4C5C-9F13-DBE17BDE0FAA}" srcOrd="1" destOrd="0" presId="urn:microsoft.com/office/officeart/2005/8/layout/hierarchy1"/>
    <dgm:cxn modelId="{02080C8F-B9D1-4902-808F-9C22DEA3FE7C}" type="presParOf" srcId="{192F0FE6-C79F-4713-999F-242AC8EE30D1}" destId="{B61EE5EF-2E44-4170-ACAF-2CBBE884E95F}" srcOrd="1" destOrd="0" presId="urn:microsoft.com/office/officeart/2005/8/layout/hierarchy1"/>
    <dgm:cxn modelId="{D8C64708-B3F0-457B-8774-4550625D1E3B}" type="presParOf" srcId="{1D594DBA-7FB8-4164-999A-FA9E63D28550}" destId="{98BBFCED-C8E5-4F97-87AD-7C1E77833058}" srcOrd="6" destOrd="0" presId="urn:microsoft.com/office/officeart/2005/8/layout/hierarchy1"/>
    <dgm:cxn modelId="{3103673D-8287-4BDE-A9DF-03F41862CE22}" type="presParOf" srcId="{1D594DBA-7FB8-4164-999A-FA9E63D28550}" destId="{8A8ACF67-D8A3-479C-A696-07CE82844934}" srcOrd="7" destOrd="0" presId="urn:microsoft.com/office/officeart/2005/8/layout/hierarchy1"/>
    <dgm:cxn modelId="{DF48C6EE-3B20-43FE-8109-22CCDDD761C6}" type="presParOf" srcId="{8A8ACF67-D8A3-479C-A696-07CE82844934}" destId="{160953B0-1790-4499-B853-EBB79B982FBB}" srcOrd="0" destOrd="0" presId="urn:microsoft.com/office/officeart/2005/8/layout/hierarchy1"/>
    <dgm:cxn modelId="{74192757-C236-4AAF-9DCC-0AAF69164023}" type="presParOf" srcId="{160953B0-1790-4499-B853-EBB79B982FBB}" destId="{9FBE6E31-894F-4A8D-A995-3793189C2058}" srcOrd="0" destOrd="0" presId="urn:microsoft.com/office/officeart/2005/8/layout/hierarchy1"/>
    <dgm:cxn modelId="{0D746E9C-B26B-46B3-9541-99D85C40B590}" type="presParOf" srcId="{160953B0-1790-4499-B853-EBB79B982FBB}" destId="{60022835-B03D-4F51-B084-C53C3C5F3C5F}" srcOrd="1" destOrd="0" presId="urn:microsoft.com/office/officeart/2005/8/layout/hierarchy1"/>
    <dgm:cxn modelId="{66501983-853D-4B7A-ABA1-F02287920C89}" type="presParOf" srcId="{8A8ACF67-D8A3-479C-A696-07CE82844934}" destId="{2545035D-F602-4FDC-9CE4-BAB15331624A}" srcOrd="1" destOrd="0" presId="urn:microsoft.com/office/officeart/2005/8/layout/hierarchy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638658B-6705-4460-844F-D619AF7E2B24}" type="doc">
      <dgm:prSet loTypeId="urn:microsoft.com/office/officeart/2005/8/layout/hierarchy1" loCatId="hierarchy" qsTypeId="urn:microsoft.com/office/officeart/2005/8/quickstyle/simple1" qsCatId="simple" csTypeId="urn:microsoft.com/office/officeart/2005/8/colors/colorful1" csCatId="colorful" phldr="1"/>
      <dgm:spPr/>
      <dgm:t>
        <a:bodyPr/>
        <a:lstStyle/>
        <a:p>
          <a:endParaRPr lang="ro-RO"/>
        </a:p>
      </dgm:t>
    </dgm:pt>
    <dgm:pt modelId="{A0B71AEC-B7AB-477E-BC0A-E9AC47D35701}">
      <dgm:prSet phldrT="[Text]"/>
      <dgm:spPr/>
      <dgm:t>
        <a:bodyPr/>
        <a:lstStyle/>
        <a:p>
          <a:pPr>
            <a:buNone/>
          </a:pPr>
          <a:r>
            <a:rPr lang="en-US"/>
            <a:t>Composed jurisdictions</a:t>
          </a:r>
          <a:endParaRPr lang="ro-RO"/>
        </a:p>
      </dgm:t>
    </dgm:pt>
    <dgm:pt modelId="{32E17F91-1737-40A9-9BB2-A37D9C9E15E3}" type="parTrans" cxnId="{89A4829B-2089-442F-B760-024EF8AD8267}">
      <dgm:prSet/>
      <dgm:spPr/>
      <dgm:t>
        <a:bodyPr/>
        <a:lstStyle/>
        <a:p>
          <a:endParaRPr lang="ro-RO"/>
        </a:p>
      </dgm:t>
    </dgm:pt>
    <dgm:pt modelId="{0F3DE5C0-4AD4-4AE1-AB5B-2F99095BC749}" type="sibTrans" cxnId="{89A4829B-2089-442F-B760-024EF8AD8267}">
      <dgm:prSet/>
      <dgm:spPr/>
      <dgm:t>
        <a:bodyPr/>
        <a:lstStyle/>
        <a:p>
          <a:endParaRPr lang="ro-RO"/>
        </a:p>
      </dgm:t>
    </dgm:pt>
    <dgm:pt modelId="{B0FEF7B5-F1C1-47BC-A03A-138A9504FDD6}">
      <dgm:prSet phldrT="[Text]"/>
      <dgm:spPr/>
      <dgm:t>
        <a:bodyPr/>
        <a:lstStyle/>
        <a:p>
          <a:r>
            <a:rPr lang="en-US"/>
            <a:t>DE</a:t>
          </a:r>
          <a:endParaRPr lang="ro-RO"/>
        </a:p>
      </dgm:t>
    </dgm:pt>
    <dgm:pt modelId="{E4D5A858-86E6-404E-8FC9-6B9D05A01F73}" type="parTrans" cxnId="{1E7C9406-04F1-4322-9665-A7621BA2E7B6}">
      <dgm:prSet/>
      <dgm:spPr/>
      <dgm:t>
        <a:bodyPr/>
        <a:lstStyle/>
        <a:p>
          <a:endParaRPr lang="ro-RO"/>
        </a:p>
      </dgm:t>
    </dgm:pt>
    <dgm:pt modelId="{F7596F82-5ECD-45F2-AEEE-D7934D6C2184}" type="sibTrans" cxnId="{1E7C9406-04F1-4322-9665-A7621BA2E7B6}">
      <dgm:prSet/>
      <dgm:spPr/>
      <dgm:t>
        <a:bodyPr/>
        <a:lstStyle/>
        <a:p>
          <a:endParaRPr lang="ro-RO"/>
        </a:p>
      </dgm:t>
    </dgm:pt>
    <dgm:pt modelId="{5FC3D3BB-2E2F-4254-A2BE-26D3C8F3A2CD}">
      <dgm:prSet phldrT="[Text]"/>
      <dgm:spPr/>
      <dgm:t>
        <a:bodyPr/>
        <a:lstStyle/>
        <a:p>
          <a:r>
            <a:rPr lang="en-US"/>
            <a:t>FR</a:t>
          </a:r>
          <a:endParaRPr lang="ro-RO"/>
        </a:p>
      </dgm:t>
    </dgm:pt>
    <dgm:pt modelId="{877A1A7A-C497-4660-B184-4B662CD80A9E}" type="parTrans" cxnId="{47689DEF-34A4-44B8-BD97-941FC95174AB}">
      <dgm:prSet/>
      <dgm:spPr/>
      <dgm:t>
        <a:bodyPr/>
        <a:lstStyle/>
        <a:p>
          <a:endParaRPr lang="ro-RO"/>
        </a:p>
      </dgm:t>
    </dgm:pt>
    <dgm:pt modelId="{8D247621-10FB-4ADE-B3DF-25C343E28717}" type="sibTrans" cxnId="{47689DEF-34A4-44B8-BD97-941FC95174AB}">
      <dgm:prSet/>
      <dgm:spPr/>
      <dgm:t>
        <a:bodyPr/>
        <a:lstStyle/>
        <a:p>
          <a:endParaRPr lang="ro-RO"/>
        </a:p>
      </dgm:t>
    </dgm:pt>
    <dgm:pt modelId="{02208A80-218D-44D5-97BD-4C044D98C6A8}">
      <dgm:prSet phldrT="[Text]"/>
      <dgm:spPr/>
      <dgm:t>
        <a:bodyPr/>
        <a:lstStyle/>
        <a:p>
          <a:r>
            <a:rPr lang="en-US"/>
            <a:t>RO</a:t>
          </a:r>
          <a:endParaRPr lang="ro-RO"/>
        </a:p>
      </dgm:t>
    </dgm:pt>
    <dgm:pt modelId="{7C674074-B70A-4416-97CD-6D95EDA3802A}" type="parTrans" cxnId="{87C0BE6C-E177-419F-A38A-AF5DDC95FA4B}">
      <dgm:prSet/>
      <dgm:spPr/>
      <dgm:t>
        <a:bodyPr/>
        <a:lstStyle/>
        <a:p>
          <a:endParaRPr lang="ro-RO"/>
        </a:p>
      </dgm:t>
    </dgm:pt>
    <dgm:pt modelId="{B96F1E6E-6EAE-454F-A137-2632C00FBD41}" type="sibTrans" cxnId="{87C0BE6C-E177-419F-A38A-AF5DDC95FA4B}">
      <dgm:prSet/>
      <dgm:spPr/>
      <dgm:t>
        <a:bodyPr/>
        <a:lstStyle/>
        <a:p>
          <a:endParaRPr lang="ro-RO"/>
        </a:p>
      </dgm:t>
    </dgm:pt>
    <dgm:pt modelId="{3879B39E-9520-4B19-92D4-1890DE747BA8}">
      <dgm:prSet phldrT="[Text]"/>
      <dgm:spPr/>
      <dgm:t>
        <a:bodyPr/>
        <a:lstStyle/>
        <a:p>
          <a:r>
            <a:rPr lang="en-US"/>
            <a:t>RU</a:t>
          </a:r>
          <a:endParaRPr lang="ro-RO"/>
        </a:p>
      </dgm:t>
    </dgm:pt>
    <dgm:pt modelId="{CED8D1EE-C15C-4BE0-904B-5D4A165E9501}" type="parTrans" cxnId="{72438197-43A2-43CE-B71F-1E53C7E71A62}">
      <dgm:prSet/>
      <dgm:spPr/>
      <dgm:t>
        <a:bodyPr/>
        <a:lstStyle/>
        <a:p>
          <a:endParaRPr lang="ro-RO"/>
        </a:p>
      </dgm:t>
    </dgm:pt>
    <dgm:pt modelId="{E4C19B34-DD9C-4F8F-98B4-B595B868BCD7}" type="sibTrans" cxnId="{72438197-43A2-43CE-B71F-1E53C7E71A62}">
      <dgm:prSet/>
      <dgm:spPr/>
      <dgm:t>
        <a:bodyPr/>
        <a:lstStyle/>
        <a:p>
          <a:endParaRPr lang="ro-RO"/>
        </a:p>
      </dgm:t>
    </dgm:pt>
    <dgm:pt modelId="{39A964F5-8C82-450E-94F0-3D525A2DA7E1}">
      <dgm:prSet phldrT="[Text]"/>
      <dgm:spPr/>
      <dgm:t>
        <a:bodyPr/>
        <a:lstStyle/>
        <a:p>
          <a:r>
            <a:rPr lang="en-US"/>
            <a:t>... +80 others</a:t>
          </a:r>
          <a:endParaRPr lang="ro-RO"/>
        </a:p>
      </dgm:t>
    </dgm:pt>
    <dgm:pt modelId="{1B4E7ABB-6AC7-48B5-B2E7-19319ED6777F}" type="parTrans" cxnId="{A0D8846C-F708-4791-8C19-C1E56D748E82}">
      <dgm:prSet/>
      <dgm:spPr/>
      <dgm:t>
        <a:bodyPr/>
        <a:lstStyle/>
        <a:p>
          <a:endParaRPr lang="ro-RO"/>
        </a:p>
      </dgm:t>
    </dgm:pt>
    <dgm:pt modelId="{7F36F952-A379-474A-93A6-3779466640D3}" type="sibTrans" cxnId="{A0D8846C-F708-4791-8C19-C1E56D748E82}">
      <dgm:prSet/>
      <dgm:spPr/>
      <dgm:t>
        <a:bodyPr/>
        <a:lstStyle/>
        <a:p>
          <a:endParaRPr lang="ro-RO"/>
        </a:p>
      </dgm:t>
    </dgm:pt>
    <dgm:pt modelId="{B0B188E4-35F1-423B-B947-3475BB145995}">
      <dgm:prSet phldrT="[Text]"/>
      <dgm:spPr/>
      <dgm:t>
        <a:bodyPr/>
        <a:lstStyle/>
        <a:p>
          <a:r>
            <a:rPr lang="en-US"/>
            <a:t>Standalone jurisdictions</a:t>
          </a:r>
          <a:endParaRPr lang="ro-RO"/>
        </a:p>
      </dgm:t>
    </dgm:pt>
    <dgm:pt modelId="{A7AA8B55-D68C-4CCE-895D-CE7E980FAEF1}" type="parTrans" cxnId="{BF74349C-4CA5-45CB-A03A-022042CB40C9}">
      <dgm:prSet/>
      <dgm:spPr/>
      <dgm:t>
        <a:bodyPr/>
        <a:lstStyle/>
        <a:p>
          <a:endParaRPr lang="ro-RO"/>
        </a:p>
      </dgm:t>
    </dgm:pt>
    <dgm:pt modelId="{40BA6F70-EE2B-4B8E-BA4E-58F3B43C5277}" type="sibTrans" cxnId="{BF74349C-4CA5-45CB-A03A-022042CB40C9}">
      <dgm:prSet/>
      <dgm:spPr/>
      <dgm:t>
        <a:bodyPr/>
        <a:lstStyle/>
        <a:p>
          <a:endParaRPr lang="ro-RO"/>
        </a:p>
      </dgm:t>
    </dgm:pt>
    <dgm:pt modelId="{51121BB1-4BA0-4F02-B075-FCF0211203FE}">
      <dgm:prSet phldrT="[Text]"/>
      <dgm:spPr/>
      <dgm:t>
        <a:bodyPr/>
        <a:lstStyle/>
        <a:p>
          <a:r>
            <a:rPr lang="en-US"/>
            <a:t>US</a:t>
          </a:r>
          <a:endParaRPr lang="ro-RO"/>
        </a:p>
      </dgm:t>
    </dgm:pt>
    <dgm:pt modelId="{6E3FEF07-E3AB-4012-BB0F-303466A83B23}" type="parTrans" cxnId="{999C4500-B79E-4572-A817-C91B9138BF03}">
      <dgm:prSet/>
      <dgm:spPr/>
      <dgm:t>
        <a:bodyPr/>
        <a:lstStyle/>
        <a:p>
          <a:endParaRPr lang="ro-RO"/>
        </a:p>
      </dgm:t>
    </dgm:pt>
    <dgm:pt modelId="{7C159EAF-04A2-423F-83EC-906A1FA43C70}" type="sibTrans" cxnId="{999C4500-B79E-4572-A817-C91B9138BF03}">
      <dgm:prSet/>
      <dgm:spPr/>
      <dgm:t>
        <a:bodyPr/>
        <a:lstStyle/>
        <a:p>
          <a:endParaRPr lang="ro-RO"/>
        </a:p>
      </dgm:t>
    </dgm:pt>
    <dgm:pt modelId="{0A4CDBBC-5BB2-4789-A2B9-D77D9DD1DDA6}">
      <dgm:prSet phldrT="[Text]"/>
      <dgm:spPr/>
      <dgm:t>
        <a:bodyPr/>
        <a:lstStyle/>
        <a:p>
          <a:r>
            <a:rPr lang="en-US"/>
            <a:t>JP</a:t>
          </a:r>
          <a:endParaRPr lang="ro-RO"/>
        </a:p>
      </dgm:t>
    </dgm:pt>
    <dgm:pt modelId="{672FEFD6-842B-44C2-BB3F-D82FBB2BD026}" type="parTrans" cxnId="{938B1ACA-7CD8-4C84-B776-CB48A5BE8FA9}">
      <dgm:prSet/>
      <dgm:spPr/>
      <dgm:t>
        <a:bodyPr/>
        <a:lstStyle/>
        <a:p>
          <a:endParaRPr lang="ro-RO"/>
        </a:p>
      </dgm:t>
    </dgm:pt>
    <dgm:pt modelId="{65AC737F-0AE6-4460-B1F0-58A0795612AE}" type="sibTrans" cxnId="{938B1ACA-7CD8-4C84-B776-CB48A5BE8FA9}">
      <dgm:prSet/>
      <dgm:spPr/>
      <dgm:t>
        <a:bodyPr/>
        <a:lstStyle/>
        <a:p>
          <a:endParaRPr lang="ro-RO"/>
        </a:p>
      </dgm:t>
    </dgm:pt>
    <dgm:pt modelId="{B0011A78-2EC6-45BF-AA12-2E63F53A3D00}">
      <dgm:prSet phldrT="[Text]"/>
      <dgm:spPr/>
      <dgm:t>
        <a:bodyPr/>
        <a:lstStyle/>
        <a:p>
          <a:r>
            <a:rPr lang="en-US"/>
            <a:t>CN</a:t>
          </a:r>
          <a:endParaRPr lang="ro-RO"/>
        </a:p>
      </dgm:t>
    </dgm:pt>
    <dgm:pt modelId="{F364B376-A956-4667-9327-7F191508B5A2}" type="parTrans" cxnId="{30CABC6C-4BC8-424A-A35C-92F44C3C3DA9}">
      <dgm:prSet/>
      <dgm:spPr/>
      <dgm:t>
        <a:bodyPr/>
        <a:lstStyle/>
        <a:p>
          <a:endParaRPr lang="ro-RO"/>
        </a:p>
      </dgm:t>
    </dgm:pt>
    <dgm:pt modelId="{693B8598-2C10-4438-946C-5FEAD1C7906F}" type="sibTrans" cxnId="{30CABC6C-4BC8-424A-A35C-92F44C3C3DA9}">
      <dgm:prSet/>
      <dgm:spPr/>
      <dgm:t>
        <a:bodyPr/>
        <a:lstStyle/>
        <a:p>
          <a:endParaRPr lang="ro-RO"/>
        </a:p>
      </dgm:t>
    </dgm:pt>
    <dgm:pt modelId="{04A85EFC-E162-49B5-A64E-8FA4B14F48F4}">
      <dgm:prSet phldrT="[Text]"/>
      <dgm:spPr/>
      <dgm:t>
        <a:bodyPr/>
        <a:lstStyle/>
        <a:p>
          <a:r>
            <a:rPr lang="en-US"/>
            <a:t>KR</a:t>
          </a:r>
          <a:endParaRPr lang="ro-RO"/>
        </a:p>
      </dgm:t>
    </dgm:pt>
    <dgm:pt modelId="{BD7C64BE-010E-4080-8F36-3941429380B6}" type="parTrans" cxnId="{B3BB7DAC-F098-40CA-92B1-0D0FA439A9D2}">
      <dgm:prSet/>
      <dgm:spPr/>
      <dgm:t>
        <a:bodyPr/>
        <a:lstStyle/>
        <a:p>
          <a:endParaRPr lang="ro-RO"/>
        </a:p>
      </dgm:t>
    </dgm:pt>
    <dgm:pt modelId="{CA1A5D60-AED7-4ECA-BECB-333E0A6B0C40}" type="sibTrans" cxnId="{B3BB7DAC-F098-40CA-92B1-0D0FA439A9D2}">
      <dgm:prSet/>
      <dgm:spPr/>
      <dgm:t>
        <a:bodyPr/>
        <a:lstStyle/>
        <a:p>
          <a:endParaRPr lang="ro-RO"/>
        </a:p>
      </dgm:t>
    </dgm:pt>
    <dgm:pt modelId="{89C6F7B3-BAD8-4913-8C6E-C6C603A4EEBE}">
      <dgm:prSet phldrT="[Text]"/>
      <dgm:spPr/>
      <dgm:t>
        <a:bodyPr/>
        <a:lstStyle/>
        <a:p>
          <a:r>
            <a:rPr lang="en-US"/>
            <a:t>... +30 others</a:t>
          </a:r>
          <a:endParaRPr lang="ro-RO"/>
        </a:p>
      </dgm:t>
    </dgm:pt>
    <dgm:pt modelId="{019DC3C1-533C-45E4-AABA-734138C677DB}" type="parTrans" cxnId="{678740D7-68D0-4D78-91CE-5235FB0EE422}">
      <dgm:prSet/>
      <dgm:spPr/>
      <dgm:t>
        <a:bodyPr/>
        <a:lstStyle/>
        <a:p>
          <a:endParaRPr lang="ro-RO"/>
        </a:p>
      </dgm:t>
    </dgm:pt>
    <dgm:pt modelId="{7F3866E3-6031-4C07-9789-8957AEBA5998}" type="sibTrans" cxnId="{678740D7-68D0-4D78-91CE-5235FB0EE422}">
      <dgm:prSet/>
      <dgm:spPr/>
      <dgm:t>
        <a:bodyPr/>
        <a:lstStyle/>
        <a:p>
          <a:endParaRPr lang="ro-RO"/>
        </a:p>
      </dgm:t>
    </dgm:pt>
    <dgm:pt modelId="{7132B58D-797A-4636-8461-9C8BC2B58394}" type="pres">
      <dgm:prSet presAssocID="{D638658B-6705-4460-844F-D619AF7E2B24}" presName="hierChild1" presStyleCnt="0">
        <dgm:presLayoutVars>
          <dgm:chPref val="1"/>
          <dgm:dir/>
          <dgm:animOne val="branch"/>
          <dgm:animLvl val="lvl"/>
          <dgm:resizeHandles/>
        </dgm:presLayoutVars>
      </dgm:prSet>
      <dgm:spPr/>
    </dgm:pt>
    <dgm:pt modelId="{DC9648BA-106A-4026-A2F2-6223C492B3C6}" type="pres">
      <dgm:prSet presAssocID="{A0B71AEC-B7AB-477E-BC0A-E9AC47D35701}" presName="hierRoot1" presStyleCnt="0"/>
      <dgm:spPr/>
    </dgm:pt>
    <dgm:pt modelId="{556C186A-1B0F-4637-BE76-2880AD7227EE}" type="pres">
      <dgm:prSet presAssocID="{A0B71AEC-B7AB-477E-BC0A-E9AC47D35701}" presName="composite" presStyleCnt="0"/>
      <dgm:spPr/>
    </dgm:pt>
    <dgm:pt modelId="{FF4279C1-2019-49C1-8A80-4AE3AA906B3E}" type="pres">
      <dgm:prSet presAssocID="{A0B71AEC-B7AB-477E-BC0A-E9AC47D35701}" presName="background" presStyleLbl="node0" presStyleIdx="0" presStyleCnt="2"/>
      <dgm:spPr/>
    </dgm:pt>
    <dgm:pt modelId="{E0CB718A-025B-478E-99CE-A425FA597C19}" type="pres">
      <dgm:prSet presAssocID="{A0B71AEC-B7AB-477E-BC0A-E9AC47D35701}" presName="text" presStyleLbl="fgAcc0" presStyleIdx="0" presStyleCnt="2">
        <dgm:presLayoutVars>
          <dgm:chPref val="3"/>
        </dgm:presLayoutVars>
      </dgm:prSet>
      <dgm:spPr/>
    </dgm:pt>
    <dgm:pt modelId="{1D594DBA-7FB8-4164-999A-FA9E63D28550}" type="pres">
      <dgm:prSet presAssocID="{A0B71AEC-B7AB-477E-BC0A-E9AC47D35701}" presName="hierChild2" presStyleCnt="0"/>
      <dgm:spPr/>
    </dgm:pt>
    <dgm:pt modelId="{5C7AD099-0B20-474A-BAF3-814F7B3AA539}" type="pres">
      <dgm:prSet presAssocID="{E4D5A858-86E6-404E-8FC9-6B9D05A01F73}" presName="Name10" presStyleLbl="parChTrans1D2" presStyleIdx="0" presStyleCnt="10"/>
      <dgm:spPr/>
    </dgm:pt>
    <dgm:pt modelId="{98CF2B8E-24ED-45EA-A655-74A67A700F50}" type="pres">
      <dgm:prSet presAssocID="{B0FEF7B5-F1C1-47BC-A03A-138A9504FDD6}" presName="hierRoot2" presStyleCnt="0"/>
      <dgm:spPr/>
    </dgm:pt>
    <dgm:pt modelId="{FCD6BDB3-64CF-49FA-9A55-AA27D159BE94}" type="pres">
      <dgm:prSet presAssocID="{B0FEF7B5-F1C1-47BC-A03A-138A9504FDD6}" presName="composite2" presStyleCnt="0"/>
      <dgm:spPr/>
    </dgm:pt>
    <dgm:pt modelId="{27857BCD-DBEC-4D5B-90DC-0F6AA5A62B3D}" type="pres">
      <dgm:prSet presAssocID="{B0FEF7B5-F1C1-47BC-A03A-138A9504FDD6}" presName="background2" presStyleLbl="node2" presStyleIdx="0" presStyleCnt="10"/>
      <dgm:spPr/>
    </dgm:pt>
    <dgm:pt modelId="{6B788632-D491-4B86-894E-B0EF0B0030A0}" type="pres">
      <dgm:prSet presAssocID="{B0FEF7B5-F1C1-47BC-A03A-138A9504FDD6}" presName="text2" presStyleLbl="fgAcc2" presStyleIdx="0" presStyleCnt="10">
        <dgm:presLayoutVars>
          <dgm:chPref val="3"/>
        </dgm:presLayoutVars>
      </dgm:prSet>
      <dgm:spPr/>
    </dgm:pt>
    <dgm:pt modelId="{DFCC5A91-E615-4442-8218-7A9C3A4C7D95}" type="pres">
      <dgm:prSet presAssocID="{B0FEF7B5-F1C1-47BC-A03A-138A9504FDD6}" presName="hierChild3" presStyleCnt="0"/>
      <dgm:spPr/>
    </dgm:pt>
    <dgm:pt modelId="{82A5286C-7035-4020-8E13-F6547E10BE42}" type="pres">
      <dgm:prSet presAssocID="{877A1A7A-C497-4660-B184-4B662CD80A9E}" presName="Name10" presStyleLbl="parChTrans1D2" presStyleIdx="1" presStyleCnt="10"/>
      <dgm:spPr/>
    </dgm:pt>
    <dgm:pt modelId="{D8166318-93AB-432D-B62C-97F7CA3DDC77}" type="pres">
      <dgm:prSet presAssocID="{5FC3D3BB-2E2F-4254-A2BE-26D3C8F3A2CD}" presName="hierRoot2" presStyleCnt="0"/>
      <dgm:spPr/>
    </dgm:pt>
    <dgm:pt modelId="{8C8FC95D-7AB4-4C46-97B2-E9DEFFCDE2D1}" type="pres">
      <dgm:prSet presAssocID="{5FC3D3BB-2E2F-4254-A2BE-26D3C8F3A2CD}" presName="composite2" presStyleCnt="0"/>
      <dgm:spPr/>
    </dgm:pt>
    <dgm:pt modelId="{37B8AFDB-E27A-4DA2-AF49-685525508CAF}" type="pres">
      <dgm:prSet presAssocID="{5FC3D3BB-2E2F-4254-A2BE-26D3C8F3A2CD}" presName="background2" presStyleLbl="node2" presStyleIdx="1" presStyleCnt="10"/>
      <dgm:spPr/>
    </dgm:pt>
    <dgm:pt modelId="{8C711C75-93DE-4F71-BBA7-A883FA67A0C3}" type="pres">
      <dgm:prSet presAssocID="{5FC3D3BB-2E2F-4254-A2BE-26D3C8F3A2CD}" presName="text2" presStyleLbl="fgAcc2" presStyleIdx="1" presStyleCnt="10">
        <dgm:presLayoutVars>
          <dgm:chPref val="3"/>
        </dgm:presLayoutVars>
      </dgm:prSet>
      <dgm:spPr/>
    </dgm:pt>
    <dgm:pt modelId="{EE86FF43-416F-493F-A28F-24103483614E}" type="pres">
      <dgm:prSet presAssocID="{5FC3D3BB-2E2F-4254-A2BE-26D3C8F3A2CD}" presName="hierChild3" presStyleCnt="0"/>
      <dgm:spPr/>
    </dgm:pt>
    <dgm:pt modelId="{A1127D81-1B3C-4FF4-862E-8CCA2CC7CB53}" type="pres">
      <dgm:prSet presAssocID="{7C674074-B70A-4416-97CD-6D95EDA3802A}" presName="Name10" presStyleLbl="parChTrans1D2" presStyleIdx="2" presStyleCnt="10"/>
      <dgm:spPr/>
    </dgm:pt>
    <dgm:pt modelId="{1F90326A-25B6-4386-B3D6-70128586390D}" type="pres">
      <dgm:prSet presAssocID="{02208A80-218D-44D5-97BD-4C044D98C6A8}" presName="hierRoot2" presStyleCnt="0"/>
      <dgm:spPr/>
    </dgm:pt>
    <dgm:pt modelId="{A8AE36FA-8B73-4C87-9C24-A38D28DEC292}" type="pres">
      <dgm:prSet presAssocID="{02208A80-218D-44D5-97BD-4C044D98C6A8}" presName="composite2" presStyleCnt="0"/>
      <dgm:spPr/>
    </dgm:pt>
    <dgm:pt modelId="{65D253CF-B107-49C6-A0BE-1D1EE60DC189}" type="pres">
      <dgm:prSet presAssocID="{02208A80-218D-44D5-97BD-4C044D98C6A8}" presName="background2" presStyleLbl="node2" presStyleIdx="2" presStyleCnt="10"/>
      <dgm:spPr/>
    </dgm:pt>
    <dgm:pt modelId="{6E207EEA-00B5-4766-9112-C8F8402FEC68}" type="pres">
      <dgm:prSet presAssocID="{02208A80-218D-44D5-97BD-4C044D98C6A8}" presName="text2" presStyleLbl="fgAcc2" presStyleIdx="2" presStyleCnt="10">
        <dgm:presLayoutVars>
          <dgm:chPref val="3"/>
        </dgm:presLayoutVars>
      </dgm:prSet>
      <dgm:spPr/>
    </dgm:pt>
    <dgm:pt modelId="{1292C75A-C3C1-4AFB-9BA8-167E2CFE43BB}" type="pres">
      <dgm:prSet presAssocID="{02208A80-218D-44D5-97BD-4C044D98C6A8}" presName="hierChild3" presStyleCnt="0"/>
      <dgm:spPr/>
    </dgm:pt>
    <dgm:pt modelId="{BDF4FC52-7606-427C-98AA-0246ADC3C75C}" type="pres">
      <dgm:prSet presAssocID="{CED8D1EE-C15C-4BE0-904B-5D4A165E9501}" presName="Name10" presStyleLbl="parChTrans1D2" presStyleIdx="3" presStyleCnt="10"/>
      <dgm:spPr/>
    </dgm:pt>
    <dgm:pt modelId="{B137D2D4-72DE-4688-B111-26302F07D529}" type="pres">
      <dgm:prSet presAssocID="{3879B39E-9520-4B19-92D4-1890DE747BA8}" presName="hierRoot2" presStyleCnt="0"/>
      <dgm:spPr/>
    </dgm:pt>
    <dgm:pt modelId="{05677C6F-5D62-43FB-83C8-6D52E779964A}" type="pres">
      <dgm:prSet presAssocID="{3879B39E-9520-4B19-92D4-1890DE747BA8}" presName="composite2" presStyleCnt="0"/>
      <dgm:spPr/>
    </dgm:pt>
    <dgm:pt modelId="{C08C9B73-1B4C-45DF-8CDF-66A4E6A5D7A8}" type="pres">
      <dgm:prSet presAssocID="{3879B39E-9520-4B19-92D4-1890DE747BA8}" presName="background2" presStyleLbl="node2" presStyleIdx="3" presStyleCnt="10"/>
      <dgm:spPr/>
    </dgm:pt>
    <dgm:pt modelId="{B37C5B7F-EC16-437A-B344-8AAE401678A0}" type="pres">
      <dgm:prSet presAssocID="{3879B39E-9520-4B19-92D4-1890DE747BA8}" presName="text2" presStyleLbl="fgAcc2" presStyleIdx="3" presStyleCnt="10">
        <dgm:presLayoutVars>
          <dgm:chPref val="3"/>
        </dgm:presLayoutVars>
      </dgm:prSet>
      <dgm:spPr/>
    </dgm:pt>
    <dgm:pt modelId="{D5289879-BBB7-4C2A-87A8-C5A96911720A}" type="pres">
      <dgm:prSet presAssocID="{3879B39E-9520-4B19-92D4-1890DE747BA8}" presName="hierChild3" presStyleCnt="0"/>
      <dgm:spPr/>
    </dgm:pt>
    <dgm:pt modelId="{84352E2B-7ECE-4FCF-B6DB-6C8DB67085DF}" type="pres">
      <dgm:prSet presAssocID="{1B4E7ABB-6AC7-48B5-B2E7-19319ED6777F}" presName="Name10" presStyleLbl="parChTrans1D2" presStyleIdx="4" presStyleCnt="10"/>
      <dgm:spPr/>
    </dgm:pt>
    <dgm:pt modelId="{A65D619F-553C-4954-A085-20F774092718}" type="pres">
      <dgm:prSet presAssocID="{39A964F5-8C82-450E-94F0-3D525A2DA7E1}" presName="hierRoot2" presStyleCnt="0"/>
      <dgm:spPr/>
    </dgm:pt>
    <dgm:pt modelId="{504770E0-364E-4112-B3E8-0979DA91610B}" type="pres">
      <dgm:prSet presAssocID="{39A964F5-8C82-450E-94F0-3D525A2DA7E1}" presName="composite2" presStyleCnt="0"/>
      <dgm:spPr/>
    </dgm:pt>
    <dgm:pt modelId="{E9057711-916D-4418-95A7-C850BCA2B7A3}" type="pres">
      <dgm:prSet presAssocID="{39A964F5-8C82-450E-94F0-3D525A2DA7E1}" presName="background2" presStyleLbl="node2" presStyleIdx="4" presStyleCnt="10"/>
      <dgm:spPr/>
    </dgm:pt>
    <dgm:pt modelId="{45AD4701-4CA5-4FC2-BD6E-EA083F93E99F}" type="pres">
      <dgm:prSet presAssocID="{39A964F5-8C82-450E-94F0-3D525A2DA7E1}" presName="text2" presStyleLbl="fgAcc2" presStyleIdx="4" presStyleCnt="10">
        <dgm:presLayoutVars>
          <dgm:chPref val="3"/>
        </dgm:presLayoutVars>
      </dgm:prSet>
      <dgm:spPr/>
    </dgm:pt>
    <dgm:pt modelId="{A4F5B9D1-58B5-4682-9749-2CA63DDFF9BC}" type="pres">
      <dgm:prSet presAssocID="{39A964F5-8C82-450E-94F0-3D525A2DA7E1}" presName="hierChild3" presStyleCnt="0"/>
      <dgm:spPr/>
    </dgm:pt>
    <dgm:pt modelId="{7090B55C-79C2-4F20-B5E4-332BC80B6076}" type="pres">
      <dgm:prSet presAssocID="{B0B188E4-35F1-423B-B947-3475BB145995}" presName="hierRoot1" presStyleCnt="0"/>
      <dgm:spPr/>
    </dgm:pt>
    <dgm:pt modelId="{D5A3C693-34AE-41AF-A825-FF3F33367906}" type="pres">
      <dgm:prSet presAssocID="{B0B188E4-35F1-423B-B947-3475BB145995}" presName="composite" presStyleCnt="0"/>
      <dgm:spPr/>
    </dgm:pt>
    <dgm:pt modelId="{3007B737-7FD1-49F8-825C-CE4C3CBA8A8A}" type="pres">
      <dgm:prSet presAssocID="{B0B188E4-35F1-423B-B947-3475BB145995}" presName="background" presStyleLbl="node0" presStyleIdx="1" presStyleCnt="2"/>
      <dgm:spPr/>
    </dgm:pt>
    <dgm:pt modelId="{FCB1282F-BBBE-40D3-8584-F978F1365840}" type="pres">
      <dgm:prSet presAssocID="{B0B188E4-35F1-423B-B947-3475BB145995}" presName="text" presStyleLbl="fgAcc0" presStyleIdx="1" presStyleCnt="2">
        <dgm:presLayoutVars>
          <dgm:chPref val="3"/>
        </dgm:presLayoutVars>
      </dgm:prSet>
      <dgm:spPr/>
    </dgm:pt>
    <dgm:pt modelId="{F81891B7-50DF-4B58-BFE2-A22FC4C5109B}" type="pres">
      <dgm:prSet presAssocID="{B0B188E4-35F1-423B-B947-3475BB145995}" presName="hierChild2" presStyleCnt="0"/>
      <dgm:spPr/>
    </dgm:pt>
    <dgm:pt modelId="{AE935BF4-7BA9-4FFB-8267-422774B55B4D}" type="pres">
      <dgm:prSet presAssocID="{6E3FEF07-E3AB-4012-BB0F-303466A83B23}" presName="Name10" presStyleLbl="parChTrans1D2" presStyleIdx="5" presStyleCnt="10"/>
      <dgm:spPr/>
    </dgm:pt>
    <dgm:pt modelId="{372BEBA8-FB77-4E28-8A4D-001A4F4B5C08}" type="pres">
      <dgm:prSet presAssocID="{51121BB1-4BA0-4F02-B075-FCF0211203FE}" presName="hierRoot2" presStyleCnt="0"/>
      <dgm:spPr/>
    </dgm:pt>
    <dgm:pt modelId="{E0E828A3-11C3-49BC-A123-157F88E45D9D}" type="pres">
      <dgm:prSet presAssocID="{51121BB1-4BA0-4F02-B075-FCF0211203FE}" presName="composite2" presStyleCnt="0"/>
      <dgm:spPr/>
    </dgm:pt>
    <dgm:pt modelId="{1E6EF6B0-F36C-4516-8099-9B35050CC7C8}" type="pres">
      <dgm:prSet presAssocID="{51121BB1-4BA0-4F02-B075-FCF0211203FE}" presName="background2" presStyleLbl="node2" presStyleIdx="5" presStyleCnt="10"/>
      <dgm:spPr/>
    </dgm:pt>
    <dgm:pt modelId="{7B10D921-5950-4740-9FBA-A3A7A6F8F9AA}" type="pres">
      <dgm:prSet presAssocID="{51121BB1-4BA0-4F02-B075-FCF0211203FE}" presName="text2" presStyleLbl="fgAcc2" presStyleIdx="5" presStyleCnt="10">
        <dgm:presLayoutVars>
          <dgm:chPref val="3"/>
        </dgm:presLayoutVars>
      </dgm:prSet>
      <dgm:spPr/>
    </dgm:pt>
    <dgm:pt modelId="{D8F148AC-1846-46D3-91DD-B82A080C9633}" type="pres">
      <dgm:prSet presAssocID="{51121BB1-4BA0-4F02-B075-FCF0211203FE}" presName="hierChild3" presStyleCnt="0"/>
      <dgm:spPr/>
    </dgm:pt>
    <dgm:pt modelId="{EB2037A6-B0F6-4C68-86AE-51376AEB5BCC}" type="pres">
      <dgm:prSet presAssocID="{672FEFD6-842B-44C2-BB3F-D82FBB2BD026}" presName="Name10" presStyleLbl="parChTrans1D2" presStyleIdx="6" presStyleCnt="10"/>
      <dgm:spPr/>
    </dgm:pt>
    <dgm:pt modelId="{B3FFB67C-1DFB-46FD-B95D-56E6DC28E19F}" type="pres">
      <dgm:prSet presAssocID="{0A4CDBBC-5BB2-4789-A2B9-D77D9DD1DDA6}" presName="hierRoot2" presStyleCnt="0"/>
      <dgm:spPr/>
    </dgm:pt>
    <dgm:pt modelId="{4120CB93-9379-4F0F-BA12-B03A2A3B1D46}" type="pres">
      <dgm:prSet presAssocID="{0A4CDBBC-5BB2-4789-A2B9-D77D9DD1DDA6}" presName="composite2" presStyleCnt="0"/>
      <dgm:spPr/>
    </dgm:pt>
    <dgm:pt modelId="{5CE25BD2-D6FA-4C5E-826F-0F402EFA0081}" type="pres">
      <dgm:prSet presAssocID="{0A4CDBBC-5BB2-4789-A2B9-D77D9DD1DDA6}" presName="background2" presStyleLbl="node2" presStyleIdx="6" presStyleCnt="10"/>
      <dgm:spPr/>
    </dgm:pt>
    <dgm:pt modelId="{3213356D-09BA-4634-B5E7-8B67B0D8BCB6}" type="pres">
      <dgm:prSet presAssocID="{0A4CDBBC-5BB2-4789-A2B9-D77D9DD1DDA6}" presName="text2" presStyleLbl="fgAcc2" presStyleIdx="6" presStyleCnt="10">
        <dgm:presLayoutVars>
          <dgm:chPref val="3"/>
        </dgm:presLayoutVars>
      </dgm:prSet>
      <dgm:spPr/>
    </dgm:pt>
    <dgm:pt modelId="{EDF1A351-CB6D-47A7-B279-51E61EDC47DF}" type="pres">
      <dgm:prSet presAssocID="{0A4CDBBC-5BB2-4789-A2B9-D77D9DD1DDA6}" presName="hierChild3" presStyleCnt="0"/>
      <dgm:spPr/>
    </dgm:pt>
    <dgm:pt modelId="{2FF69145-2061-41DA-867C-B10B254472E9}" type="pres">
      <dgm:prSet presAssocID="{F364B376-A956-4667-9327-7F191508B5A2}" presName="Name10" presStyleLbl="parChTrans1D2" presStyleIdx="7" presStyleCnt="10"/>
      <dgm:spPr/>
    </dgm:pt>
    <dgm:pt modelId="{F5CE14D5-08E6-44BB-A453-40CB894A77E8}" type="pres">
      <dgm:prSet presAssocID="{B0011A78-2EC6-45BF-AA12-2E63F53A3D00}" presName="hierRoot2" presStyleCnt="0"/>
      <dgm:spPr/>
    </dgm:pt>
    <dgm:pt modelId="{D38576F4-7820-4A44-BC6E-C5CB59395A09}" type="pres">
      <dgm:prSet presAssocID="{B0011A78-2EC6-45BF-AA12-2E63F53A3D00}" presName="composite2" presStyleCnt="0"/>
      <dgm:spPr/>
    </dgm:pt>
    <dgm:pt modelId="{2DCBF2A7-3121-4F32-BFA3-F506CA9445B3}" type="pres">
      <dgm:prSet presAssocID="{B0011A78-2EC6-45BF-AA12-2E63F53A3D00}" presName="background2" presStyleLbl="node2" presStyleIdx="7" presStyleCnt="10"/>
      <dgm:spPr/>
    </dgm:pt>
    <dgm:pt modelId="{6A30382B-A7CD-4C12-9431-905B220C9126}" type="pres">
      <dgm:prSet presAssocID="{B0011A78-2EC6-45BF-AA12-2E63F53A3D00}" presName="text2" presStyleLbl="fgAcc2" presStyleIdx="7" presStyleCnt="10">
        <dgm:presLayoutVars>
          <dgm:chPref val="3"/>
        </dgm:presLayoutVars>
      </dgm:prSet>
      <dgm:spPr/>
    </dgm:pt>
    <dgm:pt modelId="{2907AB5F-4FCF-44D5-BA22-992187055F06}" type="pres">
      <dgm:prSet presAssocID="{B0011A78-2EC6-45BF-AA12-2E63F53A3D00}" presName="hierChild3" presStyleCnt="0"/>
      <dgm:spPr/>
    </dgm:pt>
    <dgm:pt modelId="{9DE93249-292C-4BC8-AFE3-91CCF3B278C8}" type="pres">
      <dgm:prSet presAssocID="{BD7C64BE-010E-4080-8F36-3941429380B6}" presName="Name10" presStyleLbl="parChTrans1D2" presStyleIdx="8" presStyleCnt="10"/>
      <dgm:spPr/>
    </dgm:pt>
    <dgm:pt modelId="{009DA8C7-B8BB-4A28-9C98-6BDC1363616C}" type="pres">
      <dgm:prSet presAssocID="{04A85EFC-E162-49B5-A64E-8FA4B14F48F4}" presName="hierRoot2" presStyleCnt="0"/>
      <dgm:spPr/>
    </dgm:pt>
    <dgm:pt modelId="{804CBFF9-AA08-4CE5-B1E4-E1E0975C7655}" type="pres">
      <dgm:prSet presAssocID="{04A85EFC-E162-49B5-A64E-8FA4B14F48F4}" presName="composite2" presStyleCnt="0"/>
      <dgm:spPr/>
    </dgm:pt>
    <dgm:pt modelId="{61C118A6-C5B5-46EE-8201-71924792BB49}" type="pres">
      <dgm:prSet presAssocID="{04A85EFC-E162-49B5-A64E-8FA4B14F48F4}" presName="background2" presStyleLbl="node2" presStyleIdx="8" presStyleCnt="10"/>
      <dgm:spPr/>
    </dgm:pt>
    <dgm:pt modelId="{9A9E4C6D-DF8F-44BD-BF40-6B4F5C8C90D7}" type="pres">
      <dgm:prSet presAssocID="{04A85EFC-E162-49B5-A64E-8FA4B14F48F4}" presName="text2" presStyleLbl="fgAcc2" presStyleIdx="8" presStyleCnt="10">
        <dgm:presLayoutVars>
          <dgm:chPref val="3"/>
        </dgm:presLayoutVars>
      </dgm:prSet>
      <dgm:spPr/>
    </dgm:pt>
    <dgm:pt modelId="{46EEC33F-9509-483B-9152-B89A8A4C8ED6}" type="pres">
      <dgm:prSet presAssocID="{04A85EFC-E162-49B5-A64E-8FA4B14F48F4}" presName="hierChild3" presStyleCnt="0"/>
      <dgm:spPr/>
    </dgm:pt>
    <dgm:pt modelId="{833FCDE7-95D1-4ED2-BC27-9DBA434FF78B}" type="pres">
      <dgm:prSet presAssocID="{019DC3C1-533C-45E4-AABA-734138C677DB}" presName="Name10" presStyleLbl="parChTrans1D2" presStyleIdx="9" presStyleCnt="10"/>
      <dgm:spPr/>
    </dgm:pt>
    <dgm:pt modelId="{65AE61EB-12C8-4013-83A7-3582E2CD12A0}" type="pres">
      <dgm:prSet presAssocID="{89C6F7B3-BAD8-4913-8C6E-C6C603A4EEBE}" presName="hierRoot2" presStyleCnt="0"/>
      <dgm:spPr/>
    </dgm:pt>
    <dgm:pt modelId="{E9626FCE-2B81-4786-A6E7-8547D13CB9C9}" type="pres">
      <dgm:prSet presAssocID="{89C6F7B3-BAD8-4913-8C6E-C6C603A4EEBE}" presName="composite2" presStyleCnt="0"/>
      <dgm:spPr/>
    </dgm:pt>
    <dgm:pt modelId="{EF7EF9E4-9C15-4DEB-8C16-7C2839C73D5D}" type="pres">
      <dgm:prSet presAssocID="{89C6F7B3-BAD8-4913-8C6E-C6C603A4EEBE}" presName="background2" presStyleLbl="node2" presStyleIdx="9" presStyleCnt="10"/>
      <dgm:spPr/>
    </dgm:pt>
    <dgm:pt modelId="{319248ED-300B-4FA8-A75F-0677C8AAB07E}" type="pres">
      <dgm:prSet presAssocID="{89C6F7B3-BAD8-4913-8C6E-C6C603A4EEBE}" presName="text2" presStyleLbl="fgAcc2" presStyleIdx="9" presStyleCnt="10">
        <dgm:presLayoutVars>
          <dgm:chPref val="3"/>
        </dgm:presLayoutVars>
      </dgm:prSet>
      <dgm:spPr/>
    </dgm:pt>
    <dgm:pt modelId="{8D0EF72F-1884-4FF1-A858-1D4293A54DDC}" type="pres">
      <dgm:prSet presAssocID="{89C6F7B3-BAD8-4913-8C6E-C6C603A4EEBE}" presName="hierChild3" presStyleCnt="0"/>
      <dgm:spPr/>
    </dgm:pt>
  </dgm:ptLst>
  <dgm:cxnLst>
    <dgm:cxn modelId="{999C4500-B79E-4572-A817-C91B9138BF03}" srcId="{B0B188E4-35F1-423B-B947-3475BB145995}" destId="{51121BB1-4BA0-4F02-B075-FCF0211203FE}" srcOrd="0" destOrd="0" parTransId="{6E3FEF07-E3AB-4012-BB0F-303466A83B23}" sibTransId="{7C159EAF-04A2-423F-83EC-906A1FA43C70}"/>
    <dgm:cxn modelId="{1E7C9406-04F1-4322-9665-A7621BA2E7B6}" srcId="{A0B71AEC-B7AB-477E-BC0A-E9AC47D35701}" destId="{B0FEF7B5-F1C1-47BC-A03A-138A9504FDD6}" srcOrd="0" destOrd="0" parTransId="{E4D5A858-86E6-404E-8FC9-6B9D05A01F73}" sibTransId="{F7596F82-5ECD-45F2-AEEE-D7934D6C2184}"/>
    <dgm:cxn modelId="{210CFD0A-0ECC-452A-9619-4981212F24FC}" type="presOf" srcId="{B0011A78-2EC6-45BF-AA12-2E63F53A3D00}" destId="{6A30382B-A7CD-4C12-9431-905B220C9126}" srcOrd="0" destOrd="0" presId="urn:microsoft.com/office/officeart/2005/8/layout/hierarchy1"/>
    <dgm:cxn modelId="{DF820918-D117-4418-862E-7FC9E93B42D3}" type="presOf" srcId="{019DC3C1-533C-45E4-AABA-734138C677DB}" destId="{833FCDE7-95D1-4ED2-BC27-9DBA434FF78B}" srcOrd="0" destOrd="0" presId="urn:microsoft.com/office/officeart/2005/8/layout/hierarchy1"/>
    <dgm:cxn modelId="{251A9525-AB5B-4675-B9DF-404D03AC5AC8}" type="presOf" srcId="{1B4E7ABB-6AC7-48B5-B2E7-19319ED6777F}" destId="{84352E2B-7ECE-4FCF-B6DB-6C8DB67085DF}" srcOrd="0" destOrd="0" presId="urn:microsoft.com/office/officeart/2005/8/layout/hierarchy1"/>
    <dgm:cxn modelId="{B193F626-D98D-4F9E-A20F-D4850CEE0118}" type="presOf" srcId="{A0B71AEC-B7AB-477E-BC0A-E9AC47D35701}" destId="{E0CB718A-025B-478E-99CE-A425FA597C19}" srcOrd="0" destOrd="0" presId="urn:microsoft.com/office/officeart/2005/8/layout/hierarchy1"/>
    <dgm:cxn modelId="{26C89137-A18B-4D1F-BEBF-9BC46C6D5E0B}" type="presOf" srcId="{02208A80-218D-44D5-97BD-4C044D98C6A8}" destId="{6E207EEA-00B5-4766-9112-C8F8402FEC68}" srcOrd="0" destOrd="0" presId="urn:microsoft.com/office/officeart/2005/8/layout/hierarchy1"/>
    <dgm:cxn modelId="{B06F5860-67A8-4417-AE82-27986E06622F}" type="presOf" srcId="{D638658B-6705-4460-844F-D619AF7E2B24}" destId="{7132B58D-797A-4636-8461-9C8BC2B58394}" srcOrd="0" destOrd="0" presId="urn:microsoft.com/office/officeart/2005/8/layout/hierarchy1"/>
    <dgm:cxn modelId="{50D2A245-45ED-4DC9-A9CD-D94DB580C743}" type="presOf" srcId="{04A85EFC-E162-49B5-A64E-8FA4B14F48F4}" destId="{9A9E4C6D-DF8F-44BD-BF40-6B4F5C8C90D7}" srcOrd="0" destOrd="0" presId="urn:microsoft.com/office/officeart/2005/8/layout/hierarchy1"/>
    <dgm:cxn modelId="{67EB0668-A23C-4029-9168-AA9F28C3132D}" type="presOf" srcId="{3879B39E-9520-4B19-92D4-1890DE747BA8}" destId="{B37C5B7F-EC16-437A-B344-8AAE401678A0}" srcOrd="0" destOrd="0" presId="urn:microsoft.com/office/officeart/2005/8/layout/hierarchy1"/>
    <dgm:cxn modelId="{71AE856A-2517-41A9-B401-8D000D6A1730}" type="presOf" srcId="{7C674074-B70A-4416-97CD-6D95EDA3802A}" destId="{A1127D81-1B3C-4FF4-862E-8CCA2CC7CB53}" srcOrd="0" destOrd="0" presId="urn:microsoft.com/office/officeart/2005/8/layout/hierarchy1"/>
    <dgm:cxn modelId="{A0D8846C-F708-4791-8C19-C1E56D748E82}" srcId="{A0B71AEC-B7AB-477E-BC0A-E9AC47D35701}" destId="{39A964F5-8C82-450E-94F0-3D525A2DA7E1}" srcOrd="4" destOrd="0" parTransId="{1B4E7ABB-6AC7-48B5-B2E7-19319ED6777F}" sibTransId="{7F36F952-A379-474A-93A6-3779466640D3}"/>
    <dgm:cxn modelId="{30CABC6C-4BC8-424A-A35C-92F44C3C3DA9}" srcId="{B0B188E4-35F1-423B-B947-3475BB145995}" destId="{B0011A78-2EC6-45BF-AA12-2E63F53A3D00}" srcOrd="2" destOrd="0" parTransId="{F364B376-A956-4667-9327-7F191508B5A2}" sibTransId="{693B8598-2C10-4438-946C-5FEAD1C7906F}"/>
    <dgm:cxn modelId="{87C0BE6C-E177-419F-A38A-AF5DDC95FA4B}" srcId="{A0B71AEC-B7AB-477E-BC0A-E9AC47D35701}" destId="{02208A80-218D-44D5-97BD-4C044D98C6A8}" srcOrd="2" destOrd="0" parTransId="{7C674074-B70A-4416-97CD-6D95EDA3802A}" sibTransId="{B96F1E6E-6EAE-454F-A137-2632C00FBD41}"/>
    <dgm:cxn modelId="{2DAC1B4E-BE71-4307-B9F0-20FF62671572}" type="presOf" srcId="{51121BB1-4BA0-4F02-B075-FCF0211203FE}" destId="{7B10D921-5950-4740-9FBA-A3A7A6F8F9AA}" srcOrd="0" destOrd="0" presId="urn:microsoft.com/office/officeart/2005/8/layout/hierarchy1"/>
    <dgm:cxn modelId="{8AB7DE4F-71D5-4258-B4D6-4BC54ED5052B}" type="presOf" srcId="{E4D5A858-86E6-404E-8FC9-6B9D05A01F73}" destId="{5C7AD099-0B20-474A-BAF3-814F7B3AA539}" srcOrd="0" destOrd="0" presId="urn:microsoft.com/office/officeart/2005/8/layout/hierarchy1"/>
    <dgm:cxn modelId="{4E4D7070-D5B7-457A-8F87-7C984FC95327}" type="presOf" srcId="{B0B188E4-35F1-423B-B947-3475BB145995}" destId="{FCB1282F-BBBE-40D3-8584-F978F1365840}" srcOrd="0" destOrd="0" presId="urn:microsoft.com/office/officeart/2005/8/layout/hierarchy1"/>
    <dgm:cxn modelId="{F071ED50-D4EF-474E-A109-FDB4A86C23C0}" type="presOf" srcId="{5FC3D3BB-2E2F-4254-A2BE-26D3C8F3A2CD}" destId="{8C711C75-93DE-4F71-BBA7-A883FA67A0C3}" srcOrd="0" destOrd="0" presId="urn:microsoft.com/office/officeart/2005/8/layout/hierarchy1"/>
    <dgm:cxn modelId="{0B15D97A-AC57-4424-86B5-30D1E30A5F18}" type="presOf" srcId="{0A4CDBBC-5BB2-4789-A2B9-D77D9DD1DDA6}" destId="{3213356D-09BA-4634-B5E7-8B67B0D8BCB6}" srcOrd="0" destOrd="0" presId="urn:microsoft.com/office/officeart/2005/8/layout/hierarchy1"/>
    <dgm:cxn modelId="{DFAB107B-8A67-4A19-90F5-9DE2DD48A861}" type="presOf" srcId="{89C6F7B3-BAD8-4913-8C6E-C6C603A4EEBE}" destId="{319248ED-300B-4FA8-A75F-0677C8AAB07E}" srcOrd="0" destOrd="0" presId="urn:microsoft.com/office/officeart/2005/8/layout/hierarchy1"/>
    <dgm:cxn modelId="{72438197-43A2-43CE-B71F-1E53C7E71A62}" srcId="{A0B71AEC-B7AB-477E-BC0A-E9AC47D35701}" destId="{3879B39E-9520-4B19-92D4-1890DE747BA8}" srcOrd="3" destOrd="0" parTransId="{CED8D1EE-C15C-4BE0-904B-5D4A165E9501}" sibTransId="{E4C19B34-DD9C-4F8F-98B4-B595B868BCD7}"/>
    <dgm:cxn modelId="{6B0CF19A-2027-4CFF-B9F7-EAB5454FBBFB}" type="presOf" srcId="{672FEFD6-842B-44C2-BB3F-D82FBB2BD026}" destId="{EB2037A6-B0F6-4C68-86AE-51376AEB5BCC}" srcOrd="0" destOrd="0" presId="urn:microsoft.com/office/officeart/2005/8/layout/hierarchy1"/>
    <dgm:cxn modelId="{89A4829B-2089-442F-B760-024EF8AD8267}" srcId="{D638658B-6705-4460-844F-D619AF7E2B24}" destId="{A0B71AEC-B7AB-477E-BC0A-E9AC47D35701}" srcOrd="0" destOrd="0" parTransId="{32E17F91-1737-40A9-9BB2-A37D9C9E15E3}" sibTransId="{0F3DE5C0-4AD4-4AE1-AB5B-2F99095BC749}"/>
    <dgm:cxn modelId="{BF74349C-4CA5-45CB-A03A-022042CB40C9}" srcId="{D638658B-6705-4460-844F-D619AF7E2B24}" destId="{B0B188E4-35F1-423B-B947-3475BB145995}" srcOrd="1" destOrd="0" parTransId="{A7AA8B55-D68C-4CCE-895D-CE7E980FAEF1}" sibTransId="{40BA6F70-EE2B-4B8E-BA4E-58F3B43C5277}"/>
    <dgm:cxn modelId="{F70692A7-4034-4C38-A2EB-3090FD729D8D}" type="presOf" srcId="{39A964F5-8C82-450E-94F0-3D525A2DA7E1}" destId="{45AD4701-4CA5-4FC2-BD6E-EA083F93E99F}" srcOrd="0" destOrd="0" presId="urn:microsoft.com/office/officeart/2005/8/layout/hierarchy1"/>
    <dgm:cxn modelId="{B3BB7DAC-F098-40CA-92B1-0D0FA439A9D2}" srcId="{B0B188E4-35F1-423B-B947-3475BB145995}" destId="{04A85EFC-E162-49B5-A64E-8FA4B14F48F4}" srcOrd="3" destOrd="0" parTransId="{BD7C64BE-010E-4080-8F36-3941429380B6}" sibTransId="{CA1A5D60-AED7-4ECA-BECB-333E0A6B0C40}"/>
    <dgm:cxn modelId="{938B1ACA-7CD8-4C84-B776-CB48A5BE8FA9}" srcId="{B0B188E4-35F1-423B-B947-3475BB145995}" destId="{0A4CDBBC-5BB2-4789-A2B9-D77D9DD1DDA6}" srcOrd="1" destOrd="0" parTransId="{672FEFD6-842B-44C2-BB3F-D82FBB2BD026}" sibTransId="{65AC737F-0AE6-4460-B1F0-58A0795612AE}"/>
    <dgm:cxn modelId="{27DAB9D2-DF94-40CC-B7BD-2B95C731CB9C}" type="presOf" srcId="{BD7C64BE-010E-4080-8F36-3941429380B6}" destId="{9DE93249-292C-4BC8-AFE3-91CCF3B278C8}" srcOrd="0" destOrd="0" presId="urn:microsoft.com/office/officeart/2005/8/layout/hierarchy1"/>
    <dgm:cxn modelId="{678740D7-68D0-4D78-91CE-5235FB0EE422}" srcId="{B0B188E4-35F1-423B-B947-3475BB145995}" destId="{89C6F7B3-BAD8-4913-8C6E-C6C603A4EEBE}" srcOrd="4" destOrd="0" parTransId="{019DC3C1-533C-45E4-AABA-734138C677DB}" sibTransId="{7F3866E3-6031-4C07-9789-8957AEBA5998}"/>
    <dgm:cxn modelId="{C37301E2-56AE-40A4-840A-A30A815B0FAF}" type="presOf" srcId="{F364B376-A956-4667-9327-7F191508B5A2}" destId="{2FF69145-2061-41DA-867C-B10B254472E9}" srcOrd="0" destOrd="0" presId="urn:microsoft.com/office/officeart/2005/8/layout/hierarchy1"/>
    <dgm:cxn modelId="{47689DEF-34A4-44B8-BD97-941FC95174AB}" srcId="{A0B71AEC-B7AB-477E-BC0A-E9AC47D35701}" destId="{5FC3D3BB-2E2F-4254-A2BE-26D3C8F3A2CD}" srcOrd="1" destOrd="0" parTransId="{877A1A7A-C497-4660-B184-4B662CD80A9E}" sibTransId="{8D247621-10FB-4ADE-B3DF-25C343E28717}"/>
    <dgm:cxn modelId="{F33E79F8-E3D7-4141-8051-2042F5B0B572}" type="presOf" srcId="{877A1A7A-C497-4660-B184-4B662CD80A9E}" destId="{82A5286C-7035-4020-8E13-F6547E10BE42}" srcOrd="0" destOrd="0" presId="urn:microsoft.com/office/officeart/2005/8/layout/hierarchy1"/>
    <dgm:cxn modelId="{B56254FA-2AEA-4B5A-928B-3049F40CFB71}" type="presOf" srcId="{B0FEF7B5-F1C1-47BC-A03A-138A9504FDD6}" destId="{6B788632-D491-4B86-894E-B0EF0B0030A0}" srcOrd="0" destOrd="0" presId="urn:microsoft.com/office/officeart/2005/8/layout/hierarchy1"/>
    <dgm:cxn modelId="{DD37BCFC-1AC7-48BB-9AD7-1DE3FE746690}" type="presOf" srcId="{6E3FEF07-E3AB-4012-BB0F-303466A83B23}" destId="{AE935BF4-7BA9-4FFB-8267-422774B55B4D}" srcOrd="0" destOrd="0" presId="urn:microsoft.com/office/officeart/2005/8/layout/hierarchy1"/>
    <dgm:cxn modelId="{1D7344FF-8E27-4674-80DB-336DF4752C5D}" type="presOf" srcId="{CED8D1EE-C15C-4BE0-904B-5D4A165E9501}" destId="{BDF4FC52-7606-427C-98AA-0246ADC3C75C}" srcOrd="0" destOrd="0" presId="urn:microsoft.com/office/officeart/2005/8/layout/hierarchy1"/>
    <dgm:cxn modelId="{389BFEF5-B51C-45C6-BB40-4E3FA97E1D92}" type="presParOf" srcId="{7132B58D-797A-4636-8461-9C8BC2B58394}" destId="{DC9648BA-106A-4026-A2F2-6223C492B3C6}" srcOrd="0" destOrd="0" presId="urn:microsoft.com/office/officeart/2005/8/layout/hierarchy1"/>
    <dgm:cxn modelId="{60B7C038-C36C-4B95-B569-F7891F69C58C}" type="presParOf" srcId="{DC9648BA-106A-4026-A2F2-6223C492B3C6}" destId="{556C186A-1B0F-4637-BE76-2880AD7227EE}" srcOrd="0" destOrd="0" presId="urn:microsoft.com/office/officeart/2005/8/layout/hierarchy1"/>
    <dgm:cxn modelId="{03834E2C-8EF0-4504-BF5A-399B8F708E2B}" type="presParOf" srcId="{556C186A-1B0F-4637-BE76-2880AD7227EE}" destId="{FF4279C1-2019-49C1-8A80-4AE3AA906B3E}" srcOrd="0" destOrd="0" presId="urn:microsoft.com/office/officeart/2005/8/layout/hierarchy1"/>
    <dgm:cxn modelId="{81E92AA1-871D-49F3-82A1-EEF856E040BF}" type="presParOf" srcId="{556C186A-1B0F-4637-BE76-2880AD7227EE}" destId="{E0CB718A-025B-478E-99CE-A425FA597C19}" srcOrd="1" destOrd="0" presId="urn:microsoft.com/office/officeart/2005/8/layout/hierarchy1"/>
    <dgm:cxn modelId="{0A126B67-B930-48C3-BB4C-A0E7065A6359}" type="presParOf" srcId="{DC9648BA-106A-4026-A2F2-6223C492B3C6}" destId="{1D594DBA-7FB8-4164-999A-FA9E63D28550}" srcOrd="1" destOrd="0" presId="urn:microsoft.com/office/officeart/2005/8/layout/hierarchy1"/>
    <dgm:cxn modelId="{F72F1A99-461A-4084-8ADB-0A4C4D2EA54D}" type="presParOf" srcId="{1D594DBA-7FB8-4164-999A-FA9E63D28550}" destId="{5C7AD099-0B20-474A-BAF3-814F7B3AA539}" srcOrd="0" destOrd="0" presId="urn:microsoft.com/office/officeart/2005/8/layout/hierarchy1"/>
    <dgm:cxn modelId="{612D450C-3AC8-4B47-A958-3F8710022D58}" type="presParOf" srcId="{1D594DBA-7FB8-4164-999A-FA9E63D28550}" destId="{98CF2B8E-24ED-45EA-A655-74A67A700F50}" srcOrd="1" destOrd="0" presId="urn:microsoft.com/office/officeart/2005/8/layout/hierarchy1"/>
    <dgm:cxn modelId="{ED112648-EEB4-4ED2-9155-2D2849FD74E3}" type="presParOf" srcId="{98CF2B8E-24ED-45EA-A655-74A67A700F50}" destId="{FCD6BDB3-64CF-49FA-9A55-AA27D159BE94}" srcOrd="0" destOrd="0" presId="urn:microsoft.com/office/officeart/2005/8/layout/hierarchy1"/>
    <dgm:cxn modelId="{55367EB9-A4CC-4E9E-9D36-D9410557AB24}" type="presParOf" srcId="{FCD6BDB3-64CF-49FA-9A55-AA27D159BE94}" destId="{27857BCD-DBEC-4D5B-90DC-0F6AA5A62B3D}" srcOrd="0" destOrd="0" presId="urn:microsoft.com/office/officeart/2005/8/layout/hierarchy1"/>
    <dgm:cxn modelId="{6E474456-FB40-413B-948F-15466AB54381}" type="presParOf" srcId="{FCD6BDB3-64CF-49FA-9A55-AA27D159BE94}" destId="{6B788632-D491-4B86-894E-B0EF0B0030A0}" srcOrd="1" destOrd="0" presId="urn:microsoft.com/office/officeart/2005/8/layout/hierarchy1"/>
    <dgm:cxn modelId="{47D80427-001B-43F3-BA97-B5404DF96ED5}" type="presParOf" srcId="{98CF2B8E-24ED-45EA-A655-74A67A700F50}" destId="{DFCC5A91-E615-4442-8218-7A9C3A4C7D95}" srcOrd="1" destOrd="0" presId="urn:microsoft.com/office/officeart/2005/8/layout/hierarchy1"/>
    <dgm:cxn modelId="{2E47E71C-3208-45B9-8970-03238EEA4455}" type="presParOf" srcId="{1D594DBA-7FB8-4164-999A-FA9E63D28550}" destId="{82A5286C-7035-4020-8E13-F6547E10BE42}" srcOrd="2" destOrd="0" presId="urn:microsoft.com/office/officeart/2005/8/layout/hierarchy1"/>
    <dgm:cxn modelId="{B70926D5-13E8-485C-9DFA-FB2B265B0758}" type="presParOf" srcId="{1D594DBA-7FB8-4164-999A-FA9E63D28550}" destId="{D8166318-93AB-432D-B62C-97F7CA3DDC77}" srcOrd="3" destOrd="0" presId="urn:microsoft.com/office/officeart/2005/8/layout/hierarchy1"/>
    <dgm:cxn modelId="{B9379EA5-BFE2-4F97-B3FF-11940AA4818F}" type="presParOf" srcId="{D8166318-93AB-432D-B62C-97F7CA3DDC77}" destId="{8C8FC95D-7AB4-4C46-97B2-E9DEFFCDE2D1}" srcOrd="0" destOrd="0" presId="urn:microsoft.com/office/officeart/2005/8/layout/hierarchy1"/>
    <dgm:cxn modelId="{4A67F998-2EB6-4971-B001-243D614B330C}" type="presParOf" srcId="{8C8FC95D-7AB4-4C46-97B2-E9DEFFCDE2D1}" destId="{37B8AFDB-E27A-4DA2-AF49-685525508CAF}" srcOrd="0" destOrd="0" presId="urn:microsoft.com/office/officeart/2005/8/layout/hierarchy1"/>
    <dgm:cxn modelId="{6758F846-C667-4B42-BA68-276775B93D90}" type="presParOf" srcId="{8C8FC95D-7AB4-4C46-97B2-E9DEFFCDE2D1}" destId="{8C711C75-93DE-4F71-BBA7-A883FA67A0C3}" srcOrd="1" destOrd="0" presId="urn:microsoft.com/office/officeart/2005/8/layout/hierarchy1"/>
    <dgm:cxn modelId="{AF8C16C0-B237-4002-9018-05A36494657B}" type="presParOf" srcId="{D8166318-93AB-432D-B62C-97F7CA3DDC77}" destId="{EE86FF43-416F-493F-A28F-24103483614E}" srcOrd="1" destOrd="0" presId="urn:microsoft.com/office/officeart/2005/8/layout/hierarchy1"/>
    <dgm:cxn modelId="{FFAAC836-7F3A-43BA-B616-A752E45F77E1}" type="presParOf" srcId="{1D594DBA-7FB8-4164-999A-FA9E63D28550}" destId="{A1127D81-1B3C-4FF4-862E-8CCA2CC7CB53}" srcOrd="4" destOrd="0" presId="urn:microsoft.com/office/officeart/2005/8/layout/hierarchy1"/>
    <dgm:cxn modelId="{080B8FCF-A004-490C-9519-3FDC3FBD38AC}" type="presParOf" srcId="{1D594DBA-7FB8-4164-999A-FA9E63D28550}" destId="{1F90326A-25B6-4386-B3D6-70128586390D}" srcOrd="5" destOrd="0" presId="urn:microsoft.com/office/officeart/2005/8/layout/hierarchy1"/>
    <dgm:cxn modelId="{C833D3D4-7A3B-473C-8090-E6B79AAB7494}" type="presParOf" srcId="{1F90326A-25B6-4386-B3D6-70128586390D}" destId="{A8AE36FA-8B73-4C87-9C24-A38D28DEC292}" srcOrd="0" destOrd="0" presId="urn:microsoft.com/office/officeart/2005/8/layout/hierarchy1"/>
    <dgm:cxn modelId="{8FCA8C50-EE20-4930-8958-C4109E843529}" type="presParOf" srcId="{A8AE36FA-8B73-4C87-9C24-A38D28DEC292}" destId="{65D253CF-B107-49C6-A0BE-1D1EE60DC189}" srcOrd="0" destOrd="0" presId="urn:microsoft.com/office/officeart/2005/8/layout/hierarchy1"/>
    <dgm:cxn modelId="{830D6D9C-A4D5-403F-9EF7-236F435387C8}" type="presParOf" srcId="{A8AE36FA-8B73-4C87-9C24-A38D28DEC292}" destId="{6E207EEA-00B5-4766-9112-C8F8402FEC68}" srcOrd="1" destOrd="0" presId="urn:microsoft.com/office/officeart/2005/8/layout/hierarchy1"/>
    <dgm:cxn modelId="{D24A6534-8B78-4ABF-81A9-6A7949868C72}" type="presParOf" srcId="{1F90326A-25B6-4386-B3D6-70128586390D}" destId="{1292C75A-C3C1-4AFB-9BA8-167E2CFE43BB}" srcOrd="1" destOrd="0" presId="urn:microsoft.com/office/officeart/2005/8/layout/hierarchy1"/>
    <dgm:cxn modelId="{411D77AD-F4E4-49B0-BF3E-5CA4421414A6}" type="presParOf" srcId="{1D594DBA-7FB8-4164-999A-FA9E63D28550}" destId="{BDF4FC52-7606-427C-98AA-0246ADC3C75C}" srcOrd="6" destOrd="0" presId="urn:microsoft.com/office/officeart/2005/8/layout/hierarchy1"/>
    <dgm:cxn modelId="{C149CC76-4E95-49BA-A592-F6D5761600A9}" type="presParOf" srcId="{1D594DBA-7FB8-4164-999A-FA9E63D28550}" destId="{B137D2D4-72DE-4688-B111-26302F07D529}" srcOrd="7" destOrd="0" presId="urn:microsoft.com/office/officeart/2005/8/layout/hierarchy1"/>
    <dgm:cxn modelId="{FF2ABD75-1C4A-4CC2-98FE-32369D5A77A4}" type="presParOf" srcId="{B137D2D4-72DE-4688-B111-26302F07D529}" destId="{05677C6F-5D62-43FB-83C8-6D52E779964A}" srcOrd="0" destOrd="0" presId="urn:microsoft.com/office/officeart/2005/8/layout/hierarchy1"/>
    <dgm:cxn modelId="{A1679C48-C8B8-49E0-95DE-7561045273A3}" type="presParOf" srcId="{05677C6F-5D62-43FB-83C8-6D52E779964A}" destId="{C08C9B73-1B4C-45DF-8CDF-66A4E6A5D7A8}" srcOrd="0" destOrd="0" presId="urn:microsoft.com/office/officeart/2005/8/layout/hierarchy1"/>
    <dgm:cxn modelId="{8539F03B-3C53-44D7-A6E7-DCC353BF09BB}" type="presParOf" srcId="{05677C6F-5D62-43FB-83C8-6D52E779964A}" destId="{B37C5B7F-EC16-437A-B344-8AAE401678A0}" srcOrd="1" destOrd="0" presId="urn:microsoft.com/office/officeart/2005/8/layout/hierarchy1"/>
    <dgm:cxn modelId="{7F03A0A7-9946-4C00-A3A9-D1CF528D76F4}" type="presParOf" srcId="{B137D2D4-72DE-4688-B111-26302F07D529}" destId="{D5289879-BBB7-4C2A-87A8-C5A96911720A}" srcOrd="1" destOrd="0" presId="urn:microsoft.com/office/officeart/2005/8/layout/hierarchy1"/>
    <dgm:cxn modelId="{674CFFB7-1AEE-447B-A788-1810EF35CE5B}" type="presParOf" srcId="{1D594DBA-7FB8-4164-999A-FA9E63D28550}" destId="{84352E2B-7ECE-4FCF-B6DB-6C8DB67085DF}" srcOrd="8" destOrd="0" presId="urn:microsoft.com/office/officeart/2005/8/layout/hierarchy1"/>
    <dgm:cxn modelId="{4391C49D-D578-438F-A889-DDFB843FEA78}" type="presParOf" srcId="{1D594DBA-7FB8-4164-999A-FA9E63D28550}" destId="{A65D619F-553C-4954-A085-20F774092718}" srcOrd="9" destOrd="0" presId="urn:microsoft.com/office/officeart/2005/8/layout/hierarchy1"/>
    <dgm:cxn modelId="{9CF37114-DD30-42F1-B3BC-68D7601E585A}" type="presParOf" srcId="{A65D619F-553C-4954-A085-20F774092718}" destId="{504770E0-364E-4112-B3E8-0979DA91610B}" srcOrd="0" destOrd="0" presId="urn:microsoft.com/office/officeart/2005/8/layout/hierarchy1"/>
    <dgm:cxn modelId="{AD6937FC-1DA3-4939-8168-5A70621ED496}" type="presParOf" srcId="{504770E0-364E-4112-B3E8-0979DA91610B}" destId="{E9057711-916D-4418-95A7-C850BCA2B7A3}" srcOrd="0" destOrd="0" presId="urn:microsoft.com/office/officeart/2005/8/layout/hierarchy1"/>
    <dgm:cxn modelId="{CA28F9D7-1777-48FC-8E7F-D5EF148DF79B}" type="presParOf" srcId="{504770E0-364E-4112-B3E8-0979DA91610B}" destId="{45AD4701-4CA5-4FC2-BD6E-EA083F93E99F}" srcOrd="1" destOrd="0" presId="urn:microsoft.com/office/officeart/2005/8/layout/hierarchy1"/>
    <dgm:cxn modelId="{8378F172-3E38-473C-AC93-E53D67C1887E}" type="presParOf" srcId="{A65D619F-553C-4954-A085-20F774092718}" destId="{A4F5B9D1-58B5-4682-9749-2CA63DDFF9BC}" srcOrd="1" destOrd="0" presId="urn:microsoft.com/office/officeart/2005/8/layout/hierarchy1"/>
    <dgm:cxn modelId="{B79B6326-CE76-4ECC-BAF6-8E9AEDD38FCB}" type="presParOf" srcId="{7132B58D-797A-4636-8461-9C8BC2B58394}" destId="{7090B55C-79C2-4F20-B5E4-332BC80B6076}" srcOrd="1" destOrd="0" presId="urn:microsoft.com/office/officeart/2005/8/layout/hierarchy1"/>
    <dgm:cxn modelId="{E146F4E4-39BC-4F69-8EF6-B07534D389D5}" type="presParOf" srcId="{7090B55C-79C2-4F20-B5E4-332BC80B6076}" destId="{D5A3C693-34AE-41AF-A825-FF3F33367906}" srcOrd="0" destOrd="0" presId="urn:microsoft.com/office/officeart/2005/8/layout/hierarchy1"/>
    <dgm:cxn modelId="{6D6BC03D-C133-4DB6-B682-BF7580E60E58}" type="presParOf" srcId="{D5A3C693-34AE-41AF-A825-FF3F33367906}" destId="{3007B737-7FD1-49F8-825C-CE4C3CBA8A8A}" srcOrd="0" destOrd="0" presId="urn:microsoft.com/office/officeart/2005/8/layout/hierarchy1"/>
    <dgm:cxn modelId="{13F3410C-2B47-4C6E-8482-7464569CD526}" type="presParOf" srcId="{D5A3C693-34AE-41AF-A825-FF3F33367906}" destId="{FCB1282F-BBBE-40D3-8584-F978F1365840}" srcOrd="1" destOrd="0" presId="urn:microsoft.com/office/officeart/2005/8/layout/hierarchy1"/>
    <dgm:cxn modelId="{D59F06E9-4A7C-4EB3-976E-EA410C89B60C}" type="presParOf" srcId="{7090B55C-79C2-4F20-B5E4-332BC80B6076}" destId="{F81891B7-50DF-4B58-BFE2-A22FC4C5109B}" srcOrd="1" destOrd="0" presId="urn:microsoft.com/office/officeart/2005/8/layout/hierarchy1"/>
    <dgm:cxn modelId="{0FCE868D-A2CE-44D5-A147-271B25E3A879}" type="presParOf" srcId="{F81891B7-50DF-4B58-BFE2-A22FC4C5109B}" destId="{AE935BF4-7BA9-4FFB-8267-422774B55B4D}" srcOrd="0" destOrd="0" presId="urn:microsoft.com/office/officeart/2005/8/layout/hierarchy1"/>
    <dgm:cxn modelId="{CEB50E65-87EB-40CC-838F-52B760FEAD13}" type="presParOf" srcId="{F81891B7-50DF-4B58-BFE2-A22FC4C5109B}" destId="{372BEBA8-FB77-4E28-8A4D-001A4F4B5C08}" srcOrd="1" destOrd="0" presId="urn:microsoft.com/office/officeart/2005/8/layout/hierarchy1"/>
    <dgm:cxn modelId="{EB7F95AE-4C1A-4FD3-9665-94C02611A2F9}" type="presParOf" srcId="{372BEBA8-FB77-4E28-8A4D-001A4F4B5C08}" destId="{E0E828A3-11C3-49BC-A123-157F88E45D9D}" srcOrd="0" destOrd="0" presId="urn:microsoft.com/office/officeart/2005/8/layout/hierarchy1"/>
    <dgm:cxn modelId="{6F4A7CE0-4E14-45F9-B0EE-326308FA7F74}" type="presParOf" srcId="{E0E828A3-11C3-49BC-A123-157F88E45D9D}" destId="{1E6EF6B0-F36C-4516-8099-9B35050CC7C8}" srcOrd="0" destOrd="0" presId="urn:microsoft.com/office/officeart/2005/8/layout/hierarchy1"/>
    <dgm:cxn modelId="{90B5DF50-50D0-4DA5-B9A3-D2FE2F3D9917}" type="presParOf" srcId="{E0E828A3-11C3-49BC-A123-157F88E45D9D}" destId="{7B10D921-5950-4740-9FBA-A3A7A6F8F9AA}" srcOrd="1" destOrd="0" presId="urn:microsoft.com/office/officeart/2005/8/layout/hierarchy1"/>
    <dgm:cxn modelId="{45656D47-8B2E-48CE-8961-708A152C7AAC}" type="presParOf" srcId="{372BEBA8-FB77-4E28-8A4D-001A4F4B5C08}" destId="{D8F148AC-1846-46D3-91DD-B82A080C9633}" srcOrd="1" destOrd="0" presId="urn:microsoft.com/office/officeart/2005/8/layout/hierarchy1"/>
    <dgm:cxn modelId="{CD3198FE-4732-4006-A43C-73BE1EF5DC3F}" type="presParOf" srcId="{F81891B7-50DF-4B58-BFE2-A22FC4C5109B}" destId="{EB2037A6-B0F6-4C68-86AE-51376AEB5BCC}" srcOrd="2" destOrd="0" presId="urn:microsoft.com/office/officeart/2005/8/layout/hierarchy1"/>
    <dgm:cxn modelId="{2C21D16B-D00D-4D5E-A1A7-A71F441EC780}" type="presParOf" srcId="{F81891B7-50DF-4B58-BFE2-A22FC4C5109B}" destId="{B3FFB67C-1DFB-46FD-B95D-56E6DC28E19F}" srcOrd="3" destOrd="0" presId="urn:microsoft.com/office/officeart/2005/8/layout/hierarchy1"/>
    <dgm:cxn modelId="{FF4F90BE-287C-4BD2-9499-4209670F660F}" type="presParOf" srcId="{B3FFB67C-1DFB-46FD-B95D-56E6DC28E19F}" destId="{4120CB93-9379-4F0F-BA12-B03A2A3B1D46}" srcOrd="0" destOrd="0" presId="urn:microsoft.com/office/officeart/2005/8/layout/hierarchy1"/>
    <dgm:cxn modelId="{69EED7A6-DE3A-4201-A385-C2866D8A5909}" type="presParOf" srcId="{4120CB93-9379-4F0F-BA12-B03A2A3B1D46}" destId="{5CE25BD2-D6FA-4C5E-826F-0F402EFA0081}" srcOrd="0" destOrd="0" presId="urn:microsoft.com/office/officeart/2005/8/layout/hierarchy1"/>
    <dgm:cxn modelId="{F5AE2DCB-D3D7-4C62-9BE6-C900C8042429}" type="presParOf" srcId="{4120CB93-9379-4F0F-BA12-B03A2A3B1D46}" destId="{3213356D-09BA-4634-B5E7-8B67B0D8BCB6}" srcOrd="1" destOrd="0" presId="urn:microsoft.com/office/officeart/2005/8/layout/hierarchy1"/>
    <dgm:cxn modelId="{73DA4F5D-74CB-4B8B-9682-1B97D156F6CB}" type="presParOf" srcId="{B3FFB67C-1DFB-46FD-B95D-56E6DC28E19F}" destId="{EDF1A351-CB6D-47A7-B279-51E61EDC47DF}" srcOrd="1" destOrd="0" presId="urn:microsoft.com/office/officeart/2005/8/layout/hierarchy1"/>
    <dgm:cxn modelId="{5C066FC7-D7F8-43E1-BC00-E3A334A222EF}" type="presParOf" srcId="{F81891B7-50DF-4B58-BFE2-A22FC4C5109B}" destId="{2FF69145-2061-41DA-867C-B10B254472E9}" srcOrd="4" destOrd="0" presId="urn:microsoft.com/office/officeart/2005/8/layout/hierarchy1"/>
    <dgm:cxn modelId="{068AD902-43CE-4AA3-9CF6-0F80CC17A704}" type="presParOf" srcId="{F81891B7-50DF-4B58-BFE2-A22FC4C5109B}" destId="{F5CE14D5-08E6-44BB-A453-40CB894A77E8}" srcOrd="5" destOrd="0" presId="urn:microsoft.com/office/officeart/2005/8/layout/hierarchy1"/>
    <dgm:cxn modelId="{295E944A-BD55-40FF-A433-D7F92EFF2400}" type="presParOf" srcId="{F5CE14D5-08E6-44BB-A453-40CB894A77E8}" destId="{D38576F4-7820-4A44-BC6E-C5CB59395A09}" srcOrd="0" destOrd="0" presId="urn:microsoft.com/office/officeart/2005/8/layout/hierarchy1"/>
    <dgm:cxn modelId="{7CEFAB24-B1A0-4504-9FB6-42D641ACA684}" type="presParOf" srcId="{D38576F4-7820-4A44-BC6E-C5CB59395A09}" destId="{2DCBF2A7-3121-4F32-BFA3-F506CA9445B3}" srcOrd="0" destOrd="0" presId="urn:microsoft.com/office/officeart/2005/8/layout/hierarchy1"/>
    <dgm:cxn modelId="{DF716F2B-BF33-47D0-9E88-8B2CB5F49EA0}" type="presParOf" srcId="{D38576F4-7820-4A44-BC6E-C5CB59395A09}" destId="{6A30382B-A7CD-4C12-9431-905B220C9126}" srcOrd="1" destOrd="0" presId="urn:microsoft.com/office/officeart/2005/8/layout/hierarchy1"/>
    <dgm:cxn modelId="{AC0540D8-44AE-479C-838A-18E4AF7F585C}" type="presParOf" srcId="{F5CE14D5-08E6-44BB-A453-40CB894A77E8}" destId="{2907AB5F-4FCF-44D5-BA22-992187055F06}" srcOrd="1" destOrd="0" presId="urn:microsoft.com/office/officeart/2005/8/layout/hierarchy1"/>
    <dgm:cxn modelId="{C411B3D9-FE50-4CAA-AE88-5736B6B175FA}" type="presParOf" srcId="{F81891B7-50DF-4B58-BFE2-A22FC4C5109B}" destId="{9DE93249-292C-4BC8-AFE3-91CCF3B278C8}" srcOrd="6" destOrd="0" presId="urn:microsoft.com/office/officeart/2005/8/layout/hierarchy1"/>
    <dgm:cxn modelId="{E2283FEB-D0F2-4760-80C4-B67E7E5B96B9}" type="presParOf" srcId="{F81891B7-50DF-4B58-BFE2-A22FC4C5109B}" destId="{009DA8C7-B8BB-4A28-9C98-6BDC1363616C}" srcOrd="7" destOrd="0" presId="urn:microsoft.com/office/officeart/2005/8/layout/hierarchy1"/>
    <dgm:cxn modelId="{610A2A9A-86C1-43DD-B0C0-55332EA9565F}" type="presParOf" srcId="{009DA8C7-B8BB-4A28-9C98-6BDC1363616C}" destId="{804CBFF9-AA08-4CE5-B1E4-E1E0975C7655}" srcOrd="0" destOrd="0" presId="urn:microsoft.com/office/officeart/2005/8/layout/hierarchy1"/>
    <dgm:cxn modelId="{5E082338-9DEE-4638-8793-9B312A667163}" type="presParOf" srcId="{804CBFF9-AA08-4CE5-B1E4-E1E0975C7655}" destId="{61C118A6-C5B5-46EE-8201-71924792BB49}" srcOrd="0" destOrd="0" presId="urn:microsoft.com/office/officeart/2005/8/layout/hierarchy1"/>
    <dgm:cxn modelId="{2AF6E6FB-FAAC-4D87-ADCC-FDD921F287E3}" type="presParOf" srcId="{804CBFF9-AA08-4CE5-B1E4-E1E0975C7655}" destId="{9A9E4C6D-DF8F-44BD-BF40-6B4F5C8C90D7}" srcOrd="1" destOrd="0" presId="urn:microsoft.com/office/officeart/2005/8/layout/hierarchy1"/>
    <dgm:cxn modelId="{052EA6EB-0BF9-4A18-896D-3A506BD18E42}" type="presParOf" srcId="{009DA8C7-B8BB-4A28-9C98-6BDC1363616C}" destId="{46EEC33F-9509-483B-9152-B89A8A4C8ED6}" srcOrd="1" destOrd="0" presId="urn:microsoft.com/office/officeart/2005/8/layout/hierarchy1"/>
    <dgm:cxn modelId="{0B75FFCA-9B45-4874-941D-B96E8BD65759}" type="presParOf" srcId="{F81891B7-50DF-4B58-BFE2-A22FC4C5109B}" destId="{833FCDE7-95D1-4ED2-BC27-9DBA434FF78B}" srcOrd="8" destOrd="0" presId="urn:microsoft.com/office/officeart/2005/8/layout/hierarchy1"/>
    <dgm:cxn modelId="{47ED9903-B507-45BF-B2FE-02BD7E7095B9}" type="presParOf" srcId="{F81891B7-50DF-4B58-BFE2-A22FC4C5109B}" destId="{65AE61EB-12C8-4013-83A7-3582E2CD12A0}" srcOrd="9" destOrd="0" presId="urn:microsoft.com/office/officeart/2005/8/layout/hierarchy1"/>
    <dgm:cxn modelId="{8224A5F5-2E30-43C3-90B8-802BF5C694BD}" type="presParOf" srcId="{65AE61EB-12C8-4013-83A7-3582E2CD12A0}" destId="{E9626FCE-2B81-4786-A6E7-8547D13CB9C9}" srcOrd="0" destOrd="0" presId="urn:microsoft.com/office/officeart/2005/8/layout/hierarchy1"/>
    <dgm:cxn modelId="{89206292-D58D-4EAA-9439-8FBFB0D8F409}" type="presParOf" srcId="{E9626FCE-2B81-4786-A6E7-8547D13CB9C9}" destId="{EF7EF9E4-9C15-4DEB-8C16-7C2839C73D5D}" srcOrd="0" destOrd="0" presId="urn:microsoft.com/office/officeart/2005/8/layout/hierarchy1"/>
    <dgm:cxn modelId="{1F5580C4-A488-4546-ACE3-D64BCD140DD3}" type="presParOf" srcId="{E9626FCE-2B81-4786-A6E7-8547D13CB9C9}" destId="{319248ED-300B-4FA8-A75F-0677C8AAB07E}" srcOrd="1" destOrd="0" presId="urn:microsoft.com/office/officeart/2005/8/layout/hierarchy1"/>
    <dgm:cxn modelId="{1C67B516-71D9-4C23-BEB8-10DADB260DD1}" type="presParOf" srcId="{65AE61EB-12C8-4013-83A7-3582E2CD12A0}" destId="{8D0EF72F-1884-4FF1-A858-1D4293A54DDC}" srcOrd="1" destOrd="0" presId="urn:microsoft.com/office/officeart/2005/8/layout/hierarchy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4BA1B26-E71F-4FB2-A5DD-F14C7DCB7FF3}">
      <dsp:nvSpPr>
        <dsp:cNvPr id="0" name=""/>
        <dsp:cNvSpPr/>
      </dsp:nvSpPr>
      <dsp:spPr>
        <a:xfrm>
          <a:off x="66"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VERSION</a:t>
          </a:r>
          <a:r>
            <a:rPr lang="ro-RO" sz="1000" kern="1200"/>
            <a:t> Declaration (optional)</a:t>
          </a:r>
        </a:p>
      </dsp:txBody>
      <dsp:txXfrm>
        <a:off x="66" y="928743"/>
        <a:ext cx="892075" cy="928743"/>
      </dsp:txXfrm>
    </dsp:sp>
    <dsp:sp modelId="{830D70F4-6301-41B1-BD5C-09C51FBF4443}">
      <dsp:nvSpPr>
        <dsp:cNvPr id="0" name=""/>
        <dsp:cNvSpPr/>
      </dsp:nvSpPr>
      <dsp:spPr>
        <a:xfrm>
          <a:off x="59515" y="139311"/>
          <a:ext cx="773179" cy="773179"/>
        </a:xfrm>
        <a:prstGeom prst="ellipse">
          <a:avLst/>
        </a:prstGeom>
        <a:blipFill>
          <a:blip xmlns:r="http://schemas.openxmlformats.org/officeDocument/2006/relationships" r:embed="rId1">
            <a:extLst>
              <a:ext uri="{96DAC541-7B7A-43D3-8B79-37D633B846F1}">
                <asvg:svgBlip xmlns:asvg="http://schemas.microsoft.com/office/drawing/2016/SVG/main" r:embed="rId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F77AB94-60C8-4DBB-9454-FE1EAD168D71}">
      <dsp:nvSpPr>
        <dsp:cNvPr id="0" name=""/>
        <dsp:cNvSpPr/>
      </dsp:nvSpPr>
      <dsp:spPr>
        <a:xfrm>
          <a:off x="918905" y="0"/>
          <a:ext cx="892075" cy="2321859"/>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Group Definitions</a:t>
          </a:r>
          <a:r>
            <a:rPr lang="ro-RO" sz="1000" kern="1200"/>
            <a:t> (optional)</a:t>
          </a:r>
        </a:p>
      </dsp:txBody>
      <dsp:txXfrm>
        <a:off x="918905" y="928743"/>
        <a:ext cx="892075" cy="928743"/>
      </dsp:txXfrm>
    </dsp:sp>
    <dsp:sp modelId="{2AE2D1C0-A645-4744-B068-58E346CB4B00}">
      <dsp:nvSpPr>
        <dsp:cNvPr id="0" name=""/>
        <dsp:cNvSpPr/>
      </dsp:nvSpPr>
      <dsp:spPr>
        <a:xfrm>
          <a:off x="978353" y="139311"/>
          <a:ext cx="773179" cy="773179"/>
        </a:xfrm>
        <a:prstGeom prst="ellipse">
          <a:avLst/>
        </a:prstGeom>
        <a:blipFill>
          <a:blip xmlns:r="http://schemas.openxmlformats.org/officeDocument/2006/relationships" r:embed="rId3">
            <a:extLst>
              <a:ext uri="{96DAC541-7B7A-43D3-8B79-37D633B846F1}">
                <asvg:svgBlip xmlns:asvg="http://schemas.microsoft.com/office/drawing/2016/SVG/main" r:embed="rId4"/>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C4A98B-6472-4E69-895E-7C230EA9161C}">
      <dsp:nvSpPr>
        <dsp:cNvPr id="0" name=""/>
        <dsp:cNvSpPr/>
      </dsp:nvSpPr>
      <dsp:spPr>
        <a:xfrm>
          <a:off x="1837743" y="0"/>
          <a:ext cx="892075" cy="2321859"/>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Inputs</a:t>
          </a:r>
          <a:br>
            <a:rPr lang="ro-RO" sz="1000" kern="1200"/>
          </a:br>
          <a:r>
            <a:rPr lang="ro-RO" sz="600" kern="1200"/>
            <a:t>LIST (single choice)</a:t>
          </a:r>
        </a:p>
        <a:p>
          <a:pPr marL="0" lvl="0" indent="0" algn="ctr" defTabSz="444500">
            <a:lnSpc>
              <a:spcPct val="90000"/>
            </a:lnSpc>
            <a:spcBef>
              <a:spcPct val="0"/>
            </a:spcBef>
            <a:spcAft>
              <a:spcPct val="35000"/>
            </a:spcAft>
            <a:buNone/>
          </a:pPr>
          <a:r>
            <a:rPr lang="ro-RO" sz="600" kern="1200"/>
            <a:t>MULTILIST (multichoice)</a:t>
          </a:r>
        </a:p>
        <a:p>
          <a:pPr marL="0" lvl="0" indent="0" algn="ctr" defTabSz="444500">
            <a:lnSpc>
              <a:spcPct val="90000"/>
            </a:lnSpc>
            <a:spcBef>
              <a:spcPct val="0"/>
            </a:spcBef>
            <a:spcAft>
              <a:spcPct val="35000"/>
            </a:spcAft>
            <a:buNone/>
          </a:pPr>
          <a:r>
            <a:rPr lang="ro-RO" sz="600" kern="1200"/>
            <a:t>NUMBER (constrained)</a:t>
          </a:r>
        </a:p>
        <a:p>
          <a:pPr marL="0" lvl="0" indent="0" algn="ctr" defTabSz="444500">
            <a:lnSpc>
              <a:spcPct val="90000"/>
            </a:lnSpc>
            <a:spcBef>
              <a:spcPct val="0"/>
            </a:spcBef>
            <a:spcAft>
              <a:spcPct val="35000"/>
            </a:spcAft>
            <a:buNone/>
          </a:pPr>
          <a:r>
            <a:rPr lang="ro-RO" sz="600" kern="1200"/>
            <a:t>BOOLEAN(yes/no)</a:t>
          </a:r>
        </a:p>
        <a:p>
          <a:pPr marL="0" lvl="0" indent="0" algn="ctr" defTabSz="444500">
            <a:lnSpc>
              <a:spcPct val="90000"/>
            </a:lnSpc>
            <a:spcBef>
              <a:spcPct val="0"/>
            </a:spcBef>
            <a:spcAft>
              <a:spcPct val="35000"/>
            </a:spcAft>
            <a:buNone/>
          </a:pPr>
          <a:r>
            <a:rPr lang="ro-RO" sz="600" kern="1200"/>
            <a:t>DATE (temporal)</a:t>
          </a:r>
        </a:p>
        <a:p>
          <a:pPr marL="0" lvl="0" indent="0" algn="ctr" defTabSz="444500">
            <a:lnSpc>
              <a:spcPct val="90000"/>
            </a:lnSpc>
            <a:spcBef>
              <a:spcPct val="0"/>
            </a:spcBef>
            <a:spcAft>
              <a:spcPct val="35000"/>
            </a:spcAft>
            <a:buNone/>
          </a:pPr>
          <a:r>
            <a:rPr lang="ro-RO" sz="600" kern="1200"/>
            <a:t>AMOUNT</a:t>
          </a:r>
        </a:p>
      </dsp:txBody>
      <dsp:txXfrm>
        <a:off x="1837743" y="928743"/>
        <a:ext cx="892075" cy="928743"/>
      </dsp:txXfrm>
    </dsp:sp>
    <dsp:sp modelId="{0A80C0DD-4903-4031-9754-FAA63F9E4F0C}">
      <dsp:nvSpPr>
        <dsp:cNvPr id="0" name=""/>
        <dsp:cNvSpPr/>
      </dsp:nvSpPr>
      <dsp:spPr>
        <a:xfrm>
          <a:off x="1897191" y="139311"/>
          <a:ext cx="773179" cy="773179"/>
        </a:xfrm>
        <a:prstGeom prst="ellipse">
          <a:avLst/>
        </a:prstGeom>
        <a:blipFill>
          <a:blip xmlns:r="http://schemas.openxmlformats.org/officeDocument/2006/relationships" r:embed="rId5">
            <a:extLst>
              <a:ext uri="{96DAC541-7B7A-43D3-8B79-37D633B846F1}">
                <asvg:svgBlip xmlns:asvg="http://schemas.microsoft.com/office/drawing/2016/SVG/main" r:embed="rId6"/>
              </a:ext>
            </a:extLst>
          </a:blip>
          <a:srcRect/>
          <a:stretch>
            <a:fillRect t="-2000" b="-2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DD93F6F-E885-4CFA-870E-95F6AFB929C9}">
      <dsp:nvSpPr>
        <dsp:cNvPr id="0" name=""/>
        <dsp:cNvSpPr/>
      </dsp:nvSpPr>
      <dsp:spPr>
        <a:xfrm>
          <a:off x="2756581" y="0"/>
          <a:ext cx="892075" cy="2321859"/>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Fees</a:t>
          </a:r>
        </a:p>
        <a:p>
          <a:pPr marL="0" lvl="0" indent="0" algn="ctr" defTabSz="444500">
            <a:lnSpc>
              <a:spcPct val="90000"/>
            </a:lnSpc>
            <a:spcBef>
              <a:spcPct val="0"/>
            </a:spcBef>
            <a:spcAft>
              <a:spcPct val="35000"/>
            </a:spcAft>
            <a:buNone/>
          </a:pPr>
          <a:r>
            <a:rPr lang="ro-RO" sz="600" kern="1200"/>
            <a:t>COMPUTE FEE name</a:t>
          </a:r>
        </a:p>
        <a:p>
          <a:pPr marL="0" lvl="0" indent="0" algn="ctr" defTabSz="444500">
            <a:lnSpc>
              <a:spcPct val="90000"/>
            </a:lnSpc>
            <a:spcBef>
              <a:spcPct val="0"/>
            </a:spcBef>
            <a:spcAft>
              <a:spcPct val="35000"/>
            </a:spcAft>
            <a:buNone/>
          </a:pPr>
          <a:r>
            <a:rPr lang="ro-RO" sz="600" kern="1200"/>
            <a:t>LET var AS expr</a:t>
          </a:r>
        </a:p>
        <a:p>
          <a:pPr marL="0" lvl="0" indent="0" algn="ctr" defTabSz="444500">
            <a:lnSpc>
              <a:spcPct val="90000"/>
            </a:lnSpc>
            <a:spcBef>
              <a:spcPct val="0"/>
            </a:spcBef>
            <a:spcAft>
              <a:spcPct val="35000"/>
            </a:spcAft>
            <a:buNone/>
          </a:pPr>
          <a:r>
            <a:rPr lang="ro-RO" sz="600" kern="1200"/>
            <a:t>CASE condition AS</a:t>
          </a:r>
        </a:p>
        <a:p>
          <a:pPr marL="0" lvl="0" indent="0" algn="ctr" defTabSz="444500">
            <a:lnSpc>
              <a:spcPct val="90000"/>
            </a:lnSpc>
            <a:spcBef>
              <a:spcPct val="0"/>
            </a:spcBef>
            <a:spcAft>
              <a:spcPct val="35000"/>
            </a:spcAft>
            <a:buNone/>
          </a:pPr>
          <a:r>
            <a:rPr lang="ro-RO" sz="600" kern="1200"/>
            <a:t>YIELD expr</a:t>
          </a:r>
        </a:p>
        <a:p>
          <a:pPr marL="0" lvl="0" indent="0" algn="ctr" defTabSz="444500">
            <a:lnSpc>
              <a:spcPct val="90000"/>
            </a:lnSpc>
            <a:spcBef>
              <a:spcPct val="0"/>
            </a:spcBef>
            <a:spcAft>
              <a:spcPct val="35000"/>
            </a:spcAft>
            <a:buNone/>
          </a:pPr>
          <a:r>
            <a:rPr lang="ro-RO" sz="600" kern="1200"/>
            <a:t>ENDCASE</a:t>
          </a:r>
        </a:p>
        <a:p>
          <a:pPr marL="0" lvl="0" indent="0" algn="ctr" defTabSz="444500">
            <a:lnSpc>
              <a:spcPct val="90000"/>
            </a:lnSpc>
            <a:spcBef>
              <a:spcPct val="0"/>
            </a:spcBef>
            <a:spcAft>
              <a:spcPct val="35000"/>
            </a:spcAft>
            <a:buNone/>
          </a:pPr>
          <a:r>
            <a:rPr lang="ro-RO" sz="600" kern="1200"/>
            <a:t>YEILD expr IF cond</a:t>
          </a:r>
        </a:p>
        <a:p>
          <a:pPr marL="0" lvl="0" indent="0" algn="ctr" defTabSz="444500">
            <a:lnSpc>
              <a:spcPct val="90000"/>
            </a:lnSpc>
            <a:spcBef>
              <a:spcPct val="0"/>
            </a:spcBef>
            <a:spcAft>
              <a:spcPct val="35000"/>
            </a:spcAft>
            <a:buNone/>
          </a:pPr>
          <a:r>
            <a:rPr lang="ro-RO" sz="600" kern="1200"/>
            <a:t>ENDCOMPUTE</a:t>
          </a:r>
        </a:p>
      </dsp:txBody>
      <dsp:txXfrm>
        <a:off x="2756581" y="928743"/>
        <a:ext cx="892075" cy="928743"/>
      </dsp:txXfrm>
    </dsp:sp>
    <dsp:sp modelId="{2F51B1E1-C32E-4FE4-B283-0A0B1D0AF218}">
      <dsp:nvSpPr>
        <dsp:cNvPr id="0" name=""/>
        <dsp:cNvSpPr/>
      </dsp:nvSpPr>
      <dsp:spPr>
        <a:xfrm>
          <a:off x="2816029" y="139311"/>
          <a:ext cx="773179" cy="773179"/>
        </a:xfrm>
        <a:prstGeom prst="ellipse">
          <a:avLst/>
        </a:prstGeom>
        <a:blipFill>
          <a:blip xmlns:r="http://schemas.openxmlformats.org/officeDocument/2006/relationships" r:embed="rId7">
            <a:extLst>
              <a:ext uri="{96DAC541-7B7A-43D3-8B79-37D633B846F1}">
                <asvg:svgBlip xmlns:asvg="http://schemas.microsoft.com/office/drawing/2016/SVG/main" r:embed="rId8"/>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53E5778A-4E3C-4AF3-B93E-A694DBEE44D0}">
      <dsp:nvSpPr>
        <dsp:cNvPr id="0" name=""/>
        <dsp:cNvSpPr/>
      </dsp:nvSpPr>
      <dsp:spPr>
        <a:xfrm>
          <a:off x="3675419" y="0"/>
          <a:ext cx="892075" cy="2321859"/>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66725">
            <a:lnSpc>
              <a:spcPct val="90000"/>
            </a:lnSpc>
            <a:spcBef>
              <a:spcPct val="0"/>
            </a:spcBef>
            <a:spcAft>
              <a:spcPct val="35000"/>
            </a:spcAft>
            <a:buNone/>
          </a:pPr>
          <a:r>
            <a:rPr lang="ro-RO" sz="1050" b="1" kern="1200"/>
            <a:t>Verifiy Directives </a:t>
          </a:r>
          <a:r>
            <a:rPr lang="ro-RO" sz="1050" kern="1200"/>
            <a:t>(optional)</a:t>
          </a:r>
        </a:p>
      </dsp:txBody>
      <dsp:txXfrm>
        <a:off x="3675419" y="928743"/>
        <a:ext cx="892075" cy="928743"/>
      </dsp:txXfrm>
    </dsp:sp>
    <dsp:sp modelId="{4DC2A4AB-D33E-4F6F-9A33-24F11B8C60DC}">
      <dsp:nvSpPr>
        <dsp:cNvPr id="0" name=""/>
        <dsp:cNvSpPr/>
      </dsp:nvSpPr>
      <dsp:spPr>
        <a:xfrm>
          <a:off x="3734867" y="139311"/>
          <a:ext cx="773179" cy="773179"/>
        </a:xfrm>
        <a:prstGeom prst="ellipse">
          <a:avLst/>
        </a:prstGeom>
        <a:blipFill>
          <a:blip xmlns:r="http://schemas.openxmlformats.org/officeDocument/2006/relationships" r:embed="rId9">
            <a:extLst>
              <a:ext uri="{96DAC541-7B7A-43D3-8B79-37D633B846F1}">
                <asvg:svgBlip xmlns:asvg="http://schemas.microsoft.com/office/drawing/2016/SVG/main" r:embed="rId1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A8960FB-908E-47B3-82BA-AFBDEE077E8E}">
      <dsp:nvSpPr>
        <dsp:cNvPr id="0" name=""/>
        <dsp:cNvSpPr/>
      </dsp:nvSpPr>
      <dsp:spPr>
        <a:xfrm>
          <a:off x="4594257" y="0"/>
          <a:ext cx="892075" cy="232185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ro-RO" sz="1000" b="1" kern="1200"/>
            <a:t>RETURN</a:t>
          </a:r>
          <a:r>
            <a:rPr lang="ro-RO" sz="1000" kern="1200"/>
            <a:t> Statements (optional)</a:t>
          </a:r>
        </a:p>
      </dsp:txBody>
      <dsp:txXfrm>
        <a:off x="4594257" y="928743"/>
        <a:ext cx="892075" cy="928743"/>
      </dsp:txXfrm>
    </dsp:sp>
    <dsp:sp modelId="{813D5726-4186-4F1F-B0A9-156B60A6C2D8}">
      <dsp:nvSpPr>
        <dsp:cNvPr id="0" name=""/>
        <dsp:cNvSpPr/>
      </dsp:nvSpPr>
      <dsp:spPr>
        <a:xfrm>
          <a:off x="4653705" y="139311"/>
          <a:ext cx="773179" cy="773179"/>
        </a:xfrm>
        <a:prstGeom prst="ellipse">
          <a:avLst/>
        </a:prstGeom>
        <a:blipFill>
          <a:blip xmlns:r="http://schemas.openxmlformats.org/officeDocument/2006/relationships" r:embed="rId11">
            <a:extLst>
              <a:ext uri="{96DAC541-7B7A-43D3-8B79-37D633B846F1}">
                <asvg:svgBlip xmlns:asvg="http://schemas.microsoft.com/office/drawing/2016/SVG/main" r:embed="rId12"/>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01B6E5A-AE8B-4F01-A639-9101C9B83068}">
      <dsp:nvSpPr>
        <dsp:cNvPr id="0" name=""/>
        <dsp:cNvSpPr/>
      </dsp:nvSpPr>
      <dsp:spPr>
        <a:xfrm>
          <a:off x="219456" y="1857487"/>
          <a:ext cx="5047488" cy="348278"/>
        </a:xfrm>
        <a:prstGeom prst="leftRightArrow">
          <a:avLst/>
        </a:prstGeom>
        <a:solidFill>
          <a:schemeClr val="accent2">
            <a:tint val="4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102CB7-4A90-4D03-A418-1043E7100AD2}">
      <dsp:nvSpPr>
        <dsp:cNvPr id="0" name=""/>
        <dsp:cNvSpPr/>
      </dsp:nvSpPr>
      <dsp:spPr>
        <a:xfrm>
          <a:off x="2224580" y="456403"/>
          <a:ext cx="1955936" cy="155141"/>
        </a:xfrm>
        <a:custGeom>
          <a:avLst/>
          <a:gdLst/>
          <a:ahLst/>
          <a:cxnLst/>
          <a:rect l="0" t="0" r="0" b="0"/>
          <a:pathLst>
            <a:path>
              <a:moveTo>
                <a:pt x="0" y="0"/>
              </a:moveTo>
              <a:lnTo>
                <a:pt x="0" y="105724"/>
              </a:lnTo>
              <a:lnTo>
                <a:pt x="1955936" y="105724"/>
              </a:lnTo>
              <a:lnTo>
                <a:pt x="1955936"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D3FCFDD-0A37-4A87-9B26-3AF872E57BBD}">
      <dsp:nvSpPr>
        <dsp:cNvPr id="0" name=""/>
        <dsp:cNvSpPr/>
      </dsp:nvSpPr>
      <dsp:spPr>
        <a:xfrm>
          <a:off x="3528538" y="950277"/>
          <a:ext cx="1629947" cy="155141"/>
        </a:xfrm>
        <a:custGeom>
          <a:avLst/>
          <a:gdLst/>
          <a:ahLst/>
          <a:cxnLst/>
          <a:rect l="0" t="0" r="0" b="0"/>
          <a:pathLst>
            <a:path>
              <a:moveTo>
                <a:pt x="0" y="0"/>
              </a:moveTo>
              <a:lnTo>
                <a:pt x="0" y="105724"/>
              </a:lnTo>
              <a:lnTo>
                <a:pt x="1629947" y="105724"/>
              </a:lnTo>
              <a:lnTo>
                <a:pt x="1629947"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20CE4A-5424-4776-B10F-C83EDF6D7531}">
      <dsp:nvSpPr>
        <dsp:cNvPr id="0" name=""/>
        <dsp:cNvSpPr/>
      </dsp:nvSpPr>
      <dsp:spPr>
        <a:xfrm>
          <a:off x="3528538" y="950277"/>
          <a:ext cx="977968" cy="155141"/>
        </a:xfrm>
        <a:custGeom>
          <a:avLst/>
          <a:gdLst/>
          <a:ahLst/>
          <a:cxnLst/>
          <a:rect l="0" t="0" r="0" b="0"/>
          <a:pathLst>
            <a:path>
              <a:moveTo>
                <a:pt x="0" y="0"/>
              </a:moveTo>
              <a:lnTo>
                <a:pt x="0" y="105724"/>
              </a:lnTo>
              <a:lnTo>
                <a:pt x="977968" y="105724"/>
              </a:lnTo>
              <a:lnTo>
                <a:pt x="977968"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EC7AD9-6B53-42DC-B7B8-E89993DB1404}">
      <dsp:nvSpPr>
        <dsp:cNvPr id="0" name=""/>
        <dsp:cNvSpPr/>
      </dsp:nvSpPr>
      <dsp:spPr>
        <a:xfrm>
          <a:off x="3528538" y="950277"/>
          <a:ext cx="325989" cy="155141"/>
        </a:xfrm>
        <a:custGeom>
          <a:avLst/>
          <a:gdLst/>
          <a:ahLst/>
          <a:cxnLst/>
          <a:rect l="0" t="0" r="0" b="0"/>
          <a:pathLst>
            <a:path>
              <a:moveTo>
                <a:pt x="0" y="0"/>
              </a:moveTo>
              <a:lnTo>
                <a:pt x="0" y="105724"/>
              </a:lnTo>
              <a:lnTo>
                <a:pt x="325989" y="105724"/>
              </a:lnTo>
              <a:lnTo>
                <a:pt x="325989"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DE9D4D-9409-414F-9979-160B0416150B}">
      <dsp:nvSpPr>
        <dsp:cNvPr id="0" name=""/>
        <dsp:cNvSpPr/>
      </dsp:nvSpPr>
      <dsp:spPr>
        <a:xfrm>
          <a:off x="3202548" y="950277"/>
          <a:ext cx="325989" cy="155141"/>
        </a:xfrm>
        <a:custGeom>
          <a:avLst/>
          <a:gdLst/>
          <a:ahLst/>
          <a:cxnLst/>
          <a:rect l="0" t="0" r="0" b="0"/>
          <a:pathLst>
            <a:path>
              <a:moveTo>
                <a:pt x="325989" y="0"/>
              </a:moveTo>
              <a:lnTo>
                <a:pt x="325989"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6312162-5822-4CF1-8BC9-B6C5325FCF37}">
      <dsp:nvSpPr>
        <dsp:cNvPr id="0" name=""/>
        <dsp:cNvSpPr/>
      </dsp:nvSpPr>
      <dsp:spPr>
        <a:xfrm>
          <a:off x="2550569" y="950277"/>
          <a:ext cx="977968" cy="155141"/>
        </a:xfrm>
        <a:custGeom>
          <a:avLst/>
          <a:gdLst/>
          <a:ahLst/>
          <a:cxnLst/>
          <a:rect l="0" t="0" r="0" b="0"/>
          <a:pathLst>
            <a:path>
              <a:moveTo>
                <a:pt x="977968" y="0"/>
              </a:moveTo>
              <a:lnTo>
                <a:pt x="977968"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E4FC94-F9C6-464E-A33E-13F76B4FE8CB}">
      <dsp:nvSpPr>
        <dsp:cNvPr id="0" name=""/>
        <dsp:cNvSpPr/>
      </dsp:nvSpPr>
      <dsp:spPr>
        <a:xfrm>
          <a:off x="1898591" y="950277"/>
          <a:ext cx="1629947" cy="155141"/>
        </a:xfrm>
        <a:custGeom>
          <a:avLst/>
          <a:gdLst/>
          <a:ahLst/>
          <a:cxnLst/>
          <a:rect l="0" t="0" r="0" b="0"/>
          <a:pathLst>
            <a:path>
              <a:moveTo>
                <a:pt x="1629947" y="0"/>
              </a:moveTo>
              <a:lnTo>
                <a:pt x="1629947" y="105724"/>
              </a:lnTo>
              <a:lnTo>
                <a:pt x="0" y="105724"/>
              </a:lnTo>
              <a:lnTo>
                <a:pt x="0" y="15514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F9F28F-65E8-404C-81A4-4C44C19ED86F}">
      <dsp:nvSpPr>
        <dsp:cNvPr id="0" name=""/>
        <dsp:cNvSpPr/>
      </dsp:nvSpPr>
      <dsp:spPr>
        <a:xfrm>
          <a:off x="2224580" y="456403"/>
          <a:ext cx="1303957" cy="155141"/>
        </a:xfrm>
        <a:custGeom>
          <a:avLst/>
          <a:gdLst/>
          <a:ahLst/>
          <a:cxnLst/>
          <a:rect l="0" t="0" r="0" b="0"/>
          <a:pathLst>
            <a:path>
              <a:moveTo>
                <a:pt x="0" y="0"/>
              </a:moveTo>
              <a:lnTo>
                <a:pt x="0" y="105724"/>
              </a:lnTo>
              <a:lnTo>
                <a:pt x="1303957" y="105724"/>
              </a:lnTo>
              <a:lnTo>
                <a:pt x="1303957"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AB086B-E2B2-4C6E-B8E8-0ABDA96D98E4}">
      <dsp:nvSpPr>
        <dsp:cNvPr id="0" name=""/>
        <dsp:cNvSpPr/>
      </dsp:nvSpPr>
      <dsp:spPr>
        <a:xfrm>
          <a:off x="2224580" y="456403"/>
          <a:ext cx="651978" cy="155141"/>
        </a:xfrm>
        <a:custGeom>
          <a:avLst/>
          <a:gdLst/>
          <a:ahLst/>
          <a:cxnLst/>
          <a:rect l="0" t="0" r="0" b="0"/>
          <a:pathLst>
            <a:path>
              <a:moveTo>
                <a:pt x="0" y="0"/>
              </a:moveTo>
              <a:lnTo>
                <a:pt x="0" y="105724"/>
              </a:lnTo>
              <a:lnTo>
                <a:pt x="651978" y="105724"/>
              </a:lnTo>
              <a:lnTo>
                <a:pt x="651978"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BBFCED-C8E5-4F97-87AD-7C1E77833058}">
      <dsp:nvSpPr>
        <dsp:cNvPr id="0" name=""/>
        <dsp:cNvSpPr/>
      </dsp:nvSpPr>
      <dsp:spPr>
        <a:xfrm>
          <a:off x="2178860" y="456403"/>
          <a:ext cx="91440" cy="155141"/>
        </a:xfrm>
        <a:custGeom>
          <a:avLst/>
          <a:gdLst/>
          <a:ahLst/>
          <a:cxnLst/>
          <a:rect l="0" t="0" r="0" b="0"/>
          <a:pathLst>
            <a:path>
              <a:moveTo>
                <a:pt x="45720" y="0"/>
              </a:moveTo>
              <a:lnTo>
                <a:pt x="4572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1572601" y="456403"/>
          <a:ext cx="651978" cy="155141"/>
        </a:xfrm>
        <a:custGeom>
          <a:avLst/>
          <a:gdLst/>
          <a:ahLst/>
          <a:cxnLst/>
          <a:rect l="0" t="0" r="0" b="0"/>
          <a:pathLst>
            <a:path>
              <a:moveTo>
                <a:pt x="651978" y="0"/>
              </a:moveTo>
              <a:lnTo>
                <a:pt x="651978"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920622" y="456403"/>
          <a:ext cx="1303957" cy="155141"/>
        </a:xfrm>
        <a:custGeom>
          <a:avLst/>
          <a:gdLst/>
          <a:ahLst/>
          <a:cxnLst/>
          <a:rect l="0" t="0" r="0" b="0"/>
          <a:pathLst>
            <a:path>
              <a:moveTo>
                <a:pt x="1303957" y="0"/>
              </a:moveTo>
              <a:lnTo>
                <a:pt x="1303957"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A8AA03-9F28-448C-8954-343F90E2BA20}">
      <dsp:nvSpPr>
        <dsp:cNvPr id="0" name=""/>
        <dsp:cNvSpPr/>
      </dsp:nvSpPr>
      <dsp:spPr>
        <a:xfrm>
          <a:off x="268644" y="456403"/>
          <a:ext cx="1955936" cy="155141"/>
        </a:xfrm>
        <a:custGeom>
          <a:avLst/>
          <a:gdLst/>
          <a:ahLst/>
          <a:cxnLst/>
          <a:rect l="0" t="0" r="0" b="0"/>
          <a:pathLst>
            <a:path>
              <a:moveTo>
                <a:pt x="1955936" y="0"/>
              </a:moveTo>
              <a:lnTo>
                <a:pt x="1955936" y="105724"/>
              </a:lnTo>
              <a:lnTo>
                <a:pt x="0" y="105724"/>
              </a:lnTo>
              <a:lnTo>
                <a:pt x="0" y="155141"/>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957861" y="117670"/>
          <a:ext cx="533437" cy="338732"/>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017132" y="173977"/>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τ</a:t>
          </a:r>
          <a:r>
            <a:rPr lang="ro-RO" sz="800" kern="1200"/>
            <a:t> (Type)</a:t>
          </a:r>
        </a:p>
      </dsp:txBody>
      <dsp:txXfrm>
        <a:off x="2027053" y="183898"/>
        <a:ext cx="513595" cy="318890"/>
      </dsp:txXfrm>
    </dsp:sp>
    <dsp:sp modelId="{27C14384-BA9F-400A-B978-CF25A974314D}">
      <dsp:nvSpPr>
        <dsp:cNvPr id="0" name=""/>
        <dsp:cNvSpPr/>
      </dsp:nvSpPr>
      <dsp:spPr>
        <a:xfrm>
          <a:off x="1925"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4392B14-F23C-40EA-B24E-8A608900445C}">
      <dsp:nvSpPr>
        <dsp:cNvPr id="0" name=""/>
        <dsp:cNvSpPr/>
      </dsp:nvSpPr>
      <dsp:spPr>
        <a:xfrm>
          <a:off x="61196"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Num</a:t>
          </a:r>
        </a:p>
      </dsp:txBody>
      <dsp:txXfrm>
        <a:off x="71117" y="677772"/>
        <a:ext cx="513595" cy="318890"/>
      </dsp:txXfrm>
    </dsp:sp>
    <dsp:sp modelId="{7A90D4F0-2269-4706-8C7B-0ABE3BB6CB13}">
      <dsp:nvSpPr>
        <dsp:cNvPr id="0" name=""/>
        <dsp:cNvSpPr/>
      </dsp:nvSpPr>
      <dsp:spPr>
        <a:xfrm>
          <a:off x="653904"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713175"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Bool</a:t>
          </a:r>
        </a:p>
      </dsp:txBody>
      <dsp:txXfrm>
        <a:off x="723096" y="677772"/>
        <a:ext cx="513595" cy="318890"/>
      </dsp:txXfrm>
    </dsp:sp>
    <dsp:sp modelId="{E726D2CB-426B-4B57-BEFE-03AC2FD45058}">
      <dsp:nvSpPr>
        <dsp:cNvPr id="0" name=""/>
        <dsp:cNvSpPr/>
      </dsp:nvSpPr>
      <dsp:spPr>
        <a:xfrm>
          <a:off x="1305883"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1365153"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a:t>
          </a:r>
        </a:p>
      </dsp:txBody>
      <dsp:txXfrm>
        <a:off x="1375074" y="677772"/>
        <a:ext cx="513595" cy="318890"/>
      </dsp:txXfrm>
    </dsp:sp>
    <dsp:sp modelId="{9FBE6E31-894F-4A8D-A995-3793189C2058}">
      <dsp:nvSpPr>
        <dsp:cNvPr id="0" name=""/>
        <dsp:cNvSpPr/>
      </dsp:nvSpPr>
      <dsp:spPr>
        <a:xfrm>
          <a:off x="1957861"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2017132"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Date</a:t>
          </a:r>
        </a:p>
      </dsp:txBody>
      <dsp:txXfrm>
        <a:off x="2027053" y="677772"/>
        <a:ext cx="513595" cy="318890"/>
      </dsp:txXfrm>
    </dsp:sp>
    <dsp:sp modelId="{D32C58B7-9D5F-43FA-967A-270DDAAAF0AA}">
      <dsp:nvSpPr>
        <dsp:cNvPr id="0" name=""/>
        <dsp:cNvSpPr/>
      </dsp:nvSpPr>
      <dsp:spPr>
        <a:xfrm>
          <a:off x="2609840"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BAAFF5-78A5-4BDC-8C22-FA0E94F330A6}">
      <dsp:nvSpPr>
        <dsp:cNvPr id="0" name=""/>
        <dsp:cNvSpPr/>
      </dsp:nvSpPr>
      <dsp:spPr>
        <a:xfrm>
          <a:off x="2669111"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SymList</a:t>
          </a:r>
        </a:p>
      </dsp:txBody>
      <dsp:txXfrm>
        <a:off x="2679032" y="677772"/>
        <a:ext cx="513595" cy="318890"/>
      </dsp:txXfrm>
    </dsp:sp>
    <dsp:sp modelId="{D3DCAA9F-565E-46E9-A4F0-C212DF81C742}">
      <dsp:nvSpPr>
        <dsp:cNvPr id="0" name=""/>
        <dsp:cNvSpPr/>
      </dsp:nvSpPr>
      <dsp:spPr>
        <a:xfrm>
          <a:off x="3261819"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461DE53-5D76-4DFC-A3DD-9759FAE76CFC}">
      <dsp:nvSpPr>
        <dsp:cNvPr id="0" name=""/>
        <dsp:cNvSpPr/>
      </dsp:nvSpPr>
      <dsp:spPr>
        <a:xfrm>
          <a:off x="3321090"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Amt[c]</a:t>
          </a:r>
        </a:p>
      </dsp:txBody>
      <dsp:txXfrm>
        <a:off x="3331011" y="677772"/>
        <a:ext cx="513595" cy="318890"/>
      </dsp:txXfrm>
    </dsp:sp>
    <dsp:sp modelId="{FF47EDE4-96CB-42F1-89D7-835F6C51E8A9}">
      <dsp:nvSpPr>
        <dsp:cNvPr id="0" name=""/>
        <dsp:cNvSpPr/>
      </dsp:nvSpPr>
      <dsp:spPr>
        <a:xfrm>
          <a:off x="1631872"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7D0A20-F29C-4578-8CD4-B62D557165F9}">
      <dsp:nvSpPr>
        <dsp:cNvPr id="0" name=""/>
        <dsp:cNvSpPr/>
      </dsp:nvSpPr>
      <dsp:spPr>
        <a:xfrm>
          <a:off x="1691143"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EUR</a:t>
          </a:r>
        </a:p>
      </dsp:txBody>
      <dsp:txXfrm>
        <a:off x="1701064" y="1171646"/>
        <a:ext cx="513595" cy="318890"/>
      </dsp:txXfrm>
    </dsp:sp>
    <dsp:sp modelId="{5F7CCCE0-0202-4BB8-895C-CA42260CE108}">
      <dsp:nvSpPr>
        <dsp:cNvPr id="0" name=""/>
        <dsp:cNvSpPr/>
      </dsp:nvSpPr>
      <dsp:spPr>
        <a:xfrm>
          <a:off x="2283851"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1643AAA-2695-4CD8-AE39-264EADA1A88E}">
      <dsp:nvSpPr>
        <dsp:cNvPr id="0" name=""/>
        <dsp:cNvSpPr/>
      </dsp:nvSpPr>
      <dsp:spPr>
        <a:xfrm>
          <a:off x="2343122"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USD</a:t>
          </a:r>
        </a:p>
      </dsp:txBody>
      <dsp:txXfrm>
        <a:off x="2353043" y="1171646"/>
        <a:ext cx="513595" cy="318890"/>
      </dsp:txXfrm>
    </dsp:sp>
    <dsp:sp modelId="{9E97FDCA-D1AC-42EF-9B89-171EB134C780}">
      <dsp:nvSpPr>
        <dsp:cNvPr id="0" name=""/>
        <dsp:cNvSpPr/>
      </dsp:nvSpPr>
      <dsp:spPr>
        <a:xfrm>
          <a:off x="2935830"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80BF3D4-FBAD-48FF-9061-693E85D67949}">
      <dsp:nvSpPr>
        <dsp:cNvPr id="0" name=""/>
        <dsp:cNvSpPr/>
      </dsp:nvSpPr>
      <dsp:spPr>
        <a:xfrm>
          <a:off x="2995100"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GBP</a:t>
          </a:r>
        </a:p>
      </dsp:txBody>
      <dsp:txXfrm>
        <a:off x="3005021" y="1171646"/>
        <a:ext cx="513595" cy="318890"/>
      </dsp:txXfrm>
    </dsp:sp>
    <dsp:sp modelId="{1334E469-2073-48D7-9203-B4D424551FEC}">
      <dsp:nvSpPr>
        <dsp:cNvPr id="0" name=""/>
        <dsp:cNvSpPr/>
      </dsp:nvSpPr>
      <dsp:spPr>
        <a:xfrm>
          <a:off x="3587808"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70920D-A9B2-4F67-A53F-C0BE0D5C9CDC}">
      <dsp:nvSpPr>
        <dsp:cNvPr id="0" name=""/>
        <dsp:cNvSpPr/>
      </dsp:nvSpPr>
      <dsp:spPr>
        <a:xfrm>
          <a:off x="3647079"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JPY</a:t>
          </a:r>
        </a:p>
      </dsp:txBody>
      <dsp:txXfrm>
        <a:off x="3657000" y="1171646"/>
        <a:ext cx="513595" cy="318890"/>
      </dsp:txXfrm>
    </dsp:sp>
    <dsp:sp modelId="{2AB84733-073D-4779-9A8F-5033831C43F4}">
      <dsp:nvSpPr>
        <dsp:cNvPr id="0" name=""/>
        <dsp:cNvSpPr/>
      </dsp:nvSpPr>
      <dsp:spPr>
        <a:xfrm>
          <a:off x="4239787"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ACD3D0-F777-4EB5-93D1-FE0E52BCCA95}">
      <dsp:nvSpPr>
        <dsp:cNvPr id="0" name=""/>
        <dsp:cNvSpPr/>
      </dsp:nvSpPr>
      <dsp:spPr>
        <a:xfrm>
          <a:off x="4299058"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CHF</a:t>
          </a:r>
        </a:p>
      </dsp:txBody>
      <dsp:txXfrm>
        <a:off x="4308979" y="1171646"/>
        <a:ext cx="513595" cy="318890"/>
      </dsp:txXfrm>
    </dsp:sp>
    <dsp:sp modelId="{BF09DF34-69BE-478A-BEFA-3649759B4E4D}">
      <dsp:nvSpPr>
        <dsp:cNvPr id="0" name=""/>
        <dsp:cNvSpPr/>
      </dsp:nvSpPr>
      <dsp:spPr>
        <a:xfrm>
          <a:off x="4891766" y="1105418"/>
          <a:ext cx="533437" cy="338732"/>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10AB480-821A-4A83-B0ED-BA53F5A06D7C}">
      <dsp:nvSpPr>
        <dsp:cNvPr id="0" name=""/>
        <dsp:cNvSpPr/>
      </dsp:nvSpPr>
      <dsp:spPr>
        <a:xfrm>
          <a:off x="4951037" y="1161725"/>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3">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ro-RO" sz="800" kern="1200"/>
            <a:t>... 161 in total</a:t>
          </a:r>
        </a:p>
      </dsp:txBody>
      <dsp:txXfrm>
        <a:off x="4960958" y="1171646"/>
        <a:ext cx="513595" cy="318890"/>
      </dsp:txXfrm>
    </dsp:sp>
    <dsp:sp modelId="{B334FE29-FEE8-493F-9647-72310A434C9A}">
      <dsp:nvSpPr>
        <dsp:cNvPr id="0" name=""/>
        <dsp:cNvSpPr/>
      </dsp:nvSpPr>
      <dsp:spPr>
        <a:xfrm>
          <a:off x="3913798" y="611544"/>
          <a:ext cx="533437" cy="33873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0FB958E9-40D9-4C80-AA76-D1DCB0A3F5E9}">
      <dsp:nvSpPr>
        <dsp:cNvPr id="0" name=""/>
        <dsp:cNvSpPr/>
      </dsp:nvSpPr>
      <dsp:spPr>
        <a:xfrm>
          <a:off x="3973069" y="667851"/>
          <a:ext cx="533437" cy="33873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α</a:t>
          </a:r>
          <a:r>
            <a:rPr lang="ro-RO" sz="800" kern="1200"/>
            <a:t> (type variable)</a:t>
          </a:r>
        </a:p>
      </dsp:txBody>
      <dsp:txXfrm>
        <a:off x="3982990" y="677772"/>
        <a:ext cx="513595" cy="318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BBFCED-C8E5-4F97-87AD-7C1E77833058}">
      <dsp:nvSpPr>
        <dsp:cNvPr id="0" name=""/>
        <dsp:cNvSpPr/>
      </dsp:nvSpPr>
      <dsp:spPr>
        <a:xfrm>
          <a:off x="2689287" y="616729"/>
          <a:ext cx="1779128" cy="282234"/>
        </a:xfrm>
        <a:custGeom>
          <a:avLst/>
          <a:gdLst/>
          <a:ahLst/>
          <a:cxnLst/>
          <a:rect l="0" t="0" r="0" b="0"/>
          <a:pathLst>
            <a:path>
              <a:moveTo>
                <a:pt x="0" y="0"/>
              </a:moveTo>
              <a:lnTo>
                <a:pt x="0" y="192334"/>
              </a:lnTo>
              <a:lnTo>
                <a:pt x="1779128" y="192334"/>
              </a:lnTo>
              <a:lnTo>
                <a:pt x="1779128"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76D2D81-FF88-4E24-ABAA-CBD90BB0D040}">
      <dsp:nvSpPr>
        <dsp:cNvPr id="0" name=""/>
        <dsp:cNvSpPr/>
      </dsp:nvSpPr>
      <dsp:spPr>
        <a:xfrm>
          <a:off x="2689287" y="616729"/>
          <a:ext cx="593042" cy="282234"/>
        </a:xfrm>
        <a:custGeom>
          <a:avLst/>
          <a:gdLst/>
          <a:ahLst/>
          <a:cxnLst/>
          <a:rect l="0" t="0" r="0" b="0"/>
          <a:pathLst>
            <a:path>
              <a:moveTo>
                <a:pt x="0" y="0"/>
              </a:moveTo>
              <a:lnTo>
                <a:pt x="0" y="192334"/>
              </a:lnTo>
              <a:lnTo>
                <a:pt x="593042" y="192334"/>
              </a:lnTo>
              <a:lnTo>
                <a:pt x="593042"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6933DA-CC89-49D6-A9C9-99E843F2C3B0}">
      <dsp:nvSpPr>
        <dsp:cNvPr id="0" name=""/>
        <dsp:cNvSpPr/>
      </dsp:nvSpPr>
      <dsp:spPr>
        <a:xfrm>
          <a:off x="2096244" y="616729"/>
          <a:ext cx="593042" cy="282234"/>
        </a:xfrm>
        <a:custGeom>
          <a:avLst/>
          <a:gdLst/>
          <a:ahLst/>
          <a:cxnLst/>
          <a:rect l="0" t="0" r="0" b="0"/>
          <a:pathLst>
            <a:path>
              <a:moveTo>
                <a:pt x="593042" y="0"/>
              </a:moveTo>
              <a:lnTo>
                <a:pt x="593042"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910158" y="616729"/>
          <a:ext cx="1779128" cy="282234"/>
        </a:xfrm>
        <a:custGeom>
          <a:avLst/>
          <a:gdLst/>
          <a:ahLst/>
          <a:cxnLst/>
          <a:rect l="0" t="0" r="0" b="0"/>
          <a:pathLst>
            <a:path>
              <a:moveTo>
                <a:pt x="1779128" y="0"/>
              </a:moveTo>
              <a:lnTo>
                <a:pt x="1779128" y="192334"/>
              </a:lnTo>
              <a:lnTo>
                <a:pt x="0" y="192334"/>
              </a:lnTo>
              <a:lnTo>
                <a:pt x="0" y="282234"/>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2204070" y="504"/>
          <a:ext cx="970433" cy="61622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2311896" y="10293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Regional Patent Organizations</a:t>
          </a:r>
          <a:endParaRPr lang="ro-RO" sz="1100" kern="1200"/>
        </a:p>
      </dsp:txBody>
      <dsp:txXfrm>
        <a:off x="2329945" y="120988"/>
        <a:ext cx="934335" cy="580127"/>
      </dsp:txXfrm>
    </dsp:sp>
    <dsp:sp modelId="{27857BCD-DBEC-4D5B-90DC-0F6AA5A62B3D}">
      <dsp:nvSpPr>
        <dsp:cNvPr id="0" name=""/>
        <dsp:cNvSpPr/>
      </dsp:nvSpPr>
      <dsp:spPr>
        <a:xfrm>
          <a:off x="424941"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32767"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EPO (38 member states)</a:t>
          </a:r>
          <a:endParaRPr lang="ro-RO" sz="1100" kern="1200"/>
        </a:p>
      </dsp:txBody>
      <dsp:txXfrm>
        <a:off x="550816" y="1019448"/>
        <a:ext cx="934335" cy="580127"/>
      </dsp:txXfrm>
    </dsp:sp>
    <dsp:sp modelId="{7A90D4F0-2269-4706-8C7B-0ABE3BB6CB13}">
      <dsp:nvSpPr>
        <dsp:cNvPr id="0" name=""/>
        <dsp:cNvSpPr/>
      </dsp:nvSpPr>
      <dsp:spPr>
        <a:xfrm>
          <a:off x="1611027"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001ACD0-14F4-4674-81E7-6958F8C47A46}">
      <dsp:nvSpPr>
        <dsp:cNvPr id="0" name=""/>
        <dsp:cNvSpPr/>
      </dsp:nvSpPr>
      <dsp:spPr>
        <a:xfrm>
          <a:off x="1718853"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EA (9 member states)</a:t>
          </a:r>
          <a:endParaRPr lang="ro-RO" sz="1100" kern="1200"/>
        </a:p>
      </dsp:txBody>
      <dsp:txXfrm>
        <a:off x="1736902" y="1019448"/>
        <a:ext cx="934335" cy="580127"/>
      </dsp:txXfrm>
    </dsp:sp>
    <dsp:sp modelId="{E726D2CB-426B-4B57-BEFE-03AC2FD45058}">
      <dsp:nvSpPr>
        <dsp:cNvPr id="0" name=""/>
        <dsp:cNvSpPr/>
      </dsp:nvSpPr>
      <dsp:spPr>
        <a:xfrm>
          <a:off x="2797112"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1C6CF7E-BE10-4C5C-9F13-DBE17BDE0FAA}">
      <dsp:nvSpPr>
        <dsp:cNvPr id="0" name=""/>
        <dsp:cNvSpPr/>
      </dsp:nvSpPr>
      <dsp:spPr>
        <a:xfrm>
          <a:off x="2904938"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AP (19 member states)</a:t>
          </a:r>
          <a:endParaRPr lang="ro-RO" sz="1100" kern="1200"/>
        </a:p>
      </dsp:txBody>
      <dsp:txXfrm>
        <a:off x="2922987" y="1019448"/>
        <a:ext cx="934335" cy="580127"/>
      </dsp:txXfrm>
    </dsp:sp>
    <dsp:sp modelId="{9FBE6E31-894F-4A8D-A995-3793189C2058}">
      <dsp:nvSpPr>
        <dsp:cNvPr id="0" name=""/>
        <dsp:cNvSpPr/>
      </dsp:nvSpPr>
      <dsp:spPr>
        <a:xfrm>
          <a:off x="3983198" y="898964"/>
          <a:ext cx="970433" cy="61622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0022835-B03D-4F51-B084-C53C3C5F3C5F}">
      <dsp:nvSpPr>
        <dsp:cNvPr id="0" name=""/>
        <dsp:cNvSpPr/>
      </dsp:nvSpPr>
      <dsp:spPr>
        <a:xfrm>
          <a:off x="4091024" y="1001399"/>
          <a:ext cx="970433" cy="616225"/>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OA (17 member states)</a:t>
          </a:r>
          <a:endParaRPr lang="ro-RO" sz="1100" kern="1200"/>
        </a:p>
      </dsp:txBody>
      <dsp:txXfrm>
        <a:off x="4109073" y="1019448"/>
        <a:ext cx="934335" cy="58012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3FCDE7-95D1-4ED2-BC27-9DBA434FF78B}">
      <dsp:nvSpPr>
        <dsp:cNvPr id="0" name=""/>
        <dsp:cNvSpPr/>
      </dsp:nvSpPr>
      <dsp:spPr>
        <a:xfrm>
          <a:off x="4101204"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DE93249-292C-4BC8-AFE3-91CCF3B278C8}">
      <dsp:nvSpPr>
        <dsp:cNvPr id="0" name=""/>
        <dsp:cNvSpPr/>
      </dsp:nvSpPr>
      <dsp:spPr>
        <a:xfrm>
          <a:off x="4101204"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F69145-2061-41DA-867C-B10B254472E9}">
      <dsp:nvSpPr>
        <dsp:cNvPr id="0" name=""/>
        <dsp:cNvSpPr/>
      </dsp:nvSpPr>
      <dsp:spPr>
        <a:xfrm>
          <a:off x="4055484"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2037A6-B0F6-4C68-86AE-51376AEB5BCC}">
      <dsp:nvSpPr>
        <dsp:cNvPr id="0" name=""/>
        <dsp:cNvSpPr/>
      </dsp:nvSpPr>
      <dsp:spPr>
        <a:xfrm>
          <a:off x="3547943"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935BF4-7BA9-4FFB-8267-422774B55B4D}">
      <dsp:nvSpPr>
        <dsp:cNvPr id="0" name=""/>
        <dsp:cNvSpPr/>
      </dsp:nvSpPr>
      <dsp:spPr>
        <a:xfrm>
          <a:off x="2994682"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4352E2B-7ECE-4FCF-B6DB-6C8DB67085DF}">
      <dsp:nvSpPr>
        <dsp:cNvPr id="0" name=""/>
        <dsp:cNvSpPr/>
      </dsp:nvSpPr>
      <dsp:spPr>
        <a:xfrm>
          <a:off x="1334898" y="405583"/>
          <a:ext cx="1106522" cy="131650"/>
        </a:xfrm>
        <a:custGeom>
          <a:avLst/>
          <a:gdLst/>
          <a:ahLst/>
          <a:cxnLst/>
          <a:rect l="0" t="0" r="0" b="0"/>
          <a:pathLst>
            <a:path>
              <a:moveTo>
                <a:pt x="0" y="0"/>
              </a:moveTo>
              <a:lnTo>
                <a:pt x="0" y="89716"/>
              </a:lnTo>
              <a:lnTo>
                <a:pt x="1106522" y="89716"/>
              </a:lnTo>
              <a:lnTo>
                <a:pt x="1106522"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F4FC52-7606-427C-98AA-0246ADC3C75C}">
      <dsp:nvSpPr>
        <dsp:cNvPr id="0" name=""/>
        <dsp:cNvSpPr/>
      </dsp:nvSpPr>
      <dsp:spPr>
        <a:xfrm>
          <a:off x="1334898" y="405583"/>
          <a:ext cx="553261" cy="131650"/>
        </a:xfrm>
        <a:custGeom>
          <a:avLst/>
          <a:gdLst/>
          <a:ahLst/>
          <a:cxnLst/>
          <a:rect l="0" t="0" r="0" b="0"/>
          <a:pathLst>
            <a:path>
              <a:moveTo>
                <a:pt x="0" y="0"/>
              </a:moveTo>
              <a:lnTo>
                <a:pt x="0" y="89716"/>
              </a:lnTo>
              <a:lnTo>
                <a:pt x="553261" y="89716"/>
              </a:lnTo>
              <a:lnTo>
                <a:pt x="553261"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127D81-1B3C-4FF4-862E-8CCA2CC7CB53}">
      <dsp:nvSpPr>
        <dsp:cNvPr id="0" name=""/>
        <dsp:cNvSpPr/>
      </dsp:nvSpPr>
      <dsp:spPr>
        <a:xfrm>
          <a:off x="1289178" y="405583"/>
          <a:ext cx="91440" cy="131650"/>
        </a:xfrm>
        <a:custGeom>
          <a:avLst/>
          <a:gdLst/>
          <a:ahLst/>
          <a:cxnLst/>
          <a:rect l="0" t="0" r="0" b="0"/>
          <a:pathLst>
            <a:path>
              <a:moveTo>
                <a:pt x="45720" y="0"/>
              </a:moveTo>
              <a:lnTo>
                <a:pt x="4572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A5286C-7035-4020-8E13-F6547E10BE42}">
      <dsp:nvSpPr>
        <dsp:cNvPr id="0" name=""/>
        <dsp:cNvSpPr/>
      </dsp:nvSpPr>
      <dsp:spPr>
        <a:xfrm>
          <a:off x="781637" y="405583"/>
          <a:ext cx="553261" cy="131650"/>
        </a:xfrm>
        <a:custGeom>
          <a:avLst/>
          <a:gdLst/>
          <a:ahLst/>
          <a:cxnLst/>
          <a:rect l="0" t="0" r="0" b="0"/>
          <a:pathLst>
            <a:path>
              <a:moveTo>
                <a:pt x="553261" y="0"/>
              </a:moveTo>
              <a:lnTo>
                <a:pt x="553261"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7AD099-0B20-474A-BAF3-814F7B3AA539}">
      <dsp:nvSpPr>
        <dsp:cNvPr id="0" name=""/>
        <dsp:cNvSpPr/>
      </dsp:nvSpPr>
      <dsp:spPr>
        <a:xfrm>
          <a:off x="228376" y="405583"/>
          <a:ext cx="1106522" cy="131650"/>
        </a:xfrm>
        <a:custGeom>
          <a:avLst/>
          <a:gdLst/>
          <a:ahLst/>
          <a:cxnLst/>
          <a:rect l="0" t="0" r="0" b="0"/>
          <a:pathLst>
            <a:path>
              <a:moveTo>
                <a:pt x="1106522" y="0"/>
              </a:moveTo>
              <a:lnTo>
                <a:pt x="1106522" y="89716"/>
              </a:lnTo>
              <a:lnTo>
                <a:pt x="0" y="89716"/>
              </a:lnTo>
              <a:lnTo>
                <a:pt x="0" y="131650"/>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4279C1-2019-49C1-8A80-4AE3AA906B3E}">
      <dsp:nvSpPr>
        <dsp:cNvPr id="0" name=""/>
        <dsp:cNvSpPr/>
      </dsp:nvSpPr>
      <dsp:spPr>
        <a:xfrm>
          <a:off x="1108564"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0CB718A-025B-478E-99CE-A425FA597C19}">
      <dsp:nvSpPr>
        <dsp:cNvPr id="0" name=""/>
        <dsp:cNvSpPr/>
      </dsp:nvSpPr>
      <dsp:spPr>
        <a:xfrm>
          <a:off x="1158861"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Composed jurisdictions</a:t>
          </a:r>
          <a:endParaRPr lang="ro-RO" sz="500" kern="1200"/>
        </a:p>
      </dsp:txBody>
      <dsp:txXfrm>
        <a:off x="1167280" y="174340"/>
        <a:ext cx="435830" cy="270606"/>
      </dsp:txXfrm>
    </dsp:sp>
    <dsp:sp modelId="{27857BCD-DBEC-4D5B-90DC-0F6AA5A62B3D}">
      <dsp:nvSpPr>
        <dsp:cNvPr id="0" name=""/>
        <dsp:cNvSpPr/>
      </dsp:nvSpPr>
      <dsp:spPr>
        <a:xfrm>
          <a:off x="204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B788632-D491-4B86-894E-B0EF0B0030A0}">
      <dsp:nvSpPr>
        <dsp:cNvPr id="0" name=""/>
        <dsp:cNvSpPr/>
      </dsp:nvSpPr>
      <dsp:spPr>
        <a:xfrm>
          <a:off x="5233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DE</a:t>
          </a:r>
          <a:endParaRPr lang="ro-RO" sz="500" kern="1200"/>
        </a:p>
      </dsp:txBody>
      <dsp:txXfrm>
        <a:off x="60758" y="593435"/>
        <a:ext cx="435830" cy="270606"/>
      </dsp:txXfrm>
    </dsp:sp>
    <dsp:sp modelId="{37B8AFDB-E27A-4DA2-AF49-685525508CAF}">
      <dsp:nvSpPr>
        <dsp:cNvPr id="0" name=""/>
        <dsp:cNvSpPr/>
      </dsp:nvSpPr>
      <dsp:spPr>
        <a:xfrm>
          <a:off x="555303"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C711C75-93DE-4F71-BBA7-A883FA67A0C3}">
      <dsp:nvSpPr>
        <dsp:cNvPr id="0" name=""/>
        <dsp:cNvSpPr/>
      </dsp:nvSpPr>
      <dsp:spPr>
        <a:xfrm>
          <a:off x="605600"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FR</a:t>
          </a:r>
          <a:endParaRPr lang="ro-RO" sz="500" kern="1200"/>
        </a:p>
      </dsp:txBody>
      <dsp:txXfrm>
        <a:off x="614019" y="593435"/>
        <a:ext cx="435830" cy="270606"/>
      </dsp:txXfrm>
    </dsp:sp>
    <dsp:sp modelId="{65D253CF-B107-49C6-A0BE-1D1EE60DC189}">
      <dsp:nvSpPr>
        <dsp:cNvPr id="0" name=""/>
        <dsp:cNvSpPr/>
      </dsp:nvSpPr>
      <dsp:spPr>
        <a:xfrm>
          <a:off x="1108564"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E207EEA-00B5-4766-9112-C8F8402FEC68}">
      <dsp:nvSpPr>
        <dsp:cNvPr id="0" name=""/>
        <dsp:cNvSpPr/>
      </dsp:nvSpPr>
      <dsp:spPr>
        <a:xfrm>
          <a:off x="1158861"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RO</a:t>
          </a:r>
          <a:endParaRPr lang="ro-RO" sz="500" kern="1200"/>
        </a:p>
      </dsp:txBody>
      <dsp:txXfrm>
        <a:off x="1167280" y="593435"/>
        <a:ext cx="435830" cy="270606"/>
      </dsp:txXfrm>
    </dsp:sp>
    <dsp:sp modelId="{C08C9B73-1B4C-45DF-8CDF-66A4E6A5D7A8}">
      <dsp:nvSpPr>
        <dsp:cNvPr id="0" name=""/>
        <dsp:cNvSpPr/>
      </dsp:nvSpPr>
      <dsp:spPr>
        <a:xfrm>
          <a:off x="1661826"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37C5B7F-EC16-437A-B344-8AAE401678A0}">
      <dsp:nvSpPr>
        <dsp:cNvPr id="0" name=""/>
        <dsp:cNvSpPr/>
      </dsp:nvSpPr>
      <dsp:spPr>
        <a:xfrm>
          <a:off x="1712122"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RU</a:t>
          </a:r>
          <a:endParaRPr lang="ro-RO" sz="500" kern="1200"/>
        </a:p>
      </dsp:txBody>
      <dsp:txXfrm>
        <a:off x="1720541" y="593435"/>
        <a:ext cx="435830" cy="270606"/>
      </dsp:txXfrm>
    </dsp:sp>
    <dsp:sp modelId="{E9057711-916D-4418-95A7-C850BCA2B7A3}">
      <dsp:nvSpPr>
        <dsp:cNvPr id="0" name=""/>
        <dsp:cNvSpPr/>
      </dsp:nvSpPr>
      <dsp:spPr>
        <a:xfrm>
          <a:off x="2215087"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5AD4701-4CA5-4FC2-BD6E-EA083F93E99F}">
      <dsp:nvSpPr>
        <dsp:cNvPr id="0" name=""/>
        <dsp:cNvSpPr/>
      </dsp:nvSpPr>
      <dsp:spPr>
        <a:xfrm>
          <a:off x="2265383"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+80 others</a:t>
          </a:r>
          <a:endParaRPr lang="ro-RO" sz="500" kern="1200"/>
        </a:p>
      </dsp:txBody>
      <dsp:txXfrm>
        <a:off x="2273802" y="593435"/>
        <a:ext cx="435830" cy="270606"/>
      </dsp:txXfrm>
    </dsp:sp>
    <dsp:sp modelId="{3007B737-7FD1-49F8-825C-CE4C3CBA8A8A}">
      <dsp:nvSpPr>
        <dsp:cNvPr id="0" name=""/>
        <dsp:cNvSpPr/>
      </dsp:nvSpPr>
      <dsp:spPr>
        <a:xfrm>
          <a:off x="3874870" y="118139"/>
          <a:ext cx="452668" cy="287444"/>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CB1282F-BBBE-40D3-8584-F978F1365840}">
      <dsp:nvSpPr>
        <dsp:cNvPr id="0" name=""/>
        <dsp:cNvSpPr/>
      </dsp:nvSpPr>
      <dsp:spPr>
        <a:xfrm>
          <a:off x="3925166" y="165921"/>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Standalone jurisdictions</a:t>
          </a:r>
          <a:endParaRPr lang="ro-RO" sz="500" kern="1200"/>
        </a:p>
      </dsp:txBody>
      <dsp:txXfrm>
        <a:off x="3933585" y="174340"/>
        <a:ext cx="435830" cy="270606"/>
      </dsp:txXfrm>
    </dsp:sp>
    <dsp:sp modelId="{1E6EF6B0-F36C-4516-8099-9B35050CC7C8}">
      <dsp:nvSpPr>
        <dsp:cNvPr id="0" name=""/>
        <dsp:cNvSpPr/>
      </dsp:nvSpPr>
      <dsp:spPr>
        <a:xfrm>
          <a:off x="2768348"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B10D921-5950-4740-9FBA-A3A7A6F8F9AA}">
      <dsp:nvSpPr>
        <dsp:cNvPr id="0" name=""/>
        <dsp:cNvSpPr/>
      </dsp:nvSpPr>
      <dsp:spPr>
        <a:xfrm>
          <a:off x="2818644"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US</a:t>
          </a:r>
          <a:endParaRPr lang="ro-RO" sz="500" kern="1200"/>
        </a:p>
      </dsp:txBody>
      <dsp:txXfrm>
        <a:off x="2827063" y="593435"/>
        <a:ext cx="435830" cy="270606"/>
      </dsp:txXfrm>
    </dsp:sp>
    <dsp:sp modelId="{5CE25BD2-D6FA-4C5E-826F-0F402EFA0081}">
      <dsp:nvSpPr>
        <dsp:cNvPr id="0" name=""/>
        <dsp:cNvSpPr/>
      </dsp:nvSpPr>
      <dsp:spPr>
        <a:xfrm>
          <a:off x="3321609"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213356D-09BA-4634-B5E7-8B67B0D8BCB6}">
      <dsp:nvSpPr>
        <dsp:cNvPr id="0" name=""/>
        <dsp:cNvSpPr/>
      </dsp:nvSpPr>
      <dsp:spPr>
        <a:xfrm>
          <a:off x="3371905"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JP</a:t>
          </a:r>
          <a:endParaRPr lang="ro-RO" sz="500" kern="1200"/>
        </a:p>
      </dsp:txBody>
      <dsp:txXfrm>
        <a:off x="3380324" y="593435"/>
        <a:ext cx="435830" cy="270606"/>
      </dsp:txXfrm>
    </dsp:sp>
    <dsp:sp modelId="{2DCBF2A7-3121-4F32-BFA3-F506CA9445B3}">
      <dsp:nvSpPr>
        <dsp:cNvPr id="0" name=""/>
        <dsp:cNvSpPr/>
      </dsp:nvSpPr>
      <dsp:spPr>
        <a:xfrm>
          <a:off x="3874870"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6A30382B-A7CD-4C12-9431-905B220C9126}">
      <dsp:nvSpPr>
        <dsp:cNvPr id="0" name=""/>
        <dsp:cNvSpPr/>
      </dsp:nvSpPr>
      <dsp:spPr>
        <a:xfrm>
          <a:off x="3925166"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CN</a:t>
          </a:r>
          <a:endParaRPr lang="ro-RO" sz="500" kern="1200"/>
        </a:p>
      </dsp:txBody>
      <dsp:txXfrm>
        <a:off x="3933585" y="593435"/>
        <a:ext cx="435830" cy="270606"/>
      </dsp:txXfrm>
    </dsp:sp>
    <dsp:sp modelId="{61C118A6-C5B5-46EE-8201-71924792BB49}">
      <dsp:nvSpPr>
        <dsp:cNvPr id="0" name=""/>
        <dsp:cNvSpPr/>
      </dsp:nvSpPr>
      <dsp:spPr>
        <a:xfrm>
          <a:off x="4428131"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9A9E4C6D-DF8F-44BD-BF40-6B4F5C8C90D7}">
      <dsp:nvSpPr>
        <dsp:cNvPr id="0" name=""/>
        <dsp:cNvSpPr/>
      </dsp:nvSpPr>
      <dsp:spPr>
        <a:xfrm>
          <a:off x="4478428"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KR</a:t>
          </a:r>
          <a:endParaRPr lang="ro-RO" sz="500" kern="1200"/>
        </a:p>
      </dsp:txBody>
      <dsp:txXfrm>
        <a:off x="4486847" y="593435"/>
        <a:ext cx="435830" cy="270606"/>
      </dsp:txXfrm>
    </dsp:sp>
    <dsp:sp modelId="{EF7EF9E4-9C15-4DEB-8C16-7C2839C73D5D}">
      <dsp:nvSpPr>
        <dsp:cNvPr id="0" name=""/>
        <dsp:cNvSpPr/>
      </dsp:nvSpPr>
      <dsp:spPr>
        <a:xfrm>
          <a:off x="4981392" y="537234"/>
          <a:ext cx="452668" cy="287444"/>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19248ED-300B-4FA8-A75F-0677C8AAB07E}">
      <dsp:nvSpPr>
        <dsp:cNvPr id="0" name=""/>
        <dsp:cNvSpPr/>
      </dsp:nvSpPr>
      <dsp:spPr>
        <a:xfrm>
          <a:off x="5031689" y="585016"/>
          <a:ext cx="452668" cy="287444"/>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marL="0" lvl="0" indent="0" algn="ctr" defTabSz="222250">
            <a:lnSpc>
              <a:spcPct val="90000"/>
            </a:lnSpc>
            <a:spcBef>
              <a:spcPct val="0"/>
            </a:spcBef>
            <a:spcAft>
              <a:spcPct val="35000"/>
            </a:spcAft>
            <a:buNone/>
          </a:pPr>
          <a:r>
            <a:rPr lang="en-US" sz="500" kern="1200"/>
            <a:t>... +30 others</a:t>
          </a:r>
          <a:endParaRPr lang="ro-RO" sz="500" kern="1200"/>
        </a:p>
      </dsp:txBody>
      <dsp:txXfrm>
        <a:off x="5040108" y="593435"/>
        <a:ext cx="435830" cy="270606"/>
      </dsp:txXfrm>
    </dsp:sp>
  </dsp:spTree>
</dsp:drawing>
</file>

<file path=word/diagrams/layout1.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BE7B0-E253-4CE2-B444-E37365016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1</Pages>
  <Words>14688</Words>
  <Characters>83726</Characters>
  <Application>Microsoft Office Word</Application>
  <DocSecurity>0</DocSecurity>
  <Lines>697</Lines>
  <Paragraphs>196</Paragraphs>
  <ScaleCrop>false</ScaleCrop>
  <Company/>
  <LinksUpToDate>false</LinksUpToDate>
  <CharactersWithSpaces>98218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IPFLang: A Domain-Specific Language with Currency-Safe Types and Static Verification for Regulatory Fee Calculations</dc:title>
  <dc:creator/>
  <cp:keywords/>
  <cp:lastModifiedBy>Valer BOCAN</cp:lastModifiedBy>
  <cp:revision>5</cp:revision>
  <dcterms:created xsi:type="dcterms:W3CDTF">2025-12-26T07:31:00Z</dcterms:created>
  <dcterms:modified xsi:type="dcterms:W3CDTF">2025-12-26T19:11:00Z</dcterms:modified>
</cp:coreProperties>
</file>