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bookmarkStart w:id="9" w:name="Xc950876f1e1ea20f627cc54952fa83ebebff490"/>
      <w:bookmarkEnd w:id="9"/>
      <w:r>
        <w:t xml:space="preserve">IPFLang: A Domain-Specific Language with Currency-Safe Types and Static Verification for Regulatory Fee Calculations</w:t>
      </w:r>
    </w:p>
    <w:p>
      <w:pPr>
        <w:pStyle w:val="FirstParagraph"/>
      </w:pPr>
      <w:r>
        <w:rPr>
          <w:b/>
          <w:bCs/>
        </w:rPr>
        <w:t xml:space="preserve">Valer Bocan, PhD, CSSLP</w:t>
      </w:r>
      <w:r>
        <w:br/>
      </w:r>
      <w:r>
        <w:t xml:space="preserve">Department of Computer and Information Technology</w:t>
      </w:r>
      <w:r>
        <w:br/>
      </w:r>
      <w:r>
        <w:t xml:space="preserve">Politehnica University of Timișoara, 300223 Timișoara, Romania</w:t>
      </w:r>
      <w:r>
        <w:br/>
      </w:r>
      <w:r>
        <w:t xml:space="preserve">Email:</w:t>
      </w:r>
      <w:r>
        <w:t xml:space="preserve"> </w:t>
      </w:r>
      <w:hyperlink r:id="rId10">
        <w:r>
          <w:rPr>
            <w:rStyle w:val="Hyperlink"/>
          </w:rPr>
          <w:t xml:space="preserve">valer.bocan@upt.ro</w:t>
        </w:r>
      </w:hyperlink>
      <w:r>
        <w:br/>
      </w:r>
      <w:r>
        <w:t xml:space="preserve">ORCID: 0009-0006-9084-4064</w:t>
      </w:r>
    </w:p>
    <w:bookmarkStart w:id="14" w:name="section"/>
    <w:p>
      <w:pPr>
        <w:pStyle w:val="Heading2"/>
      </w:pPr>
      <w:r>
        <w:drawing>
          <wp:inline>
            <wp:extent cx="5334000" cy="2863845"/>
            <wp:effectExtent b="0" l="0" r="0" t="0"/>
            <wp:docPr descr=""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5334000" cy="2863845"/>
                    </a:xfrm>
                    <a:prstGeom prst="rect">
                      <a:avLst/>
                    </a:prstGeom>
                    <a:noFill/>
                    <a:ln w="9525">
                      <a:noFill/>
                      <a:headEnd/>
                      <a:tailEnd/>
                    </a:ln>
                  </pic:spPr>
                </pic:pic>
              </a:graphicData>
            </a:graphic>
          </wp:inline>
        </w:drawing>
      </w:r>
    </w:p>
    <w:bookmarkEnd w:id="14"/>
    <w:bookmarkStart w:id="15" w:name="abstract"/>
    <w:p>
      <w:pPr>
        <w:pStyle w:val="Heading1"/>
      </w:pPr>
      <w:r>
        <w:t xml:space="preserve">Abstract</w:t>
      </w:r>
    </w:p>
    <w:p>
      <w:pPr>
        <w:pStyle w:val="FirstParagraph"/>
      </w:pPr>
      <w:r>
        <w:t xml:space="preserve">Regulatory fee calculations involve complex, jurisdiction-specific rules that are typically implemented as ad-hoc code or spreadsheets, leading to errors and maintenance difficulties - there is no formal specification for encoding fee computation rules. This paper presents IPFLang, a domain-specific language that addresses these software engineering challenges through novel language design and static verification. IPFLang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type safety argument, analysis algorithms with complexity bounds, and expert validation of production jurisdiction files. The open-source reference implementation includes 122 production jurisdiction files covering PCT national/regional phase entry fees validated by domain experts, a comprehensive test suite with 261 test methods, and sub-millisecond execution. IPFLang provides a foundation for correct-by-construction fee computation with formal verification guarantees.</w:t>
      </w:r>
    </w:p>
    <w:bookmarkEnd w:id="15"/>
    <w:bookmarkStart w:id="16" w:name="keywords"/>
    <w:p>
      <w:pPr>
        <w:pStyle w:val="Heading1"/>
      </w:pPr>
      <w:r>
        <w:t xml:space="preserve">Keywords</w:t>
      </w:r>
    </w:p>
    <w:p>
      <w:pPr>
        <w:pStyle w:val="FirstParagraph"/>
      </w:pPr>
      <w:r>
        <w:t xml:space="preserve">domain-specific language, type system, static verification, program correctness, currency safety, regulatory automation, formal specification</w:t>
      </w:r>
    </w:p>
    <w:bookmarkEnd w:id="16"/>
    <w:bookmarkStart w:id="21" w:name="introduction"/>
    <w:p>
      <w:pPr>
        <w:pStyle w:val="Heading1"/>
      </w:pPr>
      <w:r>
        <w:t xml:space="preserve">1. Introduction</w:t>
      </w:r>
    </w:p>
    <w:bookmarkStart w:id="17" w:name="the-ip-technology-fragmentation-problem"/>
    <w:p>
      <w:pPr>
        <w:pStyle w:val="Heading3"/>
      </w:pPr>
      <w:r>
        <w:t xml:space="preserve">1.1 The IP Technology Fragmentation Problem</w:t>
      </w:r>
    </w:p>
    <w:p>
      <w:pPr>
        <w:pStyle w:val="FirstParagraph"/>
      </w:pPr>
      <w:r>
        <w:t xml:space="preserve">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pPr>
        <w:pStyle w:val="BodyText"/>
      </w:pPr>
      <w:r>
        <w:t xml:space="preserve">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pPr>
        <w:pStyle w:val="BodyText"/>
      </w:pPr>
      <w:r>
        <w:t xml:space="preserve">The situation is further complicated by the proprietary nature of calculation logic itself. Fee computation rules remain embedded in server-side code, entirely inaccessible to practitioners who must verify accuracy against frequently updated official fee schedules. When discrepancies arise between calculated and actual fees, practitioners find themselves unable to diagnose whether errors stem from incorrect inputs or flawed calculation logic, as the underlying implementation remains opaque.</w:t>
      </w:r>
    </w:p>
    <w:p>
      <w:pPr>
        <w:pStyle w:val="BodyText"/>
      </w:pPr>
      <w:r>
        <w:t xml:space="preserve">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bookmarkEnd w:id="17"/>
    <w:bookmarkStart w:id="18" w:name="the-need-for-formal-specification"/>
    <w:p>
      <w:pPr>
        <w:pStyle w:val="Heading3"/>
      </w:pPr>
      <w:r>
        <w:t xml:space="preserve">1.2 The Need for Formal Specification</w:t>
      </w:r>
    </w:p>
    <w:p>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specification effort must navigate.</w:t>
      </w:r>
    </w:p>
    <w:p>
      <w:pPr>
        <w:pStyle w:val="BodyText"/>
      </w:pPr>
      <w:r>
        <w:t xml:space="preserve">The IP technology domain lacks equivalent formal specifications for fee calculation, resulting in three critical gaps. The first is a specification gap: no formal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bookmarkEnd w:id="18"/>
    <w:bookmarkStart w:id="19" w:name="research-questions-and-contributions"/>
    <w:p>
      <w:pPr>
        <w:pStyle w:val="Heading3"/>
      </w:pPr>
      <w:r>
        <w:t xml:space="preserve">1.3 Research Questions and Contributions</w:t>
      </w:r>
    </w:p>
    <w:p>
      <w:pPr>
        <w:pStyle w:val="FirstParagraph"/>
      </w:pPr>
      <w:r>
        <w:t xml:space="preserve">This work addresses four fundamental questions regarding formal specification of IP fee calculations.</w:t>
      </w:r>
    </w:p>
    <w:p>
      <w:pPr>
        <w:pStyle w:val="BodyText"/>
      </w:pPr>
      <w:r>
        <w:t xml:space="preserve">The first research question concerns language design: can a domain-specific language provide sufficient expressiveness for complex regulatory fee structures while employing syntax designed for readability by IP practitioners?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pPr>
        <w:pStyle w:val="BodyText"/>
      </w:pPr>
      <w:r>
        <w:t xml:space="preserve">This paper presents IPFLang (Intellectual Property Fees Language), a domain-specific language specification for multi-jurisdiction fee calculations, with five principal contributions:</w:t>
      </w:r>
    </w:p>
    <w:p>
      <w:pPr>
        <w:numPr>
          <w:ilvl w:val="0"/>
          <w:numId w:val="1001"/>
        </w:numPr>
      </w:pPr>
      <w:r>
        <w:rPr>
          <w:b/>
          <w:bCs/>
        </w:rPr>
        <w:t xml:space="preserve">Language Specification</w:t>
      </w:r>
      <w:r>
        <w:t xml:space="preserve"> </w:t>
      </w:r>
      <w:r>
        <w:t xml:space="preserve">(Section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pPr>
        <w:numPr>
          <w:ilvl w:val="0"/>
          <w:numId w:val="1001"/>
        </w:numPr>
      </w:pPr>
      <w:r>
        <w:rPr>
          <w:b/>
          <w:bCs/>
        </w:rPr>
        <w:t xml:space="preserve">Type System and Static Verification</w:t>
      </w:r>
      <w:r>
        <w:t xml:space="preserve"> </w:t>
      </w:r>
      <w:r>
        <w:t xml:space="preserve">(Section 4): A currency-aware type system supporting 161 ISO 4217 currencies with formal typing rules that prevent cross-currency arithmetic errors at compile time, along with verification algorithms for completeness and monotonicity with complexity analysis.</w:t>
      </w:r>
    </w:p>
    <w:p>
      <w:pPr>
        <w:numPr>
          <w:ilvl w:val="0"/>
          <w:numId w:val="1001"/>
        </w:numPr>
      </w:pPr>
      <w:r>
        <w:rPr>
          <w:b/>
          <w:bCs/>
        </w:rPr>
        <w:t xml:space="preserve">Provenance and Auditability</w:t>
      </w:r>
      <w:r>
        <w:t xml:space="preserve"> </w:t>
      </w:r>
      <w:r>
        <w:t xml:space="preserve">(Section 5): Execution tracing showing how final amounts derive from input parameters, with counterfactual analysis enabling what-if scenarios for regulatory compliance.</w:t>
      </w:r>
    </w:p>
    <w:p>
      <w:pPr>
        <w:numPr>
          <w:ilvl w:val="0"/>
          <w:numId w:val="1001"/>
        </w:numPr>
      </w:pPr>
      <w:r>
        <w:rPr>
          <w:b/>
          <w:bCs/>
        </w:rPr>
        <w:t xml:space="preserve">Reference Implementation</w:t>
      </w:r>
      <w:r>
        <w:t xml:space="preserve"> </w:t>
      </w:r>
      <w:r>
        <w:t xml:space="preserve">(Section 6): An open-source command-line tool released under GPLv3 demonstrating IPFLang execution with 260 test methods validating type safety and verification correctness.</w:t>
      </w:r>
    </w:p>
    <w:p>
      <w:pPr>
        <w:numPr>
          <w:ilvl w:val="0"/>
          <w:numId w:val="1001"/>
        </w:numPr>
      </w:pPr>
      <w:r>
        <w:rPr>
          <w:b/>
          <w:bCs/>
        </w:rPr>
        <w:t xml:space="preserve">Validation</w:t>
      </w:r>
      <w:r>
        <w:t xml:space="preserve"> </w:t>
      </w:r>
      <w:r>
        <w:t xml:space="preserve">(Section 7): Expert validation of 118 production jurisdiction files covering PCT national/regional phase entry fees for major patent offices worldwide.</w:t>
      </w:r>
    </w:p>
    <w:bookmarkEnd w:id="19"/>
    <w:bookmarkStart w:id="20" w:name="paper-organization"/>
    <w:p>
      <w:pPr>
        <w:pStyle w:val="Heading3"/>
      </w:pPr>
      <w:r>
        <w:t xml:space="preserve">1.4 Paper Organization</w:t>
      </w:r>
    </w:p>
    <w:p>
      <w:pPr>
        <w:pStyle w:val="FirstParagraph"/>
      </w:pPr>
      <w:r>
        <w:t xml:space="preserve">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formal specification, cross-domain applicability, and limitations. Section 9 concludes with contributions summary, impact assessment, and future directions.</w:t>
      </w:r>
    </w:p>
    <w:bookmarkEnd w:id="20"/>
    <w:bookmarkEnd w:id="21"/>
    <w:bookmarkStart w:id="25" w:name="related-work-and-standards-landscape"/>
    <w:p>
      <w:pPr>
        <w:pStyle w:val="Heading1"/>
      </w:pPr>
      <w:r>
        <w:t xml:space="preserve">2. Related Work and Standards Landscape</w:t>
      </w:r>
    </w:p>
    <w:bookmarkStart w:id="22" w:name="existing-ip-data-standards"/>
    <w:p>
      <w:pPr>
        <w:pStyle w:val="Heading3"/>
      </w:pPr>
      <w:r>
        <w:t xml:space="preserve">2.1 Existing IP Data Standards</w:t>
      </w:r>
    </w:p>
    <w:p>
      <w:pPr>
        <w:pStyle w:val="FirstParagraph"/>
      </w:pPr>
      <w:r>
        <w:t xml:space="preserve">The IP technology domain has achieved partial standardization in data exchange but lacks standards for computational tasks like fee calculation.</w:t>
      </w:r>
    </w:p>
    <w:p>
      <w:pPr>
        <w:pStyle w:val="BodyText"/>
      </w:pPr>
      <w:r>
        <w:t xml:space="preserve">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pPr>
        <w:pStyle w:val="BodyText"/>
      </w:pPr>
      <w:r>
        <w:t xml:space="preserve">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pPr>
        <w:pStyle w:val="BodyText"/>
      </w:pPr>
      <w:r>
        <w:t xml:space="preserve">The gap becomes clear upon examination: IP data standards focus on informational exchange such as bibliographic data, legal status, and full-text search, while omitting computational tasks entirely. Fee calculation remains manual, preventing end-to-end workflow automation.</w:t>
      </w:r>
    </w:p>
    <w:bookmarkEnd w:id="22"/>
    <w:bookmarkStart w:id="23" w:name="X738f784980d4a29760e47e790d6c25ae91fb2d9"/>
    <w:p>
      <w:pPr>
        <w:pStyle w:val="Heading3"/>
      </w:pPr>
      <w:r>
        <w:t xml:space="preserve">2.2 Domain-Specific Languages for Legal Domains</w:t>
      </w:r>
    </w:p>
    <w:p>
      <w:pPr>
        <w:pStyle w:val="FirstParagraph"/>
      </w:pPr>
      <w:r>
        <w:t xml:space="preserve">Academic research in computational law has produced several DSLs for legal rules, yet none address regulatory fee calculations with multi-currency and multi-jurisdiction requirements.</w:t>
      </w:r>
    </w:p>
    <w:p>
      <w:pPr>
        <w:pStyle w:val="BodyText"/>
      </w:pPr>
      <w:r>
        <w:t xml:space="preserve">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pPr>
        <w:pStyle w:val="BodyText"/>
      </w:pPr>
      <w:r>
        <w:t xml:space="preserve">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pPr>
        <w:pStyle w:val="BodyText"/>
      </w:pPr>
      <w:r>
        <w:t xml:space="preserve">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pPr>
        <w:pStyle w:val="BodyText"/>
      </w:pPr>
      <w:r>
        <w:t xml:space="preserve">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 - a concept related to IPFLang’s tracking of monetary values across fee computations.</w:t>
      </w:r>
    </w:p>
    <w:p>
      <w:pPr>
        <w:pStyle w:val="BodyText"/>
      </w:pPr>
      <w:r>
        <w:t xml:space="preserve">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pPr>
        <w:pStyle w:val="BodyText"/>
      </w:pPr>
      <w:r>
        <w:t xml:space="preserve">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bookmarkEnd w:id="23"/>
    <w:bookmarkStart w:id="24" w:name="regulatory-automation-and-rules-engines"/>
    <w:p>
      <w:pPr>
        <w:pStyle w:val="Heading3"/>
      </w:pPr>
      <w:r>
        <w:t xml:space="preserve">2.3 Regulatory Automation and Rules Engines</w:t>
      </w:r>
    </w:p>
    <w:p>
      <w:pPr>
        <w:pStyle w:val="FirstParagraph"/>
      </w:pPr>
      <w:r>
        <w:t xml:space="preserve">Automated compliance checking represents a related domain where technology assists regulatory interpretation.</w:t>
      </w:r>
    </w:p>
    <w:p>
      <w:pPr>
        <w:pStyle w:val="BodyText"/>
      </w:pPr>
      <w:r>
        <w:t xml:space="preserve">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pPr>
        <w:pStyle w:val="BodyText"/>
      </w:pPr>
      <w:r>
        <w:t xml:space="preserve">Table 1 provides a systematic comparison of IPFLang with related approaches.</w:t>
      </w:r>
    </w:p>
    <w:p>
      <w:pPr>
        <w:pStyle w:val="TableCaption"/>
      </w:pPr>
      <w:r>
        <w:t xml:space="preserve">- Comparison of legal DSLs and rules engines</w:t>
      </w:r>
    </w:p>
    <w:tbl>
      <w:tblPr>
        <w:tblStyle w:val="Table"/>
        <w:tblW w:type="pct" w:w="5000"/>
        <w:tblLayout w:type="fixed"/>
        <w:tblLook w:firstRow="1" w:lastRow="0" w:firstColumn="0" w:lastColumn="0" w:noHBand="0" w:noVBand="0" w:val="0020"/>
        <w:tblCaption w:val="- Comparison of legal DSLs and rules engines"/>
      </w:tblPr>
      <w:tblGrid>
        <w:gridCol w:w="1320"/>
        <w:gridCol w:w="1320"/>
        <w:gridCol w:w="1320"/>
        <w:gridCol w:w="1319"/>
        <w:gridCol w:w="1319"/>
        <w:gridCol w:w="1320"/>
      </w:tblGrid>
      <w:tr>
        <w:trPr>
          <w:tblHeader w:val="on"/>
        </w:trPr>
        <w:tc>
          <w:tcPr/>
          <w:p>
            <w:pPr>
              <w:pStyle w:val="Compact"/>
            </w:pPr>
            <w:r>
              <w:t xml:space="preserve">Feature</w:t>
            </w:r>
          </w:p>
        </w:tc>
        <w:tc>
          <w:tcPr/>
          <w:p>
            <w:pPr>
              <w:pStyle w:val="Compact"/>
            </w:pPr>
            <w:r>
              <w:t xml:space="preserve">IPFLang</w:t>
            </w:r>
          </w:p>
        </w:tc>
        <w:tc>
          <w:tcPr/>
          <w:p>
            <w:pPr>
              <w:pStyle w:val="Compact"/>
            </w:pPr>
            <w:r>
              <w:t xml:space="preserve">Catala</w:t>
            </w:r>
          </w:p>
        </w:tc>
        <w:tc>
          <w:tcPr/>
          <w:p>
            <w:pPr>
              <w:pStyle w:val="Compact"/>
            </w:pPr>
            <w:r>
              <w:t xml:space="preserve">LegalRuleML</w:t>
            </w:r>
          </w:p>
        </w:tc>
        <w:tc>
          <w:tcPr/>
          <w:p>
            <w:pPr>
              <w:pStyle w:val="Compact"/>
            </w:pPr>
            <w:r>
              <w:t xml:space="preserve">Drools</w:t>
            </w:r>
          </w:p>
        </w:tc>
        <w:tc>
          <w:tcPr/>
          <w:p>
            <w:pPr>
              <w:pStyle w:val="Compact"/>
            </w:pPr>
            <w:r>
              <w:t xml:space="preserve">OpenFisca</w:t>
            </w:r>
          </w:p>
        </w:tc>
      </w:tr>
      <w:tr>
        <w:tc>
          <w:tcPr/>
          <w:p>
            <w:pPr>
              <w:pStyle w:val="Compact"/>
            </w:pPr>
            <w:r>
              <w:t xml:space="preserve">Primary Domain</w:t>
            </w:r>
          </w:p>
        </w:tc>
        <w:tc>
          <w:tcPr/>
          <w:p>
            <w:pPr>
              <w:pStyle w:val="Compact"/>
            </w:pPr>
            <w:r>
              <w:t xml:space="preserve">IP fees</w:t>
            </w:r>
          </w:p>
        </w:tc>
        <w:tc>
          <w:tcPr/>
          <w:p>
            <w:pPr>
              <w:pStyle w:val="Compact"/>
            </w:pPr>
            <w:r>
              <w:t xml:space="preserve">Tax law</w:t>
            </w:r>
          </w:p>
        </w:tc>
        <w:tc>
          <w:tcPr/>
          <w:p>
            <w:pPr>
              <w:pStyle w:val="Compact"/>
            </w:pPr>
            <w:r>
              <w:t xml:space="preserve">Compliance</w:t>
            </w:r>
          </w:p>
        </w:tc>
        <w:tc>
          <w:tcPr/>
          <w:p>
            <w:pPr>
              <w:pStyle w:val="Compact"/>
            </w:pPr>
            <w:r>
              <w:t xml:space="preserve">General</w:t>
            </w:r>
          </w:p>
        </w:tc>
        <w:tc>
          <w:tcPr/>
          <w:p>
            <w:pPr>
              <w:pStyle w:val="Compact"/>
            </w:pPr>
            <w:r>
              <w:t xml:space="preserve">Tax-benefit</w:t>
            </w:r>
          </w:p>
        </w:tc>
      </w:tr>
      <w:tr>
        <w:tc>
          <w:tcPr/>
          <w:p>
            <w:pPr>
              <w:pStyle w:val="Compact"/>
            </w:pPr>
            <w:r>
              <w:t xml:space="preserve">Type Safety</w:t>
            </w:r>
          </w:p>
        </w:tc>
        <w:tc>
          <w:tcPr/>
          <w:p>
            <w:pPr>
              <w:pStyle w:val="Compact"/>
            </w:pPr>
            <w:r>
              <w:t xml:space="preserve">Currency-aware</w:t>
            </w:r>
          </w:p>
        </w:tc>
        <w:tc>
          <w:tcPr/>
          <w:p>
            <w:pPr>
              <w:pStyle w:val="Compact"/>
            </w:pPr>
            <w:r>
              <w:t xml:space="preserve">Dependent types</w:t>
            </w:r>
          </w:p>
        </w:tc>
        <w:tc>
          <w:tcPr/>
          <w:p>
            <w:pPr>
              <w:pStyle w:val="Compact"/>
            </w:pPr>
            <w:r>
              <w:t xml:space="preserve">None</w:t>
            </w:r>
          </w:p>
        </w:tc>
        <w:tc>
          <w:tcPr/>
          <w:p>
            <w:pPr>
              <w:pStyle w:val="Compact"/>
            </w:pPr>
            <w:r>
              <w:t xml:space="preserve">None</w:t>
            </w:r>
          </w:p>
        </w:tc>
        <w:tc>
          <w:tcPr/>
          <w:p>
            <w:pPr>
              <w:pStyle w:val="Compact"/>
            </w:pPr>
            <w:r>
              <w:t xml:space="preserve">Runtime</w:t>
            </w:r>
          </w:p>
        </w:tc>
      </w:tr>
      <w:tr>
        <w:tc>
          <w:tcPr/>
          <w:p>
            <w:pPr>
              <w:pStyle w:val="Compact"/>
            </w:pPr>
            <w:r>
              <w:t xml:space="preserve">Multi-currency</w:t>
            </w:r>
          </w:p>
        </w:tc>
        <w:tc>
          <w:tcPr/>
          <w:p>
            <w:pPr>
              <w:pStyle w:val="Compact"/>
            </w:pPr>
            <w:r>
              <w:t xml:space="preserve">Built-in</w:t>
            </w:r>
          </w:p>
        </w:tc>
        <w:tc>
          <w:tcPr/>
          <w:p>
            <w:pPr>
              <w:pStyle w:val="Compact"/>
            </w:pPr>
            <w:r>
              <w:t xml:space="preserve">User-definable</w:t>
            </w:r>
          </w:p>
        </w:tc>
        <w:tc>
          <w:tcPr/>
          <w:p>
            <w:pPr>
              <w:pStyle w:val="Compact"/>
            </w:pPr>
            <w:r>
              <w:t xml:space="preserve">No</w:t>
            </w:r>
          </w:p>
        </w:tc>
        <w:tc>
          <w:tcPr/>
          <w:p>
            <w:pPr>
              <w:pStyle w:val="Compact"/>
            </w:pPr>
            <w:r>
              <w:t xml:space="preserve">No</w:t>
            </w:r>
          </w:p>
        </w:tc>
        <w:tc>
          <w:tcPr/>
          <w:p>
            <w:pPr>
              <w:pStyle w:val="Compact"/>
            </w:pPr>
            <w:r>
              <w:t xml:space="preserve">Limited</w:t>
            </w:r>
          </w:p>
        </w:tc>
      </w:tr>
      <w:tr>
        <w:tc>
          <w:tcPr/>
          <w:p>
            <w:pPr>
              <w:pStyle w:val="Compact"/>
            </w:pPr>
            <w:r>
              <w:t xml:space="preserve">Static Verification</w:t>
            </w:r>
          </w:p>
        </w:tc>
        <w:tc>
          <w:tcPr/>
          <w:p>
            <w:pPr>
              <w:pStyle w:val="Compact"/>
            </w:pPr>
            <w:r>
              <w:t xml:space="preserve">Completeness, Monotonicity</w:t>
            </w:r>
          </w:p>
        </w:tc>
        <w:tc>
          <w:tcPr/>
          <w:p>
            <w:pPr>
              <w:pStyle w:val="Compact"/>
            </w:pPr>
            <w:r>
              <w:t xml:space="preserve">Exhaustiveness</w:t>
            </w:r>
          </w:p>
        </w:tc>
        <w:tc>
          <w:tcPr/>
          <w:p>
            <w:pPr>
              <w:pStyle w:val="Compact"/>
            </w:pPr>
            <w:r>
              <w:t xml:space="preserve">Defeasibility</w:t>
            </w:r>
          </w:p>
        </w:tc>
        <w:tc>
          <w:tcPr/>
          <w:p>
            <w:pPr>
              <w:pStyle w:val="Compact"/>
            </w:pPr>
            <w:r>
              <w:t xml:space="preserve">None</w:t>
            </w:r>
          </w:p>
        </w:tc>
        <w:tc>
          <w:tcPr/>
          <w:p>
            <w:pPr>
              <w:pStyle w:val="Compact"/>
            </w:pPr>
            <w:r>
              <w:t xml:space="preserve">None</w:t>
            </w:r>
          </w:p>
        </w:tc>
      </w:tr>
      <w:tr>
        <w:tc>
          <w:tcPr/>
          <w:p>
            <w:pPr>
              <w:pStyle w:val="Compact"/>
            </w:pPr>
            <w:r>
              <w:t xml:space="preserve">Syntax Style</w:t>
            </w:r>
          </w:p>
        </w:tc>
        <w:tc>
          <w:tcPr/>
          <w:p>
            <w:pPr>
              <w:pStyle w:val="Compact"/>
            </w:pPr>
            <w:r>
              <w:t xml:space="preserve">Declarative keywords</w:t>
            </w:r>
          </w:p>
        </w:tc>
        <w:tc>
          <w:tcPr/>
          <w:p>
            <w:pPr>
              <w:pStyle w:val="Compact"/>
            </w:pPr>
            <w:r>
              <w:t xml:space="preserve">Literate</w:t>
            </w:r>
          </w:p>
        </w:tc>
        <w:tc>
          <w:tcPr/>
          <w:p>
            <w:pPr>
              <w:pStyle w:val="Compact"/>
            </w:pPr>
            <w:r>
              <w:t xml:space="preserve">XML</w:t>
            </w:r>
          </w:p>
        </w:tc>
        <w:tc>
          <w:tcPr/>
          <w:p>
            <w:pPr>
              <w:pStyle w:val="Compact"/>
            </w:pPr>
            <w:r>
              <w:t xml:space="preserve">Drools DRL</w:t>
            </w:r>
          </w:p>
        </w:tc>
        <w:tc>
          <w:tcPr/>
          <w:p>
            <w:pPr>
              <w:pStyle w:val="Compact"/>
            </w:pPr>
            <w:r>
              <w:t xml:space="preserve">Python</w:t>
            </w:r>
          </w:p>
        </w:tc>
      </w:tr>
      <w:tr>
        <w:tc>
          <w:tcPr/>
          <w:p>
            <w:pPr>
              <w:pStyle w:val="Compact"/>
            </w:pPr>
            <w:r>
              <w:t xml:space="preserve">Target Users</w:t>
            </w:r>
          </w:p>
        </w:tc>
        <w:tc>
          <w:tcPr/>
          <w:p>
            <w:pPr>
              <w:pStyle w:val="Compact"/>
            </w:pPr>
            <w:r>
              <w:t xml:space="preserve">Legal professionals</w:t>
            </w:r>
          </w:p>
        </w:tc>
        <w:tc>
          <w:tcPr/>
          <w:p>
            <w:pPr>
              <w:pStyle w:val="Compact"/>
            </w:pPr>
            <w:r>
              <w:t xml:space="preserve">Formal methods experts</w:t>
            </w:r>
          </w:p>
        </w:tc>
        <w:tc>
          <w:tcPr/>
          <w:p>
            <w:pPr>
              <w:pStyle w:val="Compact"/>
            </w:pPr>
            <w:r>
              <w:t xml:space="preserve">Ontology engineers</w:t>
            </w:r>
          </w:p>
        </w:tc>
        <w:tc>
          <w:tcPr/>
          <w:p>
            <w:pPr>
              <w:pStyle w:val="Compact"/>
            </w:pPr>
            <w:r>
              <w:t xml:space="preserve">Developers</w:t>
            </w:r>
          </w:p>
        </w:tc>
        <w:tc>
          <w:tcPr/>
          <w:p>
            <w:pPr>
              <w:pStyle w:val="Compact"/>
            </w:pPr>
            <w:r>
              <w:t xml:space="preserve">Developers</w:t>
            </w:r>
          </w:p>
        </w:tc>
      </w:tr>
      <w:tr>
        <w:tc>
          <w:tcPr/>
          <w:p>
            <w:pPr>
              <w:pStyle w:val="Compact"/>
            </w:pPr>
            <w:r>
              <w:t xml:space="preserve">Multi-jurisdiction</w:t>
            </w:r>
          </w:p>
        </w:tc>
        <w:tc>
          <w:tcPr/>
          <w:p>
            <w:pPr>
              <w:pStyle w:val="Compact"/>
            </w:pPr>
            <w:r>
              <w:t xml:space="preserve">Composition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Interoperability Focus</w:t>
            </w:r>
          </w:p>
        </w:tc>
        <w:tc>
          <w:tcPr/>
          <w:p>
            <w:pPr>
              <w:pStyle w:val="Compact"/>
            </w:pPr>
            <w:r>
              <w:t xml:space="preserve">Multi-jurisdiction</w:t>
            </w:r>
          </w:p>
        </w:tc>
        <w:tc>
          <w:tcPr/>
          <w:p>
            <w:pPr>
              <w:pStyle w:val="Compact"/>
            </w:pPr>
            <w:r>
              <w:t xml:space="preserve">Single jurisdiction</w:t>
            </w:r>
          </w:p>
        </w:tc>
        <w:tc>
          <w:tcPr/>
          <w:p>
            <w:pPr>
              <w:pStyle w:val="Compact"/>
            </w:pPr>
            <w:r>
              <w:t xml:space="preserve">Ontology mapping</w:t>
            </w:r>
          </w:p>
        </w:tc>
        <w:tc>
          <w:tcPr/>
          <w:p>
            <w:pPr>
              <w:pStyle w:val="Compact"/>
            </w:pPr>
            <w:r>
              <w:t xml:space="preserve">Integration APIs</w:t>
            </w:r>
          </w:p>
        </w:tc>
        <w:tc>
          <w:tcPr/>
          <w:p>
            <w:pPr>
              <w:pStyle w:val="Compact"/>
            </w:pPr>
            <w:r>
              <w:t xml:space="preserve">Country modules</w:t>
            </w:r>
          </w:p>
        </w:tc>
      </w:tr>
      <w:tr>
        <w:tc>
          <w:tcPr/>
          <w:p>
            <w:pPr>
              <w:pStyle w:val="Compact"/>
            </w:pPr>
            <w:r>
              <w:t xml:space="preserve">Provenance</w:t>
            </w:r>
          </w:p>
        </w:tc>
        <w:tc>
          <w:tcPr/>
          <w:p>
            <w:pPr>
              <w:pStyle w:val="Compact"/>
            </w:pPr>
            <w:r>
              <w:t xml:space="preserve">Built-in</w:t>
            </w:r>
          </w:p>
        </w:tc>
        <w:tc>
          <w:tcPr/>
          <w:p>
            <w:pPr>
              <w:pStyle w:val="Compact"/>
            </w:pPr>
            <w:r>
              <w:t xml:space="preserve">No</w:t>
            </w:r>
          </w:p>
        </w:tc>
        <w:tc>
          <w:tcPr/>
          <w:p>
            <w:pPr>
              <w:pStyle w:val="Compact"/>
            </w:pPr>
            <w:r>
              <w:t xml:space="preserve">No</w:t>
            </w:r>
          </w:p>
        </w:tc>
        <w:tc>
          <w:tcPr/>
          <w:p>
            <w:pPr>
              <w:pStyle w:val="Compact"/>
            </w:pPr>
            <w:r>
              <w:t xml:space="preserve">Audit log</w:t>
            </w:r>
          </w:p>
        </w:tc>
        <w:tc>
          <w:tcPr/>
          <w:p>
            <w:pPr>
              <w:pStyle w:val="Compact"/>
            </w:pPr>
            <w:r>
              <w:t xml:space="preserve">No</w:t>
            </w:r>
          </w:p>
        </w:tc>
      </w:tr>
      <w:tr>
        <w:tc>
          <w:tcPr/>
          <w:p>
            <w:pPr>
              <w:pStyle w:val="Compact"/>
            </w:pPr>
            <w:r>
              <w:t xml:space="preserve">License</w:t>
            </w:r>
          </w:p>
        </w:tc>
        <w:tc>
          <w:tcPr/>
          <w:p>
            <w:pPr>
              <w:pStyle w:val="Compact"/>
            </w:pPr>
            <w:r>
              <w:t xml:space="preserve">GPLv3</w:t>
            </w:r>
          </w:p>
        </w:tc>
        <w:tc>
          <w:tcPr/>
          <w:p>
            <w:pPr>
              <w:pStyle w:val="Compact"/>
            </w:pPr>
            <w:r>
              <w:t xml:space="preserve">Apache 2.0</w:t>
            </w:r>
          </w:p>
        </w:tc>
        <w:tc>
          <w:tcPr/>
          <w:p>
            <w:pPr>
              <w:pStyle w:val="Compact"/>
            </w:pPr>
            <w:r>
              <w:t xml:space="preserve">OASIS</w:t>
            </w:r>
          </w:p>
        </w:tc>
        <w:tc>
          <w:tcPr/>
          <w:p>
            <w:pPr>
              <w:pStyle w:val="Compact"/>
            </w:pPr>
            <w:r>
              <w:t xml:space="preserve">Apache 2.0</w:t>
            </w:r>
          </w:p>
        </w:tc>
        <w:tc>
          <w:tcPr/>
          <w:p>
            <w:pPr>
              <w:pStyle w:val="Compact"/>
            </w:pPr>
            <w:r>
              <w:t xml:space="preserve">AGPL</w:t>
            </w:r>
          </w:p>
        </w:tc>
      </w:tr>
    </w:tbl>
    <w:p>
      <w:pPr>
        <w:pStyle w:val="BodyText"/>
      </w:pPr>
      <w:r>
        <w:t xml:space="preserve">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bookmarkEnd w:id="24"/>
    <w:bookmarkEnd w:id="25"/>
    <w:bookmarkStart w:id="42" w:name="ipflang-language-specification"/>
    <w:p>
      <w:pPr>
        <w:pStyle w:val="Heading1"/>
      </w:pPr>
      <w:r>
        <w:t xml:space="preserve">3. IPFLang Language Specification</w:t>
      </w:r>
    </w:p>
    <w:bookmarkStart w:id="26" w:name="design-principles"/>
    <w:p>
      <w:pPr>
        <w:pStyle w:val="Heading3"/>
      </w:pPr>
      <w:r>
        <w:t xml:space="preserve">3.1 Design Principles</w:t>
      </w:r>
    </w:p>
    <w:p>
      <w:pPr>
        <w:pStyle w:val="FirstParagraph"/>
      </w:pPr>
      <w:r>
        <w:t xml:space="preserve">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pPr>
        <w:pStyle w:val="BodyText"/>
      </w:pPr>
      <w:r>
        <w:rPr>
          <w:b/>
          <w:bCs/>
        </w:rPr>
        <w:t xml:space="preserve">Declarative semantics</w:t>
      </w:r>
      <w:r>
        <w:t xml:space="preserve"> </w:t>
      </w:r>
      <w:r>
        <w:t xml:space="preserve">form the foundation of IPFLang's design. Fee calculations specify what to compute rather than how to compute it, enabling legal experts to validate fee formulas directly against official schedules without needing to understand imperative control flow.</w:t>
      </w:r>
    </w:p>
    <w:p>
      <w:pPr>
        <w:pStyle w:val="BodyText"/>
      </w:pPr>
      <w:r>
        <w:t xml:space="preserve">Readability drove the choice of</w:t>
      </w:r>
      <w:r>
        <w:t xml:space="preserve"> </w:t>
      </w:r>
      <w:r>
        <w:rPr>
          <w:b/>
          <w:bCs/>
        </w:rPr>
        <w:t xml:space="preserve">explicit keyword semantics</w:t>
      </w:r>
      <w:r>
        <w:t xml:space="preserve">.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pPr>
        <w:pStyle w:val="BodyText"/>
      </w:pPr>
      <w:r>
        <w:t xml:space="preserve">A</w:t>
      </w:r>
      <w:r>
        <w:t xml:space="preserve"> </w:t>
      </w:r>
      <w:r>
        <w:rPr>
          <w:b/>
          <w:bCs/>
        </w:rPr>
        <w:t xml:space="preserve">static type system</w:t>
      </w:r>
      <w:r>
        <w:t xml:space="preserve"> </w:t>
      </w:r>
      <w:r>
        <w:t xml:space="preserve">catches errors before execution. Input declarations explicitly specify types - NUMBER, LIST, MULTILIST, BOOLEAN, DATE, and AMOUNT - enabling compile-time validation that prevents runtime errors from type mismatches while providing clear parameter documentation.</w:t>
      </w:r>
    </w:p>
    <w:p>
      <w:pPr>
        <w:pStyle w:val="BodyText"/>
      </w:pPr>
      <w:r>
        <w:t xml:space="preserve">IPFLang deliberately embraces</w:t>
      </w:r>
      <w:r>
        <w:t xml:space="preserve"> </w:t>
      </w:r>
      <w:r>
        <w:rPr>
          <w:b/>
          <w:bCs/>
        </w:rPr>
        <w:t xml:space="preserve">minimal syntax complexity</w:t>
      </w:r>
      <w:r>
        <w:t xml:space="preserve">, targeting only features necessary for regulatory fee calculations. Structured blocks such as DEFINE…ENDDEFINE and COMPUTE…ENDCOMPUTE with explicit terminators aid comprehension and prevent syntax errors common in expression-based languages.</w:t>
      </w:r>
    </w:p>
    <w:p>
      <w:pPr>
        <w:pStyle w:val="BodyText"/>
      </w:pPr>
      <w:r>
        <w:t xml:space="preserve">Regulatory contexts demand</w:t>
      </w:r>
      <w:r>
        <w:t xml:space="preserve"> </w:t>
      </w:r>
      <w:r>
        <w:rPr>
          <w:b/>
          <w:bCs/>
        </w:rPr>
        <w:t xml:space="preserve">auditability and traceability</w:t>
      </w:r>
      <w:r>
        <w:t xml:space="preserve">. Fee computation produces step-by-step execution traces showing how final amounts derive from input parameters, addressing legal requirements for calculation transparency and assisting in dispute resolution.</w:t>
      </w:r>
    </w:p>
    <w:p>
      <w:pPr>
        <w:pStyle w:val="BodyText"/>
      </w:pPr>
      <w:r>
        <w:t xml:space="preserve">Finally,</w:t>
      </w:r>
      <w:r>
        <w:t xml:space="preserve"> </w:t>
      </w:r>
      <w:r>
        <w:rPr>
          <w:b/>
          <w:bCs/>
        </w:rPr>
        <w:t xml:space="preserve">jurisdiction independence</w:t>
      </w:r>
      <w:r>
        <w:t xml:space="preserve"> </w:t>
      </w:r>
      <w:r>
        <w:t xml:space="preserve">ensures portability across patent offices. Language constructs make no assumptions about specific jurisdictions; all jurisdiction-specific business rules reside in fee definitions rather than language syntax, enabling extensive code reuse.</w:t>
      </w:r>
    </w:p>
    <w:bookmarkEnd w:id="26"/>
    <w:bookmarkStart w:id="27" w:name="language-syntax-overview"/>
    <w:p>
      <w:pPr>
        <w:pStyle w:val="Heading3"/>
      </w:pPr>
      <w:r>
        <w:t xml:space="preserve">3.2 Language Syntax Overview</w:t>
      </w:r>
    </w:p>
    <w:p>
      <w:pPr>
        <w:pStyle w:val="FirstParagraph"/>
      </w:pPr>
      <w:r>
        <w:t xml:space="preserve">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 - 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pPr>
        <w:pStyle w:val="BodyText"/>
      </w:pPr>
      <w:r>
        <w:t xml:space="preserve">– DSL overview</w:t>
      </w:r>
    </w:p>
    <w:bookmarkEnd w:id="27"/>
    <w:bookmarkStart w:id="28" w:name="version-declaration"/>
    <w:p>
      <w:pPr>
        <w:pStyle w:val="Heading3"/>
      </w:pPr>
      <w:r>
        <w:t xml:space="preserve">3.3 Version Declaration</w:t>
      </w:r>
    </w:p>
    <w:p>
      <w:pPr>
        <w:pStyle w:val="FirstParagraph"/>
      </w:pPr>
      <w:r>
        <w:t xml:space="preserve">Fee schedules change frequently, requiring version tracking with effective dates.</w:t>
      </w:r>
    </w:p>
    <w:p>
      <w:pPr>
        <w:pStyle w:val="BodyText"/>
      </w:pPr>
      <w:r>
        <w:rPr>
          <w:b/>
          <w:bCs/>
        </w:rPr>
        <w:t xml:space="preserve">Syntax:</w:t>
      </w:r>
    </w:p>
    <w:p>
      <w:pPr>
        <w:pStyle w:val="SourceCode"/>
      </w:pPr>
      <w:r>
        <w:rPr>
          <w:rStyle w:val="VerbatimChar"/>
        </w:rPr>
        <w:t xml:space="preserve">VERSION '&lt;VersionId&gt;' EFFECTIVE &lt;date&gt; [DESCRIPTION '&lt;description&gt;'] [REFERENCE '&lt;reference&gt;']</w:t>
      </w:r>
    </w:p>
    <w:p>
      <w:pPr>
        <w:pStyle w:val="FirstParagraph"/>
      </w:pPr>
      <w:r>
        <w:rPr>
          <w:b/>
          <w:bCs/>
        </w:rPr>
        <w:t xml:space="preserve">Example:</w:t>
      </w:r>
    </w:p>
    <w:p>
      <w:pPr>
        <w:pStyle w:val="SourceCode"/>
      </w:pPr>
      <w:r>
        <w:rPr>
          <w:rStyle w:val="VerbatimChar"/>
        </w:rPr>
        <w:t xml:space="preserve">VERSION '2024.1' EFFECTIVE 01.04.2024 DESCRIPTION 'EPO official fees 2024' REFERENCE 'EPO Official Journal 2024/03'</w:t>
      </w:r>
    </w:p>
    <w:p>
      <w:pPr>
        <w:pStyle w:val="FirstParagraph"/>
      </w:pPr>
      <w:r>
        <w:t xml:space="preserve">The VERSION directive enables temporal queries (calculating fees as they were on a specific date), version comparison (identifying changes between fee schedule revisions), and regulatory traceability (linking calculations to authoritative sources).</w:t>
      </w:r>
    </w:p>
    <w:bookmarkEnd w:id="28"/>
    <w:bookmarkStart w:id="35" w:name="input-type-system"/>
    <w:p>
      <w:pPr>
        <w:pStyle w:val="Heading3"/>
      </w:pPr>
      <w:r>
        <w:t xml:space="preserve">3.4 Input Type System</w:t>
      </w:r>
    </w:p>
    <w:p>
      <w:pPr>
        <w:pStyle w:val="FirstParagraph"/>
      </w:pPr>
      <w:r>
        <w:t xml:space="preserve">IPFLang provides six input types matching common parameter patterns across patent offices.</w:t>
      </w:r>
    </w:p>
    <w:bookmarkStart w:id="29" w:name="list-single-choice-enumeration"/>
    <w:p>
      <w:pPr>
        <w:pStyle w:val="Heading4"/>
      </w:pPr>
      <w:r>
        <w:t xml:space="preserve">3.4.1 LIST (Single-Choice Enumeration)</w:t>
      </w:r>
    </w:p>
    <w:p>
      <w:pPr>
        <w:pStyle w:val="FirstParagraph"/>
      </w:pPr>
      <w:r>
        <w:t xml:space="preserve">The LIST type handles parameters with mutually exclusive options such as entity type, filing basis, or examination request.</w:t>
      </w:r>
    </w:p>
    <w:p>
      <w:pPr>
        <w:pStyle w:val="SourceCode"/>
      </w:pPr>
      <w:r>
        <w:rPr>
          <w:rStyle w:val="VerbatimChar"/>
        </w:rPr>
        <w:t xml:space="preserve">DEFINE LIST EntityType AS 'Select entity size'</w:t>
      </w:r>
      <w:r>
        <w:br/>
      </w:r>
      <w:r>
        <w:rPr>
          <w:rStyle w:val="VerbatimChar"/>
        </w:rPr>
        <w:t xml:space="preserve">GROUP General</w:t>
      </w:r>
      <w:r>
        <w:br/>
      </w:r>
      <w:r>
        <w:rPr>
          <w:rStyle w:val="VerbatimChar"/>
        </w:rPr>
        <w:t xml:space="preserve">CHOICE NormalEntity AS 'Large Entity'</w:t>
      </w:r>
      <w:r>
        <w:br/>
      </w:r>
      <w:r>
        <w:rPr>
          <w:rStyle w:val="VerbatimChar"/>
        </w:rPr>
        <w:t xml:space="preserve">CHOICE SmallEntity AS 'Small Entity (50% discount)'</w:t>
      </w:r>
      <w:r>
        <w:br/>
      </w:r>
      <w:r>
        <w:rPr>
          <w:rStyle w:val="VerbatimChar"/>
        </w:rPr>
        <w:t xml:space="preserve">CHOICE MicroEntity AS 'Micro Entity (75% discount)'</w:t>
      </w:r>
      <w:r>
        <w:br/>
      </w:r>
      <w:r>
        <w:rPr>
          <w:rStyle w:val="VerbatimChar"/>
        </w:rPr>
        <w:t xml:space="preserve">DEFAULT NormalEntity</w:t>
      </w:r>
      <w:r>
        <w:br/>
      </w:r>
      <w:r>
        <w:rPr>
          <w:rStyle w:val="VerbatimChar"/>
        </w:rPr>
        <w:t xml:space="preserve">ENDDEFINE</w:t>
      </w:r>
    </w:p>
    <w:bookmarkEnd w:id="29"/>
    <w:bookmarkStart w:id="30" w:name="multilist-multi-choice-enumeration"/>
    <w:p>
      <w:pPr>
        <w:pStyle w:val="Heading4"/>
      </w:pPr>
      <w:r>
        <w:t xml:space="preserve">3.4.2 MULTILIST (Multi-Choice Enumeration)</w:t>
      </w:r>
    </w:p>
    <w:p>
      <w:pPr>
        <w:pStyle w:val="FirstParagraph"/>
      </w:pPr>
      <w:r>
        <w:t xml:space="preserve">The MULTILIST type accommodates parameters allowing multiple selections. The special property accessor</w:t>
      </w:r>
      <w:r>
        <w:t xml:space="preserve"> </w:t>
      </w:r>
      <w:r>
        <w:rPr>
          <w:rStyle w:val="VerbatimChar"/>
        </w:rPr>
        <w:t xml:space="preserve">!COUNT</w:t>
      </w:r>
      <w:r>
        <w:t xml:space="preserve"> </w:t>
      </w:r>
      <w:r>
        <w:t xml:space="preserve">returns the number of selections. IPFLang uses the exclamation mark (</w:t>
      </w:r>
      <w:r>
        <w:rPr>
          <w:rStyle w:val="VerbatimChar"/>
        </w:rPr>
        <w:t xml:space="preserve">!</w:t>
      </w:r>
      <w:r>
        <w:t xml:space="preserve">) as the property accessor to distinguish property access from other syntactic elements and to provide visual emphasis for these computed properties, which derive values from the underlying data rather than representing stored values directly.</w:t>
      </w:r>
    </w:p>
    <w:p>
      <w:pPr>
        <w:pStyle w:val="SourceCode"/>
      </w:pPr>
      <w:r>
        <w:rPr>
          <w:rStyle w:val="VerbatimChar"/>
        </w:rPr>
        <w:t xml:space="preserve">DEFINE MULTILIST Countries AS 'Select validation countries'</w:t>
      </w:r>
      <w:r>
        <w:br/>
      </w:r>
      <w:r>
        <w:rPr>
          <w:rStyle w:val="VerbatimChar"/>
        </w:rPr>
        <w:t xml:space="preserve">CHOICE VAL_DE AS 'Germany'</w:t>
      </w:r>
      <w:r>
        <w:br/>
      </w:r>
      <w:r>
        <w:rPr>
          <w:rStyle w:val="VerbatimChar"/>
        </w:rPr>
        <w:t xml:space="preserve">CHOICE VAL_FR AS 'France'</w:t>
      </w:r>
      <w:r>
        <w:br/>
      </w:r>
      <w:r>
        <w:rPr>
          <w:rStyle w:val="VerbatimChar"/>
        </w:rPr>
        <w:t xml:space="preserve">CHOICE VAL_GB AS 'United Kingdom'</w:t>
      </w:r>
      <w:r>
        <w:br/>
      </w:r>
      <w:r>
        <w:rPr>
          <w:rStyle w:val="VerbatimChar"/>
        </w:rPr>
        <w:t xml:space="preserve">DEFAULT VAL_DE,VAL_FR</w:t>
      </w:r>
      <w:r>
        <w:br/>
      </w:r>
      <w:r>
        <w:rPr>
          <w:rStyle w:val="VerbatimChar"/>
        </w:rPr>
        <w:t xml:space="preserve">ENDDEFINE</w:t>
      </w:r>
    </w:p>
    <w:p>
      <w:pPr>
        <w:pStyle w:val="FirstParagraph"/>
      </w:pPr>
      <w:r>
        <w:rPr>
          <w:b/>
          <w:bCs/>
        </w:rPr>
        <w:t xml:space="preserve">Usage:</w:t>
      </w:r>
      <w:r>
        <w:t xml:space="preserve"> </w:t>
      </w:r>
      <w:r>
        <w:rPr>
          <w:rStyle w:val="VerbatimChar"/>
        </w:rPr>
        <w:t xml:space="preserve">YIELD 100 * Countries!COUNT</w:t>
      </w:r>
    </w:p>
    <w:bookmarkEnd w:id="30"/>
    <w:bookmarkStart w:id="31" w:name="number-numeric-input"/>
    <w:p>
      <w:pPr>
        <w:pStyle w:val="Heading4"/>
      </w:pPr>
      <w:r>
        <w:t xml:space="preserve">3.4.3 NUMBER (Numeric Input)</w:t>
      </w:r>
    </w:p>
    <w:p>
      <w:pPr>
        <w:pStyle w:val="FirstParagraph"/>
      </w:pPr>
      <w:r>
        <w:t xml:space="preserve">The NUMBER type handles counts, quantities, and page numbers with optional constraints.</w:t>
      </w:r>
    </w:p>
    <w:p>
      <w:pPr>
        <w:pStyle w:val="SourceCode"/>
      </w:pPr>
      <w:r>
        <w:rPr>
          <w:rStyle w:val="VerbatimChar"/>
        </w:rPr>
        <w:t xml:space="preserve">DEFINE NUMBER ClaimCount AS 'Number of claims in application'</w:t>
      </w:r>
      <w:r>
        <w:br/>
      </w:r>
      <w:r>
        <w:rPr>
          <w:rStyle w:val="VerbatimChar"/>
        </w:rPr>
        <w:t xml:space="preserve">BETWEEN 1 AND 500</w:t>
      </w:r>
      <w:r>
        <w:br/>
      </w:r>
      <w:r>
        <w:rPr>
          <w:rStyle w:val="VerbatimChar"/>
        </w:rPr>
        <w:t xml:space="preserve">DEFAULT 10</w:t>
      </w:r>
      <w:r>
        <w:br/>
      </w:r>
      <w:r>
        <w:rPr>
          <w:rStyle w:val="VerbatimChar"/>
        </w:rPr>
        <w:t xml:space="preserve">ENDDEFINE</w:t>
      </w:r>
    </w:p>
    <w:bookmarkEnd w:id="31"/>
    <w:bookmarkStart w:id="32" w:name="boolean-yesno"/>
    <w:p>
      <w:pPr>
        <w:pStyle w:val="Heading4"/>
      </w:pPr>
      <w:r>
        <w:t xml:space="preserve">3.4.4 BOOLEAN (Yes/No)</w:t>
      </w:r>
    </w:p>
    <w:p>
      <w:pPr>
        <w:pStyle w:val="FirstParagraph"/>
      </w:pPr>
      <w:r>
        <w:t xml:space="preserve">The BOOLEAN type represents binary choices.</w:t>
      </w:r>
    </w:p>
    <w:p>
      <w:pPr>
        <w:pStyle w:val="SourceCode"/>
      </w:pPr>
      <w:r>
        <w:rPr>
          <w:rStyle w:val="VerbatimChar"/>
        </w:rPr>
        <w:t xml:space="preserve">DEFINE BOOLEAN RequestExamination AS 'Request substantive examination?'</w:t>
      </w:r>
      <w:r>
        <w:br/>
      </w:r>
      <w:r>
        <w:rPr>
          <w:rStyle w:val="VerbatimChar"/>
        </w:rPr>
        <w:t xml:space="preserve">DEFAULT TRUE</w:t>
      </w:r>
      <w:r>
        <w:br/>
      </w:r>
      <w:r>
        <w:rPr>
          <w:rStyle w:val="VerbatimChar"/>
        </w:rPr>
        <w:t xml:space="preserve">ENDDEFINE</w:t>
      </w:r>
    </w:p>
    <w:bookmarkEnd w:id="32"/>
    <w:bookmarkStart w:id="33" w:name="date-date-input"/>
    <w:p>
      <w:pPr>
        <w:pStyle w:val="Heading4"/>
      </w:pPr>
      <w:r>
        <w:t xml:space="preserve">3.4.5 DATE (Date Input)</w:t>
      </w:r>
    </w:p>
    <w:p>
      <w:pPr>
        <w:pStyle w:val="FirstParagraph"/>
      </w:pPr>
      <w:r>
        <w:t xml:space="preserve">The DATE type handles filing dates and priority dates for calculating time-dependent fees. Temporal properties enable calculations based on elapsed time:</w:t>
      </w:r>
    </w:p>
    <w:p>
      <w:pPr>
        <w:pStyle w:val="Compact"/>
        <w:numPr>
          <w:ilvl w:val="0"/>
          <w:numId w:val="1002"/>
        </w:numPr>
      </w:pPr>
      <w:r>
        <w:rPr>
          <w:rStyle w:val="VerbatimChar"/>
        </w:rPr>
        <w:t xml:space="preserve">!YEARSTONOW</w:t>
      </w:r>
      <w:r>
        <w:t xml:space="preserve"> </w:t>
      </w:r>
      <w:r>
        <w:t xml:space="preserve">- Years from date to current date</w:t>
      </w:r>
    </w:p>
    <w:p>
      <w:pPr>
        <w:pStyle w:val="Compact"/>
        <w:numPr>
          <w:ilvl w:val="0"/>
          <w:numId w:val="1002"/>
        </w:numPr>
      </w:pPr>
      <w:r>
        <w:rPr>
          <w:rStyle w:val="VerbatimChar"/>
        </w:rPr>
        <w:t xml:space="preserve">!MONTHSTONOW</w:t>
      </w:r>
      <w:r>
        <w:t xml:space="preserve"> </w:t>
      </w:r>
      <w:r>
        <w:t xml:space="preserve">- Months from date to current date</w:t>
      </w:r>
    </w:p>
    <w:p>
      <w:pPr>
        <w:pStyle w:val="Compact"/>
        <w:numPr>
          <w:ilvl w:val="0"/>
          <w:numId w:val="1002"/>
        </w:numPr>
      </w:pPr>
      <w:r>
        <w:rPr>
          <w:rStyle w:val="VerbatimChar"/>
        </w:rPr>
        <w:t xml:space="preserve">!DAYSTONOW</w:t>
      </w:r>
      <w:r>
        <w:t xml:space="preserve"> </w:t>
      </w:r>
      <w:r>
        <w:t xml:space="preserve">- Days from date to current date</w:t>
      </w:r>
    </w:p>
    <w:p>
      <w:pPr>
        <w:pStyle w:val="Compact"/>
        <w:numPr>
          <w:ilvl w:val="0"/>
          <w:numId w:val="1002"/>
        </w:numPr>
      </w:pPr>
      <w:r>
        <w:rPr>
          <w:rStyle w:val="VerbatimChar"/>
        </w:rPr>
        <w:t xml:space="preserve">!MONTHSTONOW_FROMLASTDAY</w:t>
      </w:r>
      <w:r>
        <w:t xml:space="preserve"> </w:t>
      </w:r>
      <w:r>
        <w:t xml:space="preserve">- Months from end of date’s month</w:t>
      </w:r>
    </w:p>
    <w:p>
      <w:pPr>
        <w:pStyle w:val="SourceCode"/>
      </w:pPr>
      <w:r>
        <w:rPr>
          <w:rStyle w:val="VerbatimChar"/>
        </w:rPr>
        <w:t xml:space="preserve">DEFINE DATE FilingDate AS 'Application filing date'</w:t>
      </w:r>
      <w:r>
        <w:br/>
      </w:r>
      <w:r>
        <w:rPr>
          <w:rStyle w:val="VerbatimChar"/>
        </w:rPr>
        <w:t xml:space="preserve">BETWEEN 01.01.2000 AND TODAY</w:t>
      </w:r>
      <w:r>
        <w:br/>
      </w:r>
      <w:r>
        <w:rPr>
          <w:rStyle w:val="VerbatimChar"/>
        </w:rPr>
        <w:t xml:space="preserve">DEFAULT TODAY</w:t>
      </w:r>
      <w:r>
        <w:br/>
      </w:r>
      <w:r>
        <w:rPr>
          <w:rStyle w:val="VerbatimChar"/>
        </w:rPr>
        <w:t xml:space="preserve">ENDDEFINE</w:t>
      </w:r>
    </w:p>
    <w:p>
      <w:pPr>
        <w:pStyle w:val="FirstParagraph"/>
      </w:pPr>
      <w:r>
        <w:rPr>
          <w:b/>
          <w:bCs/>
        </w:rPr>
        <w:t xml:space="preserve">Usage:</w:t>
      </w:r>
      <w:r>
        <w:t xml:space="preserve"> </w:t>
      </w:r>
      <w:r>
        <w:rPr>
          <w:rStyle w:val="VerbatimChar"/>
        </w:rPr>
        <w:t xml:space="preserve">LET YearsSinceFiling AS FilingDate!YEARSTONOW</w:t>
      </w:r>
    </w:p>
    <w:bookmarkEnd w:id="33"/>
    <w:bookmarkStart w:id="34" w:name="amount-currency-aware-monetary-input"/>
    <w:p>
      <w:pPr>
        <w:pStyle w:val="Heading4"/>
      </w:pPr>
      <w:r>
        <w:t xml:space="preserve">3.4.6 AMOUNT (Currency-Aware Monetary Input)</w:t>
      </w:r>
    </w:p>
    <w:p>
      <w:pPr>
        <w:pStyle w:val="FirstParagraph"/>
      </w:pPr>
      <w:r>
        <w:t xml:space="preserve">The AMOUNT type represents monetary values with an associated ISO 4217 currency code, enabling type-safe arithmetic.</w:t>
      </w:r>
    </w:p>
    <w:p>
      <w:pPr>
        <w:pStyle w:val="SourceCode"/>
      </w:pPr>
      <w:r>
        <w:rPr>
          <w:rStyle w:val="VerbatimChar"/>
        </w:rPr>
        <w:t xml:space="preserve">DEFINE AMOUNT PriorSearchFee AS 'Prior art search fee paid'</w:t>
      </w:r>
      <w:r>
        <w:br/>
      </w:r>
      <w:r>
        <w:rPr>
          <w:rStyle w:val="VerbatimChar"/>
        </w:rPr>
        <w:t xml:space="preserve">CURRENCY EUR</w:t>
      </w:r>
      <w:r>
        <w:br/>
      </w:r>
      <w:r>
        <w:rPr>
          <w:rStyle w:val="VerbatimChar"/>
        </w:rPr>
        <w:t xml:space="preserve">DEFAULT 0</w:t>
      </w:r>
      <w:r>
        <w:br/>
      </w:r>
      <w:r>
        <w:rPr>
          <w:rStyle w:val="VerbatimChar"/>
        </w:rPr>
        <w:t xml:space="preserve">ENDDEFINE</w:t>
      </w:r>
    </w:p>
    <w:p>
      <w:pPr>
        <w:pStyle w:val="FirstParagraph"/>
      </w:pPr>
      <w:r>
        <w:t xml:space="preserve">The AMOUNT type integrates with the currency-aware type system described in Section 4, preventing accidental cross-currency arithmetic.</w:t>
      </w:r>
    </w:p>
    <w:bookmarkEnd w:id="34"/>
    <w:bookmarkEnd w:id="35"/>
    <w:bookmarkStart w:id="36" w:name="group-definitions"/>
    <w:p>
      <w:pPr>
        <w:pStyle w:val="Heading3"/>
      </w:pPr>
      <w:r>
        <w:t xml:space="preserve">3.5 Group Definitions</w:t>
      </w:r>
    </w:p>
    <w:p>
      <w:pPr>
        <w:pStyle w:val="FirstParagraph"/>
      </w:pPr>
      <w:r>
        <w:t xml:space="preserve">Groups organize inputs for user interface presentation, with weights determining display order.</w:t>
      </w:r>
    </w:p>
    <w:p>
      <w:pPr>
        <w:pStyle w:val="SourceCode"/>
      </w:pPr>
      <w:r>
        <w:rPr>
          <w:rStyle w:val="VerbatimChar"/>
        </w:rPr>
        <w:t xml:space="preserve">DEFINE GROUP General AS 'General Information' WITH WEIGHT 10</w:t>
      </w:r>
      <w:r>
        <w:br/>
      </w:r>
      <w:r>
        <w:rPr>
          <w:rStyle w:val="VerbatimChar"/>
        </w:rPr>
        <w:t xml:space="preserve">DEFINE GROUP Claims AS 'Claims Information' WITH WEIGHT 20</w:t>
      </w:r>
      <w:r>
        <w:br/>
      </w:r>
      <w:r>
        <w:rPr>
          <w:rStyle w:val="VerbatimChar"/>
        </w:rPr>
        <w:t xml:space="preserve">DEFINE GROUP Options AS 'Fee Options' WITH WEIGHT 30</w:t>
      </w:r>
    </w:p>
    <w:bookmarkEnd w:id="36"/>
    <w:bookmarkStart w:id="37" w:name="fee-computation-blocks"/>
    <w:p>
      <w:pPr>
        <w:pStyle w:val="Heading3"/>
      </w:pPr>
      <w:r>
        <w:t xml:space="preserve">3.6 Fee Computation Blocks</w:t>
      </w:r>
    </w:p>
    <w:p>
      <w:pPr>
        <w:pStyle w:val="FirstParagraph"/>
      </w:pPr>
      <w:r>
        <w:t xml:space="preserve">Fee calculations use structured COMPUTE FEE blocks with conditional YIELD statements.</w:t>
      </w:r>
    </w:p>
    <w:p>
      <w:pPr>
        <w:pStyle w:val="BodyText"/>
      </w:pPr>
      <w:r>
        <w:rPr>
          <w:b/>
          <w:bCs/>
        </w:rPr>
        <w:t xml:space="preserve">Basic syntax:</w:t>
      </w:r>
    </w:p>
    <w:p>
      <w:pPr>
        <w:pStyle w:val="SourceCode"/>
      </w:pPr>
      <w:r>
        <w:rPr>
          <w:rStyle w:val="VerbatimChar"/>
        </w:rPr>
        <w:t xml:space="preserve">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 xml:space="preserve">ENDCOMPUTE</w:t>
      </w:r>
    </w:p>
    <w:p>
      <w:pPr>
        <w:pStyle w:val="FirstParagraph"/>
      </w:pPr>
      <w:r>
        <w:t xml:space="preserve">The OPTIONAL keyword distinguishes fees that may or may not apply from mandatory fees.</w:t>
      </w:r>
    </w:p>
    <w:p>
      <w:pPr>
        <w:pStyle w:val="BodyText"/>
      </w:pPr>
      <w:r>
        <w:rPr>
          <w:b/>
          <w:bCs/>
        </w:rPr>
        <w:t xml:space="preserve">Example - EPO claim fees with progressive rates:</w:t>
      </w:r>
    </w:p>
    <w:p>
      <w:pPr>
        <w:pStyle w:val="SourceCode"/>
      </w:pPr>
      <w:r>
        <w:rPr>
          <w:rStyle w:val="VerbatimChar"/>
        </w:rPr>
        <w:t xml:space="preserve">COMPUTE FEE ExcessClaimsFee</w:t>
      </w:r>
      <w:r>
        <w:br/>
      </w:r>
      <w:r>
        <w:rPr>
          <w:rStyle w:val="VerbatimChar"/>
        </w:rPr>
        <w:t xml:space="preserve">LET ClaimFee1 AS 265&lt;EUR&gt;</w:t>
      </w:r>
      <w:r>
        <w:br/>
      </w:r>
      <w:r>
        <w:rPr>
          <w:rStyle w:val="VerbatimChar"/>
        </w:rPr>
        <w:t xml:space="preserve">LET ClaimFee2 AS 660&lt;EUR&gt;</w:t>
      </w:r>
      <w:r>
        <w:br/>
      </w:r>
      <w:r>
        <w:rPr>
          <w:rStyle w:val="VerbatimChar"/>
        </w:rPr>
        <w:t xml:space="preserve">CASE ClaimCount LTE 15 AS</w:t>
      </w:r>
      <w:r>
        <w:br/>
      </w:r>
      <w:r>
        <w:rPr>
          <w:rStyle w:val="VerbatimChar"/>
        </w:rPr>
        <w:t xml:space="preserve">  YIELD 0&lt;EUR&gt;</w:t>
      </w:r>
      <w:r>
        <w:br/>
      </w:r>
      <w:r>
        <w:rPr>
          <w:rStyle w:val="VerbatimChar"/>
        </w:rPr>
        <w:t xml:space="preserve">ENDCASE</w:t>
      </w:r>
      <w:r>
        <w:br/>
      </w:r>
      <w:r>
        <w:rPr>
          <w:rStyle w:val="VerbatimChar"/>
        </w:rPr>
        <w:t xml:space="preserve">CASE ClaimCount GT 15 AND ClaimCount LTE 50 AS</w:t>
      </w:r>
      <w:r>
        <w:br/>
      </w:r>
      <w:r>
        <w:rPr>
          <w:rStyle w:val="VerbatimChar"/>
        </w:rPr>
        <w:t xml:space="preserve">  YIELD ClaimFee1 * (ClaimCount - 15)</w:t>
      </w:r>
      <w:r>
        <w:br/>
      </w:r>
      <w:r>
        <w:rPr>
          <w:rStyle w:val="VerbatimChar"/>
        </w:rPr>
        <w:t xml:space="preserve">ENDCASE</w:t>
      </w:r>
      <w:r>
        <w:br/>
      </w:r>
      <w:r>
        <w:rPr>
          <w:rStyle w:val="VerbatimChar"/>
        </w:rPr>
        <w:t xml:space="preserve">CASE ClaimCount GT 50 AS</w:t>
      </w:r>
      <w:r>
        <w:br/>
      </w:r>
      <w:r>
        <w:rPr>
          <w:rStyle w:val="VerbatimChar"/>
        </w:rPr>
        <w:t xml:space="preserve">  YIELD ClaimFee1 * 35 + ClaimFee2 * (ClaimCount - 50)</w:t>
      </w:r>
      <w:r>
        <w:br/>
      </w:r>
      <w:r>
        <w:rPr>
          <w:rStyle w:val="VerbatimChar"/>
        </w:rPr>
        <w:t xml:space="preserve">ENDCASE</w:t>
      </w:r>
      <w:r>
        <w:br/>
      </w:r>
      <w:r>
        <w:rPr>
          <w:rStyle w:val="VerbatimChar"/>
        </w:rPr>
        <w:t xml:space="preserve">ENDCOMPUTE</w:t>
      </w:r>
    </w:p>
    <w:p>
      <w:pPr>
        <w:pStyle w:val="FirstParagraph"/>
      </w:pPr>
      <w:r>
        <w:t xml:space="preserve">This directly encodes the EPO’s fee schedule: EUR 265 per claim for claims 16-50 and EUR 660 per claim beyond 50.</w:t>
      </w:r>
    </w:p>
    <w:bookmarkEnd w:id="37"/>
    <w:bookmarkStart w:id="38" w:name="currency-literals"/>
    <w:p>
      <w:pPr>
        <w:pStyle w:val="Heading3"/>
      </w:pPr>
      <w:r>
        <w:t xml:space="preserve">3.7 Currency Literals</w:t>
      </w:r>
    </w:p>
    <w:p>
      <w:pPr>
        <w:pStyle w:val="FirstParagraph"/>
      </w:pPr>
      <w:r>
        <w:t xml:space="preserve">Numeric values can be annotated with ISO 4217 currency codes:</w:t>
      </w:r>
    </w:p>
    <w:p>
      <w:pPr>
        <w:pStyle w:val="SourceCode"/>
      </w:pPr>
      <w:r>
        <w:rPr>
          <w:rStyle w:val="VerbatimChar"/>
        </w:rPr>
        <w:t xml:space="preserve">100&lt;EUR&gt;      # 100 Euros</w:t>
      </w:r>
      <w:r>
        <w:br/>
      </w:r>
      <w:r>
        <w:rPr>
          <w:rStyle w:val="VerbatimChar"/>
        </w:rPr>
        <w:t xml:space="preserve">50.50&lt;USD&gt;    # 50.50 US Dollars</w:t>
      </w:r>
      <w:r>
        <w:br/>
      </w:r>
      <w:r>
        <w:rPr>
          <w:rStyle w:val="VerbatimChar"/>
        </w:rPr>
        <w:t xml:space="preserve">1000&lt;JPY&gt;     # 1000 Japanese Yen</w:t>
      </w:r>
    </w:p>
    <w:p>
      <w:pPr>
        <w:pStyle w:val="FirstParagraph"/>
      </w:pPr>
      <w:r>
        <w:t xml:space="preserve">The type system enforces currency compatibility at compile time, as detailed in Section 4.</w:t>
      </w:r>
    </w:p>
    <w:bookmarkEnd w:id="38"/>
    <w:bookmarkStart w:id="39" w:name="operators-and-expressions"/>
    <w:p>
      <w:pPr>
        <w:pStyle w:val="Heading3"/>
      </w:pPr>
      <w:r>
        <w:t xml:space="preserve">3.8 Operators and Expressions</w:t>
      </w:r>
    </w:p>
    <w:p>
      <w:pPr>
        <w:pStyle w:val="FirstParagraph"/>
      </w:pPr>
      <w:r>
        <w:t xml:space="preserve">IPFLang provides:</w:t>
      </w:r>
    </w:p>
    <w:p>
      <w:pPr>
        <w:pStyle w:val="BodyText"/>
      </w:pPr>
      <w:r>
        <w:rPr>
          <w:b/>
          <w:bCs/>
        </w:rPr>
        <w:t xml:space="preserve">Comparison operators:</w:t>
      </w:r>
      <w:r>
        <w:t xml:space="preserve"> </w:t>
      </w:r>
      <w:r>
        <w:t xml:space="preserve">EQ (equality), NEQ (inequality), GT (greater than), LT (less than), GTE (greater or equal), LTE (less or equal)</w:t>
      </w:r>
    </w:p>
    <w:p>
      <w:pPr>
        <w:pStyle w:val="BodyText"/>
      </w:pPr>
      <w:r>
        <w:rPr>
          <w:b/>
          <w:bCs/>
        </w:rPr>
        <w:t xml:space="preserve">Logical operators:</w:t>
      </w:r>
      <w:r>
        <w:t xml:space="preserve"> </w:t>
      </w:r>
      <w:r>
        <w:t xml:space="preserve">AND, OR (with short-circuit evaluation)</w:t>
      </w:r>
    </w:p>
    <w:p>
      <w:pPr>
        <w:pStyle w:val="BodyText"/>
      </w:pPr>
      <w:r>
        <w:rPr>
          <w:b/>
          <w:bCs/>
        </w:rPr>
        <w:t xml:space="preserve">Arithmetic operators:</w:t>
      </w:r>
      <w:r>
        <w:t xml:space="preserve"> </w:t>
      </w:r>
      <w:r>
        <w:t xml:space="preserve">+, -, *, /, with ROUND, FLOOR, CEIL functions</w:t>
      </w:r>
    </w:p>
    <w:p>
      <w:pPr>
        <w:pStyle w:val="BodyText"/>
      </w:pPr>
      <w:r>
        <w:rPr>
          <w:b/>
          <w:bCs/>
        </w:rPr>
        <w:t xml:space="preserve">Set operators for MULTILIST:</w:t>
      </w:r>
      <w:r>
        <w:t xml:space="preserve"> </w:t>
      </w:r>
      <w:r>
        <w:t xml:space="preserve">IN (membership), NIN (non-membership), !COUNT (cardinality)</w:t>
      </w:r>
    </w:p>
    <w:p>
      <w:pPr>
        <w:pStyle w:val="BodyText"/>
      </w:pPr>
      <w:r>
        <w:rPr>
          <w:b/>
          <w:bCs/>
        </w:rPr>
        <w:t xml:space="preserve">Operator precedence</w:t>
      </w:r>
      <w:r>
        <w:t xml:space="preserve"> </w:t>
      </w:r>
      <w:r>
        <w:t xml:space="preserve">(highest to lowest): ROUND/FLOOR/CEIL, then *, /, then +, -, then comparisons, then AND, then OR. Parentheses override default precedence.</w:t>
      </w:r>
    </w:p>
    <w:bookmarkEnd w:id="39"/>
    <w:bookmarkStart w:id="40" w:name="jurisdiction-composition"/>
    <w:p>
      <w:pPr>
        <w:pStyle w:val="Heading3"/>
      </w:pPr>
      <w:r>
        <w:t xml:space="preserve">3.9 Jurisdiction Composition</w:t>
      </w:r>
    </w:p>
    <w:p>
      <w:pPr>
        <w:pStyle w:val="FirstParagraph"/>
      </w:pPr>
      <w:r>
        <w:t xml:space="preserve">IPFLang supports inheritance for code reuse across related fee schedules. A child jurisdiction inherits inputs and fees from a parent, can add new definitions, and can override inherited fees.</w:t>
      </w:r>
    </w:p>
    <w:p>
      <w:pPr>
        <w:pStyle w:val="BodyText"/>
      </w:pPr>
      <w:r>
        <w:rPr>
          <w:b/>
          <w:bCs/>
        </w:rPr>
        <w:t xml:space="preserve">Parent (EPO base):</w:t>
      </w:r>
    </w:p>
    <w:p>
      <w:pPr>
        <w:pStyle w:val="SourceCode"/>
      </w:pPr>
      <w:r>
        <w:rPr>
          <w:rStyle w:val="VerbatimChar"/>
        </w:rPr>
        <w:t xml:space="preserve">COMPUTE FEE FilingFee</w:t>
      </w:r>
      <w:r>
        <w:br/>
      </w:r>
      <w:r>
        <w:rPr>
          <w:rStyle w:val="VerbatimChar"/>
        </w:rPr>
        <w:t xml:space="preserve">YIELD 135&lt;EUR&gt;</w:t>
      </w:r>
      <w:r>
        <w:br/>
      </w:r>
      <w:r>
        <w:rPr>
          <w:rStyle w:val="VerbatimChar"/>
        </w:rPr>
        <w:t xml:space="preserve">ENDCOMPUTE</w:t>
      </w:r>
    </w:p>
    <w:p>
      <w:pPr>
        <w:pStyle w:val="FirstParagraph"/>
      </w:pPr>
      <w:r>
        <w:rPr>
          <w:b/>
          <w:bCs/>
        </w:rPr>
        <w:t xml:space="preserve">Child (EPO Germany national phase):</w:t>
      </w:r>
    </w:p>
    <w:p>
      <w:pPr>
        <w:pStyle w:val="SourceCode"/>
      </w:pPr>
      <w:r>
        <w:rPr>
          <w:rStyle w:val="VerbatimChar"/>
        </w:rPr>
        <w:t xml:space="preserve"># Inherits FilingFee from parent</w:t>
      </w:r>
      <w:r>
        <w:br/>
      </w:r>
      <w:r>
        <w:rPr>
          <w:rStyle w:val="VerbatimChar"/>
        </w:rPr>
        <w:t xml:space="preserve"># Adds Germany-specific fee</w:t>
      </w:r>
      <w:r>
        <w:br/>
      </w:r>
      <w:r>
        <w:rPr>
          <w:rStyle w:val="VerbatimChar"/>
        </w:rPr>
        <w:t xml:space="preserve">COMPUTE FEE GermanTranslationFee</w:t>
      </w:r>
      <w:r>
        <w:br/>
      </w:r>
      <w:r>
        <w:rPr>
          <w:rStyle w:val="VerbatimChar"/>
        </w:rPr>
        <w:t xml:space="preserve">YIELD 1050&lt;EUR&gt; IF NeedsTranslation EQ TRUE</w:t>
      </w:r>
      <w:r>
        <w:br/>
      </w:r>
      <w:r>
        <w:rPr>
          <w:rStyle w:val="VerbatimChar"/>
        </w:rPr>
        <w:t xml:space="preserve">YIELD 0&lt;EUR&gt; IF NeedsTranslation EQ FALSE</w:t>
      </w:r>
      <w:r>
        <w:br/>
      </w:r>
      <w:r>
        <w:rPr>
          <w:rStyle w:val="VerbatimChar"/>
        </w:rPr>
        <w:t xml:space="preserve">ENDCOMPUTE</w:t>
      </w:r>
    </w:p>
    <w:p>
      <w:pPr>
        <w:pStyle w:val="FirstParagraph"/>
      </w:pPr>
      <w:r>
        <w:t xml:space="preserve">Composition enables significant code reuse between related jurisdictions, simplifies maintenance when base fees change, and maintains clear traceability of fee origins. Jurisdiction composition is implemented at the tool level rather than as a language construct. The ipflang compose command merges multiple IPFLang files, with the resulting combined program conforming to the grammar specification.</w:t>
      </w:r>
    </w:p>
    <w:bookmarkEnd w:id="40"/>
    <w:bookmarkStart w:id="41" w:name="formal-grammar-ebnf"/>
    <w:p>
      <w:pPr>
        <w:pStyle w:val="Heading3"/>
      </w:pPr>
      <w:r>
        <w:t xml:space="preserve">3.10 Formal Grammar (EBNF)</w:t>
      </w:r>
    </w:p>
    <w:p>
      <w:pPr>
        <w:pStyle w:val="FirstParagraph"/>
      </w:pPr>
      <w:r>
        <w:t xml:space="preserve">The complete formal grammar in Extended Backus-Naur Form:</w:t>
      </w:r>
    </w:p>
    <w:p>
      <w:pPr>
        <w:pStyle w:val="SourceCode"/>
      </w:pPr>
      <w:r>
        <w:rPr>
          <w:rStyle w:val="VerbatimChar"/>
        </w:rPr>
        <w:t xml:space="preserve">(* Program Structure *)</w:t>
      </w:r>
      <w:r>
        <w:br/>
      </w:r>
      <w:r>
        <w:rPr>
          <w:rStyle w:val="VerbatimChar"/>
        </w:rPr>
        <w:t xml:space="preserve">&lt;program&gt;              ::= &lt;comment&gt;* &lt;version&gt;? &lt;group&gt;* &lt;input_definition&gt;*</w:t>
      </w:r>
      <w:r>
        <w:br/>
      </w:r>
      <w:r>
        <w:rPr>
          <w:rStyle w:val="VerbatimChar"/>
        </w:rPr>
        <w:t xml:space="preserve">                           &lt;fee_computation&gt;+ &lt;verification&gt;* &lt;return&gt;*</w:t>
      </w:r>
      <w:r>
        <w:br/>
      </w:r>
      <w:r>
        <w:br/>
      </w:r>
      <w:r>
        <w:rPr>
          <w:rStyle w:val="VerbatimChar"/>
        </w:rPr>
        <w:t xml:space="preserve">(* Comments *)</w:t>
      </w:r>
      <w:r>
        <w:br/>
      </w:r>
      <w:r>
        <w:rPr>
          <w:rStyle w:val="VerbatimChar"/>
        </w:rPr>
        <w:t xml:space="preserve">&lt;comment&gt;              ::= "#" {&lt;any_char&gt; - &lt;newline&gt;} &lt;newline&gt;</w:t>
      </w:r>
      <w:r>
        <w:br/>
      </w:r>
      <w:r>
        <w:br/>
      </w:r>
      <w:r>
        <w:rPr>
          <w:rStyle w:val="VerbatimChar"/>
        </w:rPr>
        <w:t xml:space="preserve">(* Version Declaration *)</w:t>
      </w:r>
      <w:r>
        <w:br/>
      </w:r>
      <w:r>
        <w:rPr>
          <w:rStyle w:val="VerbatimChar"/>
        </w:rPr>
        <w:t xml:space="preserve">&lt;version&gt;              ::= "VERSION" &lt;string&gt; "EFFECTIVE" &lt;date&gt;</w:t>
      </w:r>
      <w:r>
        <w:br/>
      </w:r>
      <w:r>
        <w:rPr>
          <w:rStyle w:val="VerbatimChar"/>
        </w:rPr>
        <w:t xml:space="preserve">                           ["DESCRIPTION" &lt;string&gt;] ["REFERENCE" &lt;string&gt;]</w:t>
      </w:r>
      <w:r>
        <w:br/>
      </w:r>
      <w:r>
        <w:br/>
      </w:r>
      <w:r>
        <w:rPr>
          <w:rStyle w:val="VerbatimChar"/>
        </w:rPr>
        <w:t xml:space="preserve">(* Group Definition *)</w:t>
      </w:r>
      <w:r>
        <w:br/>
      </w:r>
      <w:r>
        <w:rPr>
          <w:rStyle w:val="VerbatimChar"/>
        </w:rPr>
        <w:t xml:space="preserve">&lt;group&gt;                ::= "DEFINE" "GROUP" &lt;identifier&gt; "AS" &lt;string&gt;</w:t>
      </w:r>
      <w:r>
        <w:br/>
      </w:r>
      <w:r>
        <w:rPr>
          <w:rStyle w:val="VerbatimChar"/>
        </w:rPr>
        <w:t xml:space="preserve">                           "WITH" "WEIGHT" &lt;number&gt;</w:t>
      </w:r>
      <w:r>
        <w:br/>
      </w:r>
      <w:r>
        <w:br/>
      </w:r>
      <w:r>
        <w:rPr>
          <w:rStyle w:val="VerbatimChar"/>
        </w:rPr>
        <w:t xml:space="preserve">(* Input Definitions *)</w:t>
      </w:r>
      <w:r>
        <w:br/>
      </w:r>
      <w:r>
        <w:rPr>
          <w:rStyle w:val="VerbatimChar"/>
        </w:rPr>
        <w:t xml:space="preserve">&lt;input_definition&gt;     ::= "DEFINE" &lt;input_type&gt; &lt;identifier&gt; "AS" &lt;string&gt;</w:t>
      </w:r>
      <w:r>
        <w:br/>
      </w:r>
      <w:r>
        <w:rPr>
          <w:rStyle w:val="VerbatimChar"/>
        </w:rPr>
        <w:t xml:space="preserve">                           &lt;type_specifics&gt; ["DEFAULT" &lt;default_value&gt;]</w:t>
      </w:r>
      <w:r>
        <w:br/>
      </w:r>
      <w:r>
        <w:rPr>
          <w:rStyle w:val="VerbatimChar"/>
        </w:rPr>
        <w:t xml:space="preserve">                           ["GROUP" &lt;identifier&gt;] "ENDDEFINE"</w:t>
      </w:r>
      <w:r>
        <w:br/>
      </w:r>
      <w:r>
        <w:rPr>
          <w:rStyle w:val="VerbatimChar"/>
        </w:rPr>
        <w:t xml:space="preserve">&lt;input_type&gt;           ::= "LIST" | "MULTILIST" | "NUMBER" | "BOOLEAN" | "DATE" | "AMOUNT"</w:t>
      </w:r>
      <w:r>
        <w:br/>
      </w:r>
      <w:r>
        <w:rPr>
          <w:rStyle w:val="VerbatimChar"/>
        </w:rPr>
        <w:t xml:space="preserve">&lt;type_specifics&gt;       ::= &lt;choices&gt; | &lt;numeric_constraint&gt; | &lt;date_constraint&gt;</w:t>
      </w:r>
      <w:r>
        <w:br/>
      </w:r>
      <w:r>
        <w:rPr>
          <w:rStyle w:val="VerbatimChar"/>
        </w:rPr>
        <w:t xml:space="preserve">                         | &lt;currency_spec&gt; | ε</w:t>
      </w:r>
      <w:r>
        <w:br/>
      </w:r>
      <w:r>
        <w:rPr>
          <w:rStyle w:val="VerbatimChar"/>
        </w:rPr>
        <w:t xml:space="preserve">&lt;choices&gt;              ::= &lt;choice&gt;+</w:t>
      </w:r>
      <w:r>
        <w:br/>
      </w:r>
      <w:r>
        <w:rPr>
          <w:rStyle w:val="VerbatimChar"/>
        </w:rPr>
        <w:t xml:space="preserve">&lt;choice&gt;               ::= "CHOICE" &lt;identifier&gt; "AS" &lt;string&gt;</w:t>
      </w:r>
      <w:r>
        <w:br/>
      </w:r>
      <w:r>
        <w:rPr>
          <w:rStyle w:val="VerbatimChar"/>
        </w:rPr>
        <w:t xml:space="preserve">&lt;numeric_constraint&gt;   ::= "BETWEEN" &lt;number&gt; "AND" &lt;number&gt;</w:t>
      </w:r>
      <w:r>
        <w:br/>
      </w:r>
      <w:r>
        <w:rPr>
          <w:rStyle w:val="VerbatimChar"/>
        </w:rPr>
        <w:t xml:space="preserve">&lt;date_constraint&gt;      ::= "BETWEEN" &lt;date&gt; "AND" (&lt;date&gt; | "TODAY")</w:t>
      </w:r>
      <w:r>
        <w:br/>
      </w:r>
      <w:r>
        <w:rPr>
          <w:rStyle w:val="VerbatimChar"/>
        </w:rPr>
        <w:t xml:space="preserve">&lt;currency_spec&gt;        ::= "CURRENCY" &lt;currency_code&gt;</w:t>
      </w:r>
      <w:r>
        <w:br/>
      </w:r>
      <w:r>
        <w:rPr>
          <w:rStyle w:val="VerbatimChar"/>
        </w:rPr>
        <w:t xml:space="preserve">&lt;default_value&gt;        ::= &lt;number&gt; | &lt;identifier&gt; | &lt;boolean_literal&gt; | &lt;date&gt;</w:t>
      </w:r>
      <w:r>
        <w:br/>
      </w:r>
      <w:r>
        <w:rPr>
          <w:rStyle w:val="VerbatimChar"/>
        </w:rPr>
        <w:t xml:space="preserve">                         | &lt;currency_literal&gt; | &lt;identifier_list&gt;</w:t>
      </w:r>
      <w:r>
        <w:br/>
      </w:r>
      <w:r>
        <w:rPr>
          <w:rStyle w:val="VerbatimChar"/>
        </w:rPr>
        <w:t xml:space="preserve">&lt;identifier_list&gt;      ::= &lt;identifier&gt; ("," &lt;identifier&gt;)*</w:t>
      </w:r>
      <w:r>
        <w:br/>
      </w:r>
      <w:r>
        <w:rPr>
          <w:rStyle w:val="VerbatimChar"/>
        </w:rPr>
        <w:t xml:space="preserve">&lt;boolean_literal&gt;      ::= "TRUE" | "FALSE"</w:t>
      </w:r>
      <w:r>
        <w:br/>
      </w:r>
      <w:r>
        <w:br/>
      </w:r>
      <w:r>
        <w:rPr>
          <w:rStyle w:val="VerbatimChar"/>
        </w:rPr>
        <w:t xml:space="preserve">(* Fee Computation *)</w:t>
      </w:r>
      <w:r>
        <w:br/>
      </w:r>
      <w:r>
        <w:rPr>
          <w:rStyle w:val="VerbatimChar"/>
        </w:rPr>
        <w:t xml:space="preserve">&lt;fee_computation&gt;      ::= "COMPUTE" "FEE" &lt;identifier&gt; [&lt;type_params&gt;]</w:t>
      </w:r>
      <w:r>
        <w:br/>
      </w:r>
      <w:r>
        <w:rPr>
          <w:rStyle w:val="VerbatimChar"/>
        </w:rPr>
        <w:t xml:space="preserve">                           ["RETURN" &lt;currency_code&gt;] ["OPTIONAL"]</w:t>
      </w:r>
      <w:r>
        <w:br/>
      </w:r>
      <w:r>
        <w:rPr>
          <w:rStyle w:val="VerbatimChar"/>
        </w:rPr>
        <w:t xml:space="preserve">                           &lt;let_statement&gt;* &lt;case_or_yield&gt;*</w:t>
      </w:r>
      <w:r>
        <w:br/>
      </w:r>
      <w:r>
        <w:rPr>
          <w:rStyle w:val="VerbatimChar"/>
        </w:rPr>
        <w:t xml:space="preserve">                           "ENDCOMPUTE"</w:t>
      </w:r>
      <w:r>
        <w:br/>
      </w:r>
      <w:r>
        <w:rPr>
          <w:rStyle w:val="VerbatimChar"/>
        </w:rPr>
        <w:t xml:space="preserve">&lt;type_params&gt;          ::= "&lt;" &lt;type_variable&gt; "&gt;"</w:t>
      </w:r>
      <w:r>
        <w:br/>
      </w:r>
      <w:r>
        <w:rPr>
          <w:rStyle w:val="VerbatimChar"/>
        </w:rPr>
        <w:t xml:space="preserve">&lt;type_variable&gt;        ::= &lt;upper_letter&gt;</w:t>
      </w:r>
      <w:r>
        <w:br/>
      </w:r>
      <w:r>
        <w:rPr>
          <w:rStyle w:val="VerbatimChar"/>
        </w:rPr>
        <w:t xml:space="preserve">&lt;let_statement&gt;        ::= "LET" &lt;identifier&gt; "AS" &lt;expression&gt;</w:t>
      </w:r>
      <w:r>
        <w:br/>
      </w:r>
      <w:r>
        <w:rPr>
          <w:rStyle w:val="VerbatimChar"/>
        </w:rPr>
        <w:t xml:space="preserve">&lt;case_or_yield&gt;        ::= &lt;case_block&gt; | &lt;yield_statement&gt;</w:t>
      </w:r>
      <w:r>
        <w:br/>
      </w:r>
      <w:r>
        <w:rPr>
          <w:rStyle w:val="VerbatimChar"/>
        </w:rPr>
        <w:t xml:space="preserve">&lt;case_block&gt;           ::= "CASE" &lt;condition&gt; "AS" &lt;yield_statement&gt;+ "ENDCASE"</w:t>
      </w:r>
      <w:r>
        <w:br/>
      </w:r>
      <w:r>
        <w:rPr>
          <w:rStyle w:val="VerbatimChar"/>
        </w:rPr>
        <w:t xml:space="preserve">&lt;yield_statement&gt;      ::= "YIELD" &lt;expression&gt; ["IF" &lt;condition&gt;]</w:t>
      </w:r>
      <w:r>
        <w:br/>
      </w:r>
      <w:r>
        <w:br/>
      </w:r>
      <w:r>
        <w:rPr>
          <w:rStyle w:val="VerbatimChar"/>
        </w:rPr>
        <w:t xml:space="preserve">(* Verification Directives *)</w:t>
      </w:r>
      <w:r>
        <w:br/>
      </w:r>
      <w:r>
        <w:rPr>
          <w:rStyle w:val="VerbatimChar"/>
        </w:rPr>
        <w:t xml:space="preserve">&lt;verification&gt;         ::= &lt;verify_complete&gt; | &lt;verify_monotonic&gt;</w:t>
      </w:r>
      <w:r>
        <w:br/>
      </w:r>
      <w:r>
        <w:rPr>
          <w:rStyle w:val="VerbatimChar"/>
        </w:rPr>
        <w:t xml:space="preserve">&lt;verify_complete&gt;      ::= "VERIFY" "COMPLETE" "FEE" &lt;identifier&gt;</w:t>
      </w:r>
      <w:r>
        <w:br/>
      </w:r>
      <w:r>
        <w:rPr>
          <w:rStyle w:val="VerbatimChar"/>
        </w:rPr>
        <w:t xml:space="preserve">&lt;verify_monotonic&gt;     ::= "VERIFY" "MONOTONIC" "FEE" &lt;identifier&gt;</w:t>
      </w:r>
      <w:r>
        <w:br/>
      </w:r>
      <w:r>
        <w:rPr>
          <w:rStyle w:val="VerbatimChar"/>
        </w:rPr>
        <w:t xml:space="preserve">                           "WITH" "RESPECT" "TO" &lt;identifier&gt;</w:t>
      </w:r>
      <w:r>
        <w:br/>
      </w:r>
      <w:r>
        <w:rPr>
          <w:rStyle w:val="VerbatimChar"/>
        </w:rPr>
        <w:t xml:space="preserve">                           ["DIRECTION" &lt;direction&gt;]</w:t>
      </w:r>
      <w:r>
        <w:br/>
      </w:r>
      <w:r>
        <w:rPr>
          <w:rStyle w:val="VerbatimChar"/>
        </w:rPr>
        <w:t xml:space="preserve">&lt;direction&gt;            ::= "NonDecreasing" | "NonIncreasing"</w:t>
      </w:r>
      <w:r>
        <w:br/>
      </w:r>
      <w:r>
        <w:rPr>
          <w:rStyle w:val="VerbatimChar"/>
        </w:rPr>
        <w:t xml:space="preserve">                         | "StrictlyIncreasing" | "StrictlyDecreasing"</w:t>
      </w:r>
      <w:r>
        <w:br/>
      </w:r>
      <w:r>
        <w:br/>
      </w:r>
      <w:r>
        <w:rPr>
          <w:rStyle w:val="VerbatimChar"/>
        </w:rPr>
        <w:t xml:space="preserve">(* Return Statement *)</w:t>
      </w:r>
      <w:r>
        <w:br/>
      </w:r>
      <w:r>
        <w:rPr>
          <w:rStyle w:val="VerbatimChar"/>
        </w:rPr>
        <w:t xml:space="preserve">&lt;return&gt;               ::= "RETURN" &lt;identifier&gt; "AS" &lt;string&gt;</w:t>
      </w:r>
      <w:r>
        <w:br/>
      </w:r>
      <w:r>
        <w:br/>
      </w:r>
      <w:r>
        <w:rPr>
          <w:rStyle w:val="VerbatimChar"/>
        </w:rPr>
        <w:t xml:space="preserve">(* Expressions *)</w:t>
      </w:r>
      <w:r>
        <w:br/>
      </w:r>
      <w:r>
        <w:rPr>
          <w:rStyle w:val="VerbatimChar"/>
        </w:rPr>
        <w:t xml:space="preserve">&lt;expression&gt;           ::= &lt;term&gt; (("+" | "-") &lt;term&gt;)*</w:t>
      </w:r>
      <w:r>
        <w:br/>
      </w:r>
      <w:r>
        <w:rPr>
          <w:rStyle w:val="VerbatimChar"/>
        </w:rPr>
        <w:t xml:space="preserve">&lt;term&gt;                 ::= &lt;factor&gt; (("*" | "/") &lt;factor&gt;)*</w:t>
      </w:r>
      <w:r>
        <w:br/>
      </w:r>
      <w:r>
        <w:rPr>
          <w:rStyle w:val="VerbatimChar"/>
        </w:rPr>
        <w:t xml:space="preserve">&lt;factor&gt;               ::= &lt;number&gt; | &lt;currency_literal&gt; | &lt;identifier&gt;</w:t>
      </w:r>
      <w:r>
        <w:br/>
      </w:r>
      <w:r>
        <w:rPr>
          <w:rStyle w:val="VerbatimChar"/>
        </w:rPr>
        <w:t xml:space="preserve">                         | &lt;property_access&gt; | &lt;function_call&gt; | "(" &lt;expression&gt; ")"</w:t>
      </w:r>
      <w:r>
        <w:br/>
      </w:r>
      <w:r>
        <w:rPr>
          <w:rStyle w:val="VerbatimChar"/>
        </w:rPr>
        <w:t xml:space="preserve">&lt;currency_literal&gt;     ::= &lt;number&gt; "&lt;" (&lt;currency_code&gt; | &lt;type_variable&gt;) "&gt;"</w:t>
      </w:r>
      <w:r>
        <w:br/>
      </w:r>
      <w:r>
        <w:rPr>
          <w:rStyle w:val="VerbatimChar"/>
        </w:rPr>
        <w:t xml:space="preserve">&lt;property_access&gt;      ::= &lt;identifier&gt; "!" &lt;property_name&gt;</w:t>
      </w:r>
      <w:r>
        <w:br/>
      </w:r>
      <w:r>
        <w:rPr>
          <w:rStyle w:val="VerbatimChar"/>
        </w:rPr>
        <w:t xml:space="preserve">&lt;property_name&gt;        ::= "COUNT" | "YEARSTONOW" | "MONTHSTONOW" | "DAYSTONOW"</w:t>
      </w:r>
      <w:r>
        <w:br/>
      </w:r>
      <w:r>
        <w:rPr>
          <w:rStyle w:val="VerbatimChar"/>
        </w:rPr>
        <w:t xml:space="preserve">                         | "MONTHSTONOW_FROMLASTDAY"</w:t>
      </w:r>
      <w:r>
        <w:br/>
      </w:r>
      <w:r>
        <w:rPr>
          <w:rStyle w:val="VerbatimChar"/>
        </w:rPr>
        <w:t xml:space="preserve">&lt;function_call&gt;        ::= ("ROUND" | "FLOOR" | "CEIL") "(" &lt;expression&gt; ")"</w:t>
      </w:r>
      <w:r>
        <w:br/>
      </w:r>
      <w:r>
        <w:rPr>
          <w:rStyle w:val="VerbatimChar"/>
        </w:rPr>
        <w:t xml:space="preserve">                         | "CONVERT" "(" &lt;expression&gt; "," &lt;currency_code&gt; "," &lt;currency_code&gt; ")"</w:t>
      </w:r>
      <w:r>
        <w:br/>
      </w:r>
      <w:r>
        <w:br/>
      </w:r>
      <w:r>
        <w:rPr>
          <w:rStyle w:val="VerbatimChar"/>
        </w:rPr>
        <w:t xml:space="preserve">(* Conditions *)</w:t>
      </w:r>
      <w:r>
        <w:br/>
      </w:r>
      <w:r>
        <w:rPr>
          <w:rStyle w:val="VerbatimChar"/>
        </w:rPr>
        <w:t xml:space="preserve">&lt;condition&gt;            ::= &lt;or_condition&gt;</w:t>
      </w:r>
      <w:r>
        <w:br/>
      </w:r>
      <w:r>
        <w:rPr>
          <w:rStyle w:val="VerbatimChar"/>
        </w:rPr>
        <w:t xml:space="preserve">&lt;or_condition&gt;         ::= &lt;and_condition&gt; ("OR" &lt;and_condition&gt;)*</w:t>
      </w:r>
      <w:r>
        <w:br/>
      </w:r>
      <w:r>
        <w:rPr>
          <w:rStyle w:val="VerbatimChar"/>
        </w:rPr>
        <w:t xml:space="preserve">&lt;and_condition&gt;        ::= &lt;primary_condition&gt; ("AND" &lt;primary_condition&gt;)*</w:t>
      </w:r>
      <w:r>
        <w:br/>
      </w:r>
      <w:r>
        <w:rPr>
          <w:rStyle w:val="VerbatimChar"/>
        </w:rPr>
        <w:t xml:space="preserve">&lt;primary_condition&gt;    ::= &lt;expression&gt; &lt;comparison_op&gt; &lt;expression&gt;</w:t>
      </w:r>
      <w:r>
        <w:br/>
      </w:r>
      <w:r>
        <w:rPr>
          <w:rStyle w:val="VerbatimChar"/>
        </w:rPr>
        <w:t xml:space="preserve">                         | &lt;identifier&gt; ("IN" | "NIN") &lt;identifier&gt;</w:t>
      </w:r>
      <w:r>
        <w:br/>
      </w:r>
      <w:r>
        <w:rPr>
          <w:rStyle w:val="VerbatimChar"/>
        </w:rPr>
        <w:t xml:space="preserve">                         | &lt;identifier&gt;   (* Boolean variable reference *)</w:t>
      </w:r>
      <w:r>
        <w:br/>
      </w:r>
      <w:r>
        <w:rPr>
          <w:rStyle w:val="VerbatimChar"/>
        </w:rPr>
        <w:t xml:space="preserve">                         | "(" &lt;condition&gt; ")"</w:t>
      </w:r>
      <w:r>
        <w:br/>
      </w:r>
      <w:r>
        <w:br/>
      </w:r>
      <w:r>
        <w:rPr>
          <w:rStyle w:val="VerbatimChar"/>
        </w:rPr>
        <w:t xml:space="preserve">&lt;comparison_op&gt;        ::= "EQ" | "NEQ" | "GT" | "LT" | "GTE" | "LTE"</w:t>
      </w:r>
      <w:r>
        <w:br/>
      </w:r>
      <w:r>
        <w:br/>
      </w:r>
      <w:r>
        <w:rPr>
          <w:rStyle w:val="VerbatimChar"/>
        </w:rPr>
        <w:t xml:space="preserve">(* Lexical Elements *)</w:t>
      </w:r>
      <w:r>
        <w:br/>
      </w:r>
      <w:r>
        <w:rPr>
          <w:rStyle w:val="VerbatimChar"/>
        </w:rPr>
        <w:t xml:space="preserve">&lt;identifier&gt;           ::= &lt;letter&gt; (&lt;letter&gt; | &lt;digit&gt; | "_")*</w:t>
      </w:r>
      <w:r>
        <w:br/>
      </w:r>
      <w:r>
        <w:rPr>
          <w:rStyle w:val="VerbatimChar"/>
        </w:rPr>
        <w:t xml:space="preserve">&lt;number&gt;               ::= &lt;digit&gt;+ ("." &lt;digit&gt;+)?</w:t>
      </w:r>
      <w:r>
        <w:br/>
      </w:r>
      <w:r>
        <w:rPr>
          <w:rStyle w:val="VerbatimChar"/>
        </w:rPr>
        <w:t xml:space="preserve">&lt;string&gt;               ::= "'" {&lt;any_char&gt; - "'"} "'"</w:t>
      </w:r>
      <w:r>
        <w:br/>
      </w:r>
      <w:r>
        <w:rPr>
          <w:rStyle w:val="VerbatimChar"/>
        </w:rPr>
        <w:t xml:space="preserve">&lt;currency_code&gt;        ::= &lt;upper_letter&gt; &lt;upper_letter&gt; &lt;upper_letter&gt;</w:t>
      </w:r>
      <w:r>
        <w:br/>
      </w:r>
      <w:r>
        <w:rPr>
          <w:rStyle w:val="VerbatimChar"/>
        </w:rPr>
        <w:t xml:space="preserve">&lt;date&gt;                 ::= &lt;day&gt; "." &lt;month&gt; "." &lt;year&gt; | "TODAY"</w:t>
      </w:r>
      <w:r>
        <w:br/>
      </w:r>
      <w:r>
        <w:rPr>
          <w:rStyle w:val="VerbatimChar"/>
        </w:rPr>
        <w:t xml:space="preserve">&lt;day&gt;                  ::= &lt;digit&gt; &lt;digit&gt;?</w:t>
      </w:r>
      <w:r>
        <w:br/>
      </w:r>
      <w:r>
        <w:rPr>
          <w:rStyle w:val="VerbatimChar"/>
        </w:rPr>
        <w:t xml:space="preserve">&lt;month&gt;                ::= &lt;digit&gt; &lt;digit&gt;?</w:t>
      </w:r>
      <w:r>
        <w:br/>
      </w:r>
      <w:r>
        <w:rPr>
          <w:rStyle w:val="VerbatimChar"/>
        </w:rPr>
        <w:t xml:space="preserve">&lt;year&gt;                 ::= &lt;digit&gt; &lt;digit&gt; &lt;digit&gt; &lt;digit&gt;</w:t>
      </w:r>
      <w:r>
        <w:br/>
      </w:r>
      <w:r>
        <w:rPr>
          <w:rStyle w:val="VerbatimChar"/>
        </w:rPr>
        <w:t xml:space="preserve">&lt;letter&gt;               ::= "A" | ... | "Z" | "a" | ... | "z"</w:t>
      </w:r>
      <w:r>
        <w:br/>
      </w:r>
      <w:r>
        <w:rPr>
          <w:rStyle w:val="VerbatimChar"/>
        </w:rPr>
        <w:t xml:space="preserve">&lt;upper_letter&gt;         ::= "A" | ... | "Z"</w:t>
      </w:r>
      <w:r>
        <w:br/>
      </w:r>
      <w:r>
        <w:rPr>
          <w:rStyle w:val="VerbatimChar"/>
        </w:rPr>
        <w:t xml:space="preserve">&lt;digit&gt;                ::= "0" | ... | "9"</w:t>
      </w:r>
    </w:p>
    <w:p>
      <w:pPr>
        <w:pStyle w:val="FirstParagraph"/>
      </w:pPr>
      <w:r>
        <w:t xml:space="preserve">A bare</w:t>
      </w:r>
      <w:r>
        <w:t xml:space="preserve"> </w:t>
      </w:r>
      <w:r>
        <w:rPr>
          <w:rStyle w:val="VerbatimChar"/>
        </w:rPr>
        <w:t xml:space="preserve">&lt;identifier&gt;</w:t>
      </w:r>
      <w:r>
        <w:t xml:space="preserve"> </w:t>
      </w:r>
      <w:r>
        <w:t xml:space="preserve">in a condition context must reference a BOOLEAN input variable; it evaluates to that variable’s Boolean value.</w:t>
      </w:r>
    </w:p>
    <w:bookmarkEnd w:id="41"/>
    <w:bookmarkEnd w:id="42"/>
    <w:bookmarkStart w:id="83" w:name="type-system-and-static-verification"/>
    <w:p>
      <w:pPr>
        <w:pStyle w:val="Heading1"/>
      </w:pPr>
      <w:r>
        <w:t xml:space="preserve">4. Type System and Static Verification</w:t>
      </w:r>
    </w:p>
    <w:bookmarkStart w:id="73" w:name="currency-aware-type-system"/>
    <w:p>
      <w:pPr>
        <w:pStyle w:val="Heading3"/>
      </w:pPr>
      <w:r>
        <w:t xml:space="preserve">4.1 Currency-Aware Type System</w:t>
      </w:r>
    </w:p>
    <w:p>
      <w:pPr>
        <w:pStyle w:val="FirstParagraph"/>
      </w:pPr>
      <w:r>
        <w:t xml:space="preserve">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bookmarkStart w:id="43" w:name="type-language"/>
    <w:p>
      <w:pPr>
        <w:pStyle w:val="Heading4"/>
      </w:pPr>
      <w:r>
        <w:t xml:space="preserve">4.1.1 Type Language</w:t>
      </w:r>
    </w:p>
    <w:p>
      <w:pPr>
        <w:pStyle w:val="FirstParagraph"/>
      </w:pPr>
      <w:r>
        <w:t xml:space="preserve">– IPFLang type hierarchy and currency typing rules</w:t>
      </w:r>
    </w:p>
    <w:p>
      <w:pPr>
        <w:pStyle w:val="BodyText"/>
      </w:pPr>
      <w:hyperlink w:anchor="Xc70e63c4093e9375405e37f8f517befb78079de">
        <w:r>
          <w:rPr>
            <w:rStyle w:val="Hyperlink"/>
          </w:rPr>
          <w:t xml:space="preserve">Figure 2</w:t>
        </w:r>
      </w:hyperlink>
      <w:r>
        <w:t xml:space="preserve"> </w:t>
      </w:r>
      <w:r>
        <w:t xml:space="preserve">shows the type language which extends basic types with currency-parameterized amounts:</w:t>
      </w:r>
    </w:p>
    <w:p>
      <w:pPr>
        <w:pStyle w:val="BlockText"/>
      </w:pPr>
      <w:r>
        <w:t xml:space="preserve">τ ::= Num -- dimensionless numbers</w:t>
      </w:r>
    </w:p>
    <w:p>
      <w:pPr>
        <w:pStyle w:val="BlockText"/>
      </w:pPr>
      <w:r>
        <w:t xml:space="preserve">| Bool -- Boolean values</w:t>
      </w:r>
    </w:p>
    <w:p>
      <w:pPr>
        <w:pStyle w:val="BlockText"/>
      </w:pPr>
      <w:r>
        <w:t xml:space="preserve">| Sym -- symbolic identifiers (LIST choices)</w:t>
      </w:r>
    </w:p>
    <w:p>
      <w:pPr>
        <w:pStyle w:val="BlockText"/>
      </w:pPr>
      <w:r>
        <w:t xml:space="preserve">| Date -- date values</w:t>
      </w:r>
    </w:p>
    <w:p>
      <w:pPr>
        <w:pStyle w:val="BlockText"/>
      </w:pPr>
      <w:r>
        <w:t xml:space="preserve">| SymList -- symbol lists (MULTILIST selections)</w:t>
      </w:r>
    </w:p>
    <w:p>
      <w:pPr>
        <w:pStyle w:val="BlockText"/>
      </w:pPr>
      <w:r>
        <w:t xml:space="preserve">| Amt[c] -- monetary amounts, c ∈ ISO-4217</w:t>
      </w:r>
    </w:p>
    <w:p>
      <w:pPr>
        <w:pStyle w:val="BlockText"/>
      </w:pPr>
      <w:r>
        <w:t xml:space="preserve">| α -- type variables (for polymorphic fees)</w:t>
      </w:r>
    </w:p>
    <w:p>
      <w:pPr>
        <w:pStyle w:val="BlockText"/>
      </w:pPr>
      <w:r>
        <w:t xml:space="preserve">σ :: = τ | ∀α. σ-- type schemes (polymorphic types)</w:t>
      </w:r>
    </w:p>
    <w:p>
      <w:pPr>
        <w:pStyle w:val="BlockText"/>
      </w:pPr>
      <w:r>
        <w:t xml:space="preserve">where:</w:t>
      </w:r>
    </w:p>
    <w:p>
      <w:pPr>
        <w:numPr>
          <w:ilvl w:val="0"/>
          <w:numId w:val="1003"/>
        </w:numPr>
      </w:pPr>
      <w:r>
        <w:t xml:space="preserve">Num represents dimensionless numbers used for counts and arithmetic</w:t>
      </w:r>
    </w:p>
    <w:p>
      <w:pPr>
        <w:numPr>
          <w:ilvl w:val="0"/>
          <w:numId w:val="1003"/>
        </w:numPr>
      </w:pPr>
      <w:r>
        <w:t xml:space="preserve">Bool represents Boolean values TRUE and FALSE</w:t>
      </w:r>
    </w:p>
    <w:p>
      <w:pPr>
        <w:numPr>
          <w:ilvl w:val="0"/>
          <w:numId w:val="1003"/>
        </w:numPr>
      </w:pPr>
      <w:r>
        <w:t xml:space="preserve">Sym represents symbolic identifiers from LIST input choices</w:t>
      </w:r>
    </w:p>
    <w:p>
      <w:pPr>
        <w:numPr>
          <w:ilvl w:val="0"/>
          <w:numId w:val="1003"/>
        </w:numPr>
      </w:pPr>
      <w:r>
        <w:t xml:space="preserve">Date represents date values with temporal properties</w:t>
      </w:r>
    </w:p>
    <w:p>
      <w:pPr>
        <w:numPr>
          <w:ilvl w:val="0"/>
          <w:numId w:val="1003"/>
        </w:numPr>
      </w:pPr>
      <w:r>
        <w:t xml:space="preserve">SymList represents symbol lists from MULTILIST input selections</w:t>
      </w:r>
    </w:p>
    <w:p>
      <w:pPr>
        <w:numPr>
          <w:ilvl w:val="0"/>
          <w:numId w:val="1003"/>
        </w:numPr>
      </w:pPr>
      <w:r>
        <w:t xml:space="preserve">Amt[c] represents monetary amounts denominated in currency c, where c ∈ ISO-4217</w:t>
      </w:r>
    </w:p>
    <w:p>
      <w:pPr>
        <w:numPr>
          <w:ilvl w:val="0"/>
          <w:numId w:val="1003"/>
        </w:numPr>
      </w:pPr>
      <w:r>
        <w:t xml:space="preserve">α represents currency type variables for polymorphic fee definitions</w:t>
      </w:r>
    </w:p>
    <w:p>
      <w:pPr>
        <w:numPr>
          <w:ilvl w:val="0"/>
          <w:numId w:val="1003"/>
        </w:numPr>
      </w:pPr>
      <w:r>
        <w:t xml:space="preserve">∀α. σ represents universally quantified type schemes</w:t>
      </w:r>
    </w:p>
    <w:p>
      <w:pPr>
        <w:pStyle w:val="FirstParagraph"/>
      </w:pPr>
      <w:r>
        <w:t xml:space="preserve">Currency type variables range over ISO-4217 currency codes. In the typing context Γ, the notation α : Currency indicates that α is bound as a currency type variable.</w:t>
      </w:r>
    </w:p>
    <w:bookmarkEnd w:id="43"/>
    <w:bookmarkStart w:id="44" w:name="typing-rules"/>
    <w:p>
      <w:pPr>
        <w:pStyle w:val="Heading4"/>
      </w:pPr>
      <w:r>
        <w:t xml:space="preserve">4.1.2 Typing Rules</w:t>
      </w:r>
    </w:p>
    <w:p>
      <w:pPr>
        <w:pStyle w:val="FirstParagraph"/>
      </w:pPr>
      <w:r>
        <w:t xml:space="preserve">Let Γ denote a typing environment mapping identifiers to types, written Γ(x) = τ. We define the typing judgment Γ ⊢ e : τ, meaning</w:t>
      </w:r>
      <w:r>
        <w:t xml:space="preserve"> </w:t>
      </w:r>
      <w:r>
        <w:rPr>
          <w:i/>
          <w:iCs/>
        </w:rPr>
        <w:t xml:space="preserve">under environment Γ, expression e has type τ.</w:t>
      </w:r>
    </w:p>
    <w:p>
      <w:pPr>
        <w:pStyle w:val="BodyText"/>
      </w:pPr>
      <w:r>
        <w:rPr>
          <w:b/>
          <w:bCs/>
        </w:rPr>
        <w:t xml:space="preserve">Literals and Variables</w:t>
      </w:r>
    </w:p>
    <w:p>
      <w:pPr>
        <w:pStyle w:val="BodyText"/>
      </w:pPr>
      <w:r>
        <w:t xml:space="preserve">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pPr>
        <w:pStyle w:val="BodyText"/>
      </w:pPr>
      <w:r>
        <w:t xml:space="preserve">Rule</w:t>
      </w:r>
      <w:r>
        <w:t xml:space="preserve"> </w:t>
      </w:r>
      <w:r>
        <w:rPr>
          <w:b/>
          <w:bCs/>
        </w:rPr>
        <w:t xml:space="preserve">T-NUM</w:t>
      </w:r>
      <w:r>
        <w:t xml:space="preserve"> </w:t>
      </w:r>
      <w:r>
        <w:t xml:space="preserve">states that any bare numeric literal - such as 42, 3.14, or 0 - receives type Num, representing a dimensionless number without currency association. Such values are used for counts (number of claims, pages, or designated countries), ratios, and multipliers throughout fee calculations.</w:t>
      </w:r>
    </w:p>
    <w:p>
      <w:pPr>
        <w:pStyle w:val="BodyText"/>
      </w:pPr>
      <w:r>
        <w:t xml:space="preserve">Rule</w:t>
      </w:r>
      <w:r>
        <w:t xml:space="preserve"> </w:t>
      </w:r>
      <w:r>
        <w:rPr>
          <w:b/>
          <w:bCs/>
        </w:rPr>
        <w:t xml:space="preserve">T-VAR</w:t>
      </w:r>
      <w:r>
        <w:t xml:space="preserve"> </w:t>
      </w:r>
      <w:r>
        <w:t xml:space="preserve">is the standard variable lookup rule found in all typed languages: when an identifier x appears in an expression, its type is determined by consulting the typing environment Γ (gamma), which records the declared types of all variables currently in scope. If the environment contains the binding x : τ, then the expression x has type τ.</w:t>
      </w:r>
    </w:p>
    <w:p>
      <w:pPr>
        <w:pStyle w:val="BodyText"/>
      </w:pPr>
      <w:r>
        <w:t xml:space="preserve">Rule</w:t>
      </w:r>
      <w:r>
        <w:t xml:space="preserve"> </w:t>
      </w:r>
      <w:r>
        <w:rPr>
          <w:b/>
          <w:bCs/>
        </w:rPr>
        <w:t xml:space="preserve">T-CURR</w:t>
      </w:r>
      <w:r>
        <w:t xml:space="preserve"> </w:t>
      </w:r>
      <w:r>
        <w:t xml:space="preserve">handles currency-annotated literals such as 100&lt;EUR&gt; or 50.50&lt;USD&gt;. The rule first verifies that the currency code c is a valid ISO-4217 identifier (one of 161 recognized codes), then assigns the expression the type Amt[c] - read as "amount denominated in currency c." This explicit annotation is the origin of all currency type information in a program; every currency amount ultimately traces back to either a currency literal or an AMOUNT input declaration.</w:t>
      </w:r>
    </w:p>
    <w:p>
      <w:pPr>
        <w:pStyle w:val="BodyText"/>
      </w:pPr>
      <w:r>
        <w:t xml:space="preserve">[T-NUM]</w:t>
      </w:r>
      <w:r>
        <w:t xml:space="preserve"> </w:t>
      </w:r>
      <m:oMath>
        <m:f>
          <m:fPr>
            <m:type m:val="bar"/>
          </m:fPr>
          <m:num>
            <m:r>
              <m:t>​</m:t>
            </m:r>
          </m:num>
          <m:den>
            <m:r>
              <m:rPr>
                <m:sty m:val="p"/>
              </m:rPr>
              <m:t>Γ</m:t>
            </m:r>
            <m:r>
              <m:t> </m:t>
            </m:r>
            <m:r>
              <m:rPr>
                <m:sty m:val="p"/>
              </m:rPr>
              <m:t>⊢</m:t>
            </m:r>
            <m:r>
              <m:t> </m:t>
            </m:r>
            <m:r>
              <m:t>n</m:t>
            </m:r>
            <m:r>
              <m:t> </m:t>
            </m:r>
            <m:r>
              <m:t> </m:t>
            </m:r>
            <m:r>
              <m:rPr>
                <m:sty m:val="p"/>
              </m:rPr>
              <m:t>:</m:t>
            </m:r>
            <m:r>
              <m:t> </m:t>
            </m:r>
            <m:r>
              <m:t>N</m:t>
            </m:r>
            <m:r>
              <m:t>u</m:t>
            </m:r>
            <m:r>
              <m:t>m</m:t>
            </m:r>
          </m:den>
        </m:f>
      </m:oMath>
    </w:p>
    <w:p>
      <w:pPr>
        <w:pStyle w:val="BodyText"/>
      </w:pPr>
      <w:r>
        <w:t xml:space="preserve">[T-VAR]</w:t>
      </w:r>
      <w:r>
        <w:t xml:space="preserve"> </w:t>
      </w:r>
      <m:oMath>
        <m:f>
          <m:fPr>
            <m:type m:val="bar"/>
          </m:fPr>
          <m:num>
            <m:r>
              <m:rPr>
                <m:sty m:val="p"/>
              </m:rPr>
              <m:t>Γ</m:t>
            </m:r>
            <m:r>
              <m:rPr>
                <m:sty m:val="p"/>
              </m:rPr>
              <m:t>(</m:t>
            </m:r>
            <m:r>
              <m:t>x</m:t>
            </m:r>
            <m:r>
              <m:rPr>
                <m:sty m:val="p"/>
              </m:rPr>
              <m:t>)</m:t>
            </m:r>
            <m:r>
              <m:rPr>
                <m:sty m:val="p"/>
              </m:rPr>
              <m:t>=</m:t>
            </m:r>
            <m:r>
              <m:t>τ</m:t>
            </m:r>
          </m:num>
          <m:den>
            <m:r>
              <m:rPr>
                <m:sty m:val="p"/>
              </m:rPr>
              <m:t>Γ</m:t>
            </m:r>
            <m:r>
              <m:t> </m:t>
            </m:r>
            <m:r>
              <m:rPr>
                <m:sty m:val="p"/>
              </m:rPr>
              <m:t>⊢</m:t>
            </m:r>
            <m:r>
              <m:t> </m:t>
            </m:r>
            <m:r>
              <m:t>x</m:t>
            </m:r>
            <m:r>
              <m:t> </m:t>
            </m:r>
            <m:r>
              <m:t> </m:t>
            </m:r>
            <m:r>
              <m:rPr>
                <m:sty m:val="p"/>
              </m:rPr>
              <m:t>:</m:t>
            </m:r>
            <m:r>
              <m:t> </m:t>
            </m:r>
            <m:r>
              <m:t>τ</m:t>
            </m:r>
          </m:den>
        </m:f>
      </m:oMath>
    </w:p>
    <w:p>
      <w:pPr>
        <w:pStyle w:val="BodyText"/>
      </w:pPr>
      <w:r>
        <w:t xml:space="preserve">[T-CURR]</w:t>
      </w:r>
      <w:r>
        <w:t xml:space="preserve"> </w:t>
      </w:r>
      <m:oMath>
        <m:f>
          <m:fPr>
            <m:type m:val="bar"/>
          </m:fPr>
          <m:num>
            <m:r>
              <m:t>c</m:t>
            </m:r>
            <m:r>
              <m:rPr>
                <m:sty m:val="p"/>
              </m:rPr>
              <m:t>∈</m:t>
            </m:r>
            <m:r>
              <m:t>I</m:t>
            </m:r>
            <m:r>
              <m:t>S</m:t>
            </m:r>
            <m:r>
              <m:t>O</m:t>
            </m:r>
            <m:r>
              <m:rPr>
                <m:sty m:val="p"/>
              </m:rPr>
              <m:t>−</m:t>
            </m:r>
            <m:r>
              <m:t>4217</m:t>
            </m:r>
            <m:r>
              <m:t> </m:t>
            </m:r>
          </m:num>
          <m:den>
            <m:r>
              <m:rPr>
                <m:sty m:val="p"/>
              </m:rPr>
              <m:t>Γ</m:t>
            </m:r>
            <m:r>
              <m:t> </m:t>
            </m:r>
            <m:r>
              <m:rPr>
                <m:sty m:val="p"/>
              </m:rPr>
              <m:t>⊢</m:t>
            </m:r>
            <m:r>
              <m:t> </m:t>
            </m:r>
            <m:r>
              <m:t>n</m:t>
            </m:r>
            <m:d>
              <m:dPr>
                <m:begChr m:val="⟨"/>
                <m:sepChr m:val=""/>
                <m:endChr m:val="⟩"/>
                <m:grow/>
              </m:dPr>
              <m:e>
                <m:r>
                  <m:t>c</m:t>
                </m:r>
              </m:e>
            </m:d>
            <m:r>
              <m:t> </m:t>
            </m:r>
            <m:r>
              <m:t> </m:t>
            </m:r>
            <m:r>
              <m:rPr>
                <m:sty m:val="p"/>
              </m:rPr>
              <m:t>:</m:t>
            </m:r>
            <m:r>
              <m:t> </m:t>
            </m:r>
            <m:r>
              <m:t>A</m:t>
            </m:r>
            <m:r>
              <m:t>m</m:t>
            </m:r>
            <m:r>
              <m:t>t</m:t>
            </m:r>
            <m:r>
              <m:rPr>
                <m:sty m:val="p"/>
              </m:rPr>
              <m:t>[</m:t>
            </m:r>
            <m:r>
              <m:t>c</m:t>
            </m:r>
            <m:r>
              <m:rPr>
                <m:sty m:val="p"/>
              </m:rPr>
              <m:t>]</m:t>
            </m:r>
          </m:den>
        </m:f>
      </m:oMath>
    </w:p>
    <w:p>
      <w:pPr>
        <w:pStyle w:val="BodyText"/>
      </w:pPr>
      <w:r>
        <w:rPr>
          <w:b/>
          <w:bCs/>
        </w:rPr>
        <w:t xml:space="preserve">Arithmetic Operations</w:t>
      </w:r>
    </w:p>
    <w:p>
      <w:pPr>
        <w:pStyle w:val="BodyText"/>
      </w:pPr>
      <w:r>
        <w:t xml:space="preserve">Arithmetic operations form the computational core of fee calculations, and the type system enforces strict currency discipline to prevent nonsensical cross-currency computations. The rules partition into four groups - addition, subtraction, multiplication, and division - each with distinct typing behavior reflecting the dimensional semantics of currency amounts.</w:t>
      </w:r>
    </w:p>
    <w:p>
      <w:pPr>
        <w:pStyle w:val="BodyText"/>
      </w:pPr>
      <w:r>
        <w:rPr>
          <w:b/>
          <w:bCs/>
        </w:rPr>
        <w:t xml:space="preserve">Addition.</w:t>
      </w:r>
      <w:r>
        <w:t xml:space="preserve"> </w:t>
      </w:r>
      <w:r>
        <w:t xml:space="preserve">Two distinct rules govern addition, reflecting the fundamental distinction between dimensionless numbers and currency amounts.</w:t>
      </w:r>
    </w:p>
    <w:p>
      <w:pPr>
        <w:pStyle w:val="BodyText"/>
      </w:pPr>
      <w:r>
        <w:t xml:space="preserve">Rule</w:t>
      </w:r>
      <w:r>
        <w:t xml:space="preserve"> </w:t>
      </w:r>
      <w:r>
        <w:rPr>
          <w:b/>
          <w:bCs/>
        </w:rPr>
        <w:t xml:space="preserve">T-ADD-NUM</w:t>
      </w:r>
      <w:r>
        <w:t xml:space="preserve"> </w:t>
      </w:r>
      <w:r>
        <w:t xml:space="preserve">permits adding two dimensionless numbers, yielding a dimensionless result. This covers operations like summing claim counts or computing page totals where no currency is involved.</w:t>
      </w:r>
    </w:p>
    <w:p>
      <w:pPr>
        <w:pStyle w:val="BodyText"/>
      </w:pPr>
      <w:r>
        <w:t xml:space="preserve">Rule</w:t>
      </w:r>
      <w:r>
        <w:t xml:space="preserve"> </w:t>
      </w:r>
      <w:r>
        <w:rPr>
          <w:b/>
          <w:bCs/>
        </w:rPr>
        <w:t xml:space="preserve">T-ADD-AMT</w:t>
      </w:r>
      <w:r>
        <w:t xml:space="preserve"> </w:t>
      </w:r>
      <w:r>
        <w:t xml:space="preserve">is more restrictive and embodies the core currency safety guarantee: it permits adding two monetary amounts</w:t>
      </w:r>
      <w:r>
        <w:t xml:space="preserve"> </w:t>
      </w:r>
      <w:r>
        <w:rPr>
          <w:i/>
          <w:iCs/>
        </w:rPr>
        <w:t xml:space="preserve">only when both operands share the identical currency tag</w:t>
      </w:r>
      <w:r>
        <w:t xml:space="preserve"> </w:t>
      </w:r>
      <w:r>
        <w:t xml:space="preserve">c. The expression 100&lt;EUR&gt; + 50&lt;EUR&gt; is well-typed with result type Amt[EUR], but 100&lt;EUR&gt; + 50&lt;USD&gt; fails type-checking because no rule permits adding amounts with different currency tags. The type system provides no implicit currency conversion - all conversions must be explicit via the CONVERT function.</w:t>
      </w:r>
    </w:p>
    <w:p>
      <w:pPr>
        <w:pStyle w:val="BodyText"/>
      </w:pPr>
      <w:r>
        <w:t xml:space="preserve">A deliberate omission is any rule permitting Amt[c] + Num; the expression 100&lt;EUR&gt; + 50 is rejected because adding a dimensionless quantity to a currency amount introduces ambiguity about the intended currency of the dimensionless operand.</w:t>
      </w:r>
    </w:p>
    <w:p>
      <w:pPr>
        <w:pStyle w:val="BodyText"/>
      </w:pPr>
      <w:r>
        <w:t xml:space="preserve">[T-ADD-NUM]</w:t>
      </w:r>
      <w:r>
        <w:t xml:space="preserve"> </w:t>
      </w:r>
      <m:oMath>
        <m:f>
          <m:fPr>
            <m:type m:val="bar"/>
          </m:fPr>
          <m:num>
            <m:r>
              <m:rPr>
                <m:sty m:val="p"/>
              </m:rPr>
              <m:t>Γ</m:t>
            </m:r>
            <m:r>
              <m:t> </m:t>
            </m:r>
            <m:r>
              <m:rPr>
                <m:sty m:val="p"/>
              </m:rPr>
              <m:t>⊢</m:t>
            </m:r>
            <m:r>
              <m:t> </m:t>
            </m:r>
            <m:r>
              <m:t>e</m:t>
            </m:r>
            <m:r>
              <m:t>1</m:t>
            </m:r>
            <m:r>
              <m:t> </m:t>
            </m:r>
            <m:r>
              <m:t> </m:t>
            </m:r>
            <m:r>
              <m:rPr>
                <m:sty m:val="p"/>
              </m:rPr>
              <m:t>:</m:t>
            </m:r>
            <m:r>
              <m:t> </m:t>
            </m:r>
            <m:r>
              <m:t>N</m:t>
            </m:r>
            <m:r>
              <m:t>u</m:t>
            </m:r>
            <m:r>
              <m:t>m</m:t>
            </m:r>
            <m:r>
              <m:t> </m:t>
            </m:r>
            <m:r>
              <m:t> </m:t>
            </m:r>
            <m:r>
              <m:t> </m:t>
            </m:r>
            <m:r>
              <m:t> </m:t>
            </m:r>
            <m:r>
              <m:t> </m:t>
            </m:r>
            <m:r>
              <m:t> </m:t>
            </m:r>
            <m:r>
              <m:rPr>
                <m:sty m:val="p"/>
              </m:rPr>
              <m:t>Γ</m:t>
            </m:r>
            <m:r>
              <m:t> </m:t>
            </m:r>
            <m:r>
              <m:rPr>
                <m:sty m:val="p"/>
              </m:rPr>
              <m:t>⊢</m:t>
            </m:r>
            <m:r>
              <m:t> </m:t>
            </m:r>
            <m:r>
              <m:t>e</m:t>
            </m:r>
            <m:r>
              <m:t>2</m:t>
            </m:r>
            <m:r>
              <m:t> </m:t>
            </m:r>
            <m:r>
              <m:t> </m:t>
            </m:r>
            <m:r>
              <m:rPr>
                <m:sty m:val="p"/>
              </m:rPr>
              <m:t>:</m:t>
            </m:r>
            <m:r>
              <m:t> </m:t>
            </m:r>
            <m:r>
              <m:t>N</m:t>
            </m:r>
            <m:r>
              <m:t>u</m:t>
            </m:r>
            <m:r>
              <m:t>m</m:t>
            </m:r>
            <m:r>
              <m:t> </m:t>
            </m:r>
          </m:num>
          <m:den>
            <m:r>
              <m:rPr>
                <m:sty m:val="p"/>
              </m:rPr>
              <m:t>Γ</m:t>
            </m:r>
            <m:r>
              <m:t> </m:t>
            </m:r>
            <m:r>
              <m:rPr>
                <m:sty m:val="p"/>
              </m:rPr>
              <m:t>⊢</m:t>
            </m:r>
            <m:r>
              <m:t> </m:t>
            </m:r>
            <m:r>
              <m:t>e</m:t>
            </m:r>
            <m:r>
              <m:t>1</m:t>
            </m:r>
            <m:r>
              <m:rPr>
                <m:sty m:val="p"/>
              </m:rPr>
              <m:t>+</m:t>
            </m:r>
            <m:r>
              <m:t>e</m:t>
            </m:r>
            <m:r>
              <m:t>2</m:t>
            </m:r>
            <m:r>
              <m:t> </m:t>
            </m:r>
            <m:r>
              <m:t> </m:t>
            </m:r>
            <m:r>
              <m:rPr>
                <m:sty m:val="p"/>
              </m:rPr>
              <m:t>:</m:t>
            </m:r>
            <m:r>
              <m:t> </m:t>
            </m:r>
            <m:r>
              <m:t>N</m:t>
            </m:r>
            <m:r>
              <m:t>u</m:t>
            </m:r>
            <m:r>
              <m:t>m</m:t>
            </m:r>
          </m:den>
        </m:f>
      </m:oMath>
    </w:p>
    <w:p>
      <w:pPr>
        <w:pStyle w:val="BodyText"/>
      </w:pPr>
      <w:r>
        <w:t xml:space="preserve">[T-ADD-AMT]</w:t>
      </w:r>
      <w:r>
        <w:t xml:space="preserve"> </w:t>
      </w:r>
      <m:oMath>
        <m:f>
          <m:fPr>
            <m:type m:val="bar"/>
          </m:fPr>
          <m:num>
            <m:r>
              <m:rPr>
                <m:sty m:val="p"/>
              </m:rPr>
              <m:t>Γ</m:t>
            </m:r>
            <m:r>
              <m:t> </m:t>
            </m:r>
            <m:r>
              <m:rPr>
                <m:sty m:val="p"/>
              </m:rPr>
              <m:t>⊢</m:t>
            </m:r>
            <m:r>
              <m:t> </m:t>
            </m:r>
            <m:r>
              <m:t>e</m:t>
            </m:r>
            <m:r>
              <m:t>1</m:t>
            </m:r>
            <m:r>
              <m:t> </m:t>
            </m:r>
            <m:r>
              <m:t> </m:t>
            </m:r>
            <m:r>
              <m:rPr>
                <m:sty m:val="p"/>
              </m:rPr>
              <m:t>:</m:t>
            </m:r>
            <m:r>
              <m:t> </m:t>
            </m:r>
            <m:r>
              <m:t>A</m:t>
            </m:r>
            <m:r>
              <m:t>m</m:t>
            </m:r>
            <m:r>
              <m:t>t</m:t>
            </m:r>
            <m:r>
              <m:rPr>
                <m:sty m:val="p"/>
              </m:rPr>
              <m:t>[</m:t>
            </m:r>
            <m:r>
              <m:t>c</m:t>
            </m:r>
            <m:r>
              <m:rPr>
                <m:sty m:val="p"/>
              </m:rPr>
              <m:t>]</m:t>
            </m:r>
            <m:r>
              <m:t> </m:t>
            </m:r>
            <m:r>
              <m:t> </m:t>
            </m:r>
            <m:r>
              <m:t> </m:t>
            </m:r>
            <m:r>
              <m:t> </m:t>
            </m:r>
            <m:r>
              <m:t> </m:t>
            </m:r>
            <m:r>
              <m:rPr>
                <m:sty m:val="p"/>
              </m:rPr>
              <m:t>Γ</m:t>
            </m:r>
            <m:r>
              <m:t> </m:t>
            </m:r>
            <m:r>
              <m:rPr>
                <m:sty m:val="p"/>
              </m:rPr>
              <m:t>⊢</m:t>
            </m:r>
            <m:r>
              <m:t> </m:t>
            </m:r>
            <m:r>
              <m:t>e</m:t>
            </m:r>
            <m:r>
              <m:t>2</m:t>
            </m:r>
            <m:r>
              <m:t> </m:t>
            </m:r>
            <m:r>
              <m:t> </m:t>
            </m:r>
            <m:r>
              <m:rPr>
                <m:sty m:val="p"/>
              </m:rPr>
              <m:t>:</m:t>
            </m:r>
            <m:r>
              <m:t> </m:t>
            </m:r>
            <m:r>
              <m:t>A</m:t>
            </m:r>
            <m:r>
              <m:t>m</m:t>
            </m:r>
            <m:r>
              <m:t>t</m:t>
            </m:r>
            <m:r>
              <m:rPr>
                <m:sty m:val="p"/>
              </m:rPr>
              <m:t>[</m:t>
            </m:r>
            <m:r>
              <m:t>c</m:t>
            </m:r>
            <m:r>
              <m:rPr>
                <m:sty m:val="p"/>
              </m:rPr>
              <m:t>]</m:t>
            </m:r>
            <m:r>
              <m:t> </m:t>
            </m:r>
          </m:num>
          <m:den>
            <m:r>
              <m:rPr>
                <m:sty m:val="p"/>
              </m:rPr>
              <m:t>Γ</m:t>
            </m:r>
            <m:r>
              <m:t> </m:t>
            </m:r>
            <m:r>
              <m:rPr>
                <m:sty m:val="p"/>
              </m:rPr>
              <m:t>⊢</m:t>
            </m:r>
            <m:r>
              <m:t> </m:t>
            </m:r>
            <m:r>
              <m:t>e</m:t>
            </m:r>
            <m:r>
              <m:t>1</m:t>
            </m:r>
            <m:r>
              <m:rPr>
                <m:sty m:val="p"/>
              </m:rPr>
              <m:t>+</m:t>
            </m:r>
            <m:r>
              <m:t>e</m:t>
            </m:r>
            <m:r>
              <m:t>2</m:t>
            </m:r>
            <m:r>
              <m:t> </m:t>
            </m:r>
            <m:r>
              <m:t> </m:t>
            </m:r>
            <m:r>
              <m:rPr>
                <m:sty m:val="p"/>
              </m:rPr>
              <m:t>:</m:t>
            </m:r>
            <m:r>
              <m:t> </m:t>
            </m:r>
            <m:r>
              <m:t>A</m:t>
            </m:r>
            <m:r>
              <m:t>m</m:t>
            </m:r>
            <m:r>
              <m:t>t</m:t>
            </m:r>
            <m:r>
              <m:rPr>
                <m:sty m:val="p"/>
              </m:rPr>
              <m:t>[</m:t>
            </m:r>
            <m:r>
              <m:t>c</m:t>
            </m:r>
            <m:r>
              <m:rPr>
                <m:sty m:val="p"/>
              </m:rPr>
              <m:t>]</m:t>
            </m:r>
          </m:den>
        </m:f>
      </m:oMath>
    </w:p>
    <w:p>
      <w:pPr>
        <w:pStyle w:val="BodyText"/>
      </w:pPr>
      <w:r>
        <w:rPr>
          <w:b/>
          <w:bCs/>
        </w:rPr>
        <w:t xml:space="preserve">Multiplication.</w:t>
      </w:r>
      <w:r>
        <w:t xml:space="preserve"> </w:t>
      </w:r>
      <w:r>
        <w:t xml:space="preserve">Multiplication exhibits different behavior from addition because scalar multiplication is dimensionally sound - multiplying a currency amount by a dimensionless count produces another currency amount, not a dimensional mismatch.</w:t>
      </w:r>
    </w:p>
    <w:p>
      <w:pPr>
        <w:pStyle w:val="BodyText"/>
      </w:pPr>
      <w:r>
        <w:t xml:space="preserve">Rule</w:t>
      </w:r>
      <w:r>
        <w:t xml:space="preserve"> </w:t>
      </w:r>
      <w:r>
        <w:rPr>
          <w:b/>
          <w:bCs/>
        </w:rPr>
        <w:t xml:space="preserve">T-MUL-NUM</w:t>
      </w:r>
      <w:r>
        <w:t xml:space="preserve"> </w:t>
      </w:r>
      <w:r>
        <w:t xml:space="preserve">handles multiplication of two dimensionless numbers, yielding a dimensionless result. This supports calculations like computing the product of claim count and page count.</w:t>
      </w:r>
    </w:p>
    <w:p>
      <w:pPr>
        <w:pStyle w:val="BodyText"/>
      </w:pPr>
      <w:r>
        <w:t xml:space="preserve">Rules</w:t>
      </w:r>
      <w:r>
        <w:t xml:space="preserve"> </w:t>
      </w:r>
      <w:r>
        <w:rPr>
          <w:b/>
          <w:bCs/>
        </w:rPr>
        <w:t xml:space="preserve">T-MUL-SCALAR-R</w:t>
      </w:r>
      <w:r>
        <w:t xml:space="preserve"> </w:t>
      </w:r>
      <w:r>
        <w:t xml:space="preserve">and</w:t>
      </w:r>
      <w:r>
        <w:t xml:space="preserve"> </w:t>
      </w:r>
      <w:r>
        <w:rPr>
          <w:b/>
          <w:bCs/>
        </w:rPr>
        <w:t xml:space="preserve">T-MUL-SCALAR-L</w:t>
      </w:r>
      <w:r>
        <w:t xml:space="preserve"> </w:t>
      </w:r>
      <w:r>
        <w:t xml:space="preserve">together establish that multiplying a currency amount by a dimensionless scalar - in either order - preserves the currency tag. Both 100&lt;EUR&gt; * 2 and 2 * 100&lt;EUR&gt; have type Amt[EUR]. The provision of both left and right variants ensures that scalar multiplication is commutative at the type level, matching mathematical intuition and enabling natural fee expressions like ClaimFee * ExcessClaimCount where the fee is currency-denominated and the count is dimensionless. The two rules are semantically equivalent but syntactically necessary because inference rule premises distinguish operand positions.</w:t>
      </w:r>
    </w:p>
    <w:p>
      <w:pPr>
        <w:pStyle w:val="BodyText"/>
      </w:pPr>
      <w:r>
        <w:t xml:space="preserve">[T-MUL-NUM]</w:t>
      </w:r>
      <w:r>
        <w:t xml:space="preserve"> </w:t>
      </w:r>
      <m:oMath>
        <m:f>
          <m:fPr>
            <m:type m:val="bar"/>
          </m:fPr>
          <m:num>
            <m:r>
              <m:rPr>
                <m:sty m:val="p"/>
              </m:rPr>
              <m:t>Γ</m:t>
            </m:r>
            <m:r>
              <m:t> </m:t>
            </m:r>
            <m:r>
              <m:rPr>
                <m:sty m:val="p"/>
              </m:rPr>
              <m:t>⊢</m:t>
            </m:r>
            <m:r>
              <m:t> </m:t>
            </m:r>
            <m:r>
              <m:t>e</m:t>
            </m:r>
            <m:r>
              <m:t>1</m:t>
            </m:r>
            <m:r>
              <m:t> </m:t>
            </m:r>
            <m:r>
              <m:rPr>
                <m:sty m:val="p"/>
              </m:rPr>
              <m:t>:</m:t>
            </m:r>
            <m:r>
              <m:t> </m:t>
            </m:r>
            <m:r>
              <m:t>N</m:t>
            </m:r>
            <m:r>
              <m:t>u</m:t>
            </m:r>
            <m:r>
              <m:t>m</m:t>
            </m:r>
            <m:r>
              <m:t> </m:t>
            </m:r>
            <m:r>
              <m:t> </m:t>
            </m:r>
            <m:r>
              <m:t> </m:t>
            </m:r>
            <m:r>
              <m:t> </m:t>
            </m:r>
            <m:r>
              <m:rPr>
                <m:sty m:val="p"/>
              </m:rPr>
              <m:t>Γ</m:t>
            </m:r>
            <m:r>
              <m:t> </m:t>
            </m:r>
            <m:r>
              <m:rPr>
                <m:sty m:val="p"/>
              </m:rPr>
              <m:t>⊢</m:t>
            </m:r>
            <m:r>
              <m:t> </m:t>
            </m:r>
            <m:r>
              <m:t>e</m:t>
            </m:r>
            <m:r>
              <m:t>2</m:t>
            </m:r>
            <m:r>
              <m:t> </m:t>
            </m:r>
            <m:r>
              <m:rPr>
                <m:sty m:val="p"/>
              </m:rPr>
              <m:t>:</m:t>
            </m:r>
            <m:r>
              <m:t> </m:t>
            </m:r>
            <m:r>
              <m:t>N</m:t>
            </m:r>
            <m:r>
              <m:t>u</m:t>
            </m:r>
            <m:r>
              <m:t>m</m:t>
            </m:r>
          </m:num>
          <m:den>
            <m:r>
              <m:rPr>
                <m:sty m:val="p"/>
              </m:rPr>
              <m:t>Γ</m:t>
            </m:r>
            <m:r>
              <m:t> </m:t>
            </m:r>
            <m:r>
              <m:rPr>
                <m:sty m:val="p"/>
              </m:rPr>
              <m:t>⊢</m:t>
            </m:r>
            <m:r>
              <m:t> </m:t>
            </m:r>
            <m:r>
              <m:t>e</m:t>
            </m:r>
            <m:r>
              <m:t>1</m:t>
            </m:r>
            <m:r>
              <m:rPr>
                <m:sty m:val="p"/>
              </m:rPr>
              <m:t>*</m:t>
            </m:r>
            <m:r>
              <m:t> </m:t>
            </m:r>
            <m:r>
              <m:t>e</m:t>
            </m:r>
            <m:r>
              <m:t>2</m:t>
            </m:r>
            <m:r>
              <m:t> </m:t>
            </m:r>
            <m:r>
              <m:rPr>
                <m:sty m:val="p"/>
              </m:rPr>
              <m:t>:</m:t>
            </m:r>
            <m:r>
              <m:t> </m:t>
            </m:r>
            <m:r>
              <m:t>N</m:t>
            </m:r>
            <m:r>
              <m:t>u</m:t>
            </m:r>
            <m:r>
              <m:t>m</m:t>
            </m:r>
          </m:den>
        </m:f>
      </m:oMath>
    </w:p>
    <w:p>
      <w:pPr>
        <w:pStyle w:val="BodyText"/>
      </w:pPr>
      <w:r>
        <w:t xml:space="preserve">[T-MUL-SCALAR-R]</w:t>
      </w:r>
      <w:r>
        <w:t xml:space="preserve"> </w:t>
      </w:r>
      <m:oMath>
        <m:f>
          <m:fPr>
            <m:type m:val="bar"/>
          </m:fPr>
          <m:num>
            <m:r>
              <m:rPr>
                <m:sty m:val="p"/>
              </m:rPr>
              <m:t>Γ</m:t>
            </m:r>
            <m:r>
              <m:t> </m:t>
            </m:r>
            <m:r>
              <m:rPr>
                <m:sty m:val="p"/>
              </m:rPr>
              <m:t>⊢</m:t>
            </m:r>
            <m:r>
              <m:t> </m:t>
            </m:r>
            <m:r>
              <m:t>e</m:t>
            </m:r>
            <m:r>
              <m:t>1</m:t>
            </m:r>
            <m:r>
              <m:t> </m:t>
            </m:r>
            <m:r>
              <m:t> </m:t>
            </m:r>
            <m:r>
              <m:rPr>
                <m:sty m:val="p"/>
              </m:rPr>
              <m:t>:</m:t>
            </m:r>
            <m:r>
              <m:t> </m:t>
            </m:r>
            <m:r>
              <m:t>A</m:t>
            </m:r>
            <m:r>
              <m:t>m</m:t>
            </m:r>
            <m:r>
              <m:t>t</m:t>
            </m:r>
            <m:r>
              <m:rPr>
                <m:sty m:val="p"/>
              </m:rPr>
              <m:t>[</m:t>
            </m:r>
            <m:r>
              <m:t>c</m:t>
            </m:r>
            <m:r>
              <m:rPr>
                <m:sty m:val="p"/>
              </m:rPr>
              <m:t>]</m:t>
            </m:r>
            <m:r>
              <m:t> </m:t>
            </m:r>
            <m:r>
              <m:t> </m:t>
            </m:r>
            <m:r>
              <m:t> </m:t>
            </m:r>
            <m:r>
              <m:t> </m:t>
            </m:r>
            <m:r>
              <m:t> </m:t>
            </m:r>
            <m:r>
              <m:rPr>
                <m:sty m:val="p"/>
              </m:rPr>
              <m:t>Γ</m:t>
            </m:r>
            <m:r>
              <m:t> </m:t>
            </m:r>
            <m:r>
              <m:rPr>
                <m:sty m:val="p"/>
              </m:rPr>
              <m:t>⊢</m:t>
            </m:r>
            <m:r>
              <m:t> </m:t>
            </m:r>
            <m:r>
              <m:t>e</m:t>
            </m:r>
            <m:r>
              <m:t>2</m:t>
            </m:r>
            <m:r>
              <m:t> </m:t>
            </m:r>
            <m:r>
              <m:t> </m:t>
            </m:r>
            <m:r>
              <m:rPr>
                <m:sty m:val="p"/>
              </m:rPr>
              <m:t>:</m:t>
            </m:r>
            <m:r>
              <m:t> </m:t>
            </m:r>
            <m:r>
              <m:t>N</m:t>
            </m:r>
            <m:r>
              <m:t>u</m:t>
            </m:r>
            <m:r>
              <m:t>m</m:t>
            </m:r>
            <m:r>
              <m:t> </m:t>
            </m:r>
          </m:num>
          <m:den>
            <m:r>
              <m:rPr>
                <m:sty m:val="p"/>
              </m:rPr>
              <m:t>Γ</m:t>
            </m:r>
            <m:r>
              <m:t> </m:t>
            </m:r>
            <m:r>
              <m:rPr>
                <m:sty m:val="p"/>
              </m:rPr>
              <m:t>⊢</m:t>
            </m:r>
            <m:r>
              <m:t> </m:t>
            </m:r>
            <m:r>
              <m:t>e</m:t>
            </m:r>
            <m:r>
              <m:t>1</m:t>
            </m:r>
            <m:r>
              <m:rPr>
                <m:sty m:val="p"/>
              </m:rPr>
              <m:t>×</m:t>
            </m:r>
            <m:r>
              <m:t>e</m:t>
            </m:r>
            <m:r>
              <m:t>2</m:t>
            </m:r>
            <m:r>
              <m:t> </m:t>
            </m:r>
            <m:r>
              <m:t> </m:t>
            </m:r>
            <m:r>
              <m:rPr>
                <m:sty m:val="p"/>
              </m:rPr>
              <m:t>:</m:t>
            </m:r>
            <m:r>
              <m:t> </m:t>
            </m:r>
            <m:r>
              <m:t>A</m:t>
            </m:r>
            <m:r>
              <m:t>m</m:t>
            </m:r>
            <m:r>
              <m:t>t</m:t>
            </m:r>
            <m:r>
              <m:rPr>
                <m:sty m:val="p"/>
              </m:rPr>
              <m:t>[</m:t>
            </m:r>
            <m:r>
              <m:t>c</m:t>
            </m:r>
            <m:r>
              <m:rPr>
                <m:sty m:val="p"/>
              </m:rPr>
              <m:t>]</m:t>
            </m:r>
          </m:den>
        </m:f>
      </m:oMath>
    </w:p>
    <w:p>
      <w:pPr>
        <w:pStyle w:val="BodyText"/>
      </w:pPr>
      <w:r>
        <w:t xml:space="preserve">[T-MUL-SCALAR-L]</w:t>
      </w:r>
      <w:r>
        <w:t xml:space="preserve"> </w:t>
      </w:r>
      <m:oMath>
        <m:f>
          <m:fPr>
            <m:type m:val="bar"/>
          </m:fPr>
          <m:num>
            <m:r>
              <m:rPr>
                <m:sty m:val="p"/>
              </m:rPr>
              <m:t>Γ</m:t>
            </m:r>
            <m:r>
              <m:t> </m:t>
            </m:r>
            <m:r>
              <m:rPr>
                <m:sty m:val="p"/>
              </m:rPr>
              <m:t>⊢</m:t>
            </m:r>
            <m:r>
              <m:t> </m:t>
            </m:r>
            <m:r>
              <m:t>e</m:t>
            </m:r>
            <m:r>
              <m:t>1</m:t>
            </m:r>
            <m:r>
              <m:t> </m:t>
            </m:r>
            <m:r>
              <m:t> </m:t>
            </m:r>
            <m:r>
              <m:rPr>
                <m:sty m:val="p"/>
              </m:rPr>
              <m:t>:</m:t>
            </m:r>
            <m:r>
              <m:t> </m:t>
            </m:r>
            <m:r>
              <m:t>N</m:t>
            </m:r>
            <m:r>
              <m:t>u</m:t>
            </m:r>
            <m:r>
              <m:t>m</m:t>
            </m:r>
            <m:r>
              <m:t> </m:t>
            </m:r>
            <m:r>
              <m:t> </m:t>
            </m:r>
            <m:r>
              <m:t> </m:t>
            </m:r>
            <m:r>
              <m:t> </m:t>
            </m:r>
            <m:r>
              <m:t> </m:t>
            </m:r>
            <m:r>
              <m:rPr>
                <m:sty m:val="p"/>
              </m:rPr>
              <m:t>Γ</m:t>
            </m:r>
            <m:r>
              <m:t> </m:t>
            </m:r>
            <m:r>
              <m:rPr>
                <m:sty m:val="p"/>
              </m:rPr>
              <m:t>⊢</m:t>
            </m:r>
            <m:r>
              <m:t> </m:t>
            </m:r>
            <m:r>
              <m:t>e</m:t>
            </m:r>
            <m:r>
              <m:t>2</m:t>
            </m:r>
            <m:r>
              <m:t> </m:t>
            </m:r>
            <m:r>
              <m:t> </m:t>
            </m:r>
            <m:r>
              <m:rPr>
                <m:sty m:val="p"/>
              </m:rPr>
              <m:t>:</m:t>
            </m:r>
            <m:r>
              <m:t> </m:t>
            </m:r>
            <m:r>
              <m:t>A</m:t>
            </m:r>
            <m:r>
              <m:t>m</m:t>
            </m:r>
            <m:r>
              <m:t>t</m:t>
            </m:r>
            <m:r>
              <m:rPr>
                <m:sty m:val="p"/>
              </m:rPr>
              <m:t>[</m:t>
            </m:r>
            <m:r>
              <m:t>c</m:t>
            </m:r>
            <m:r>
              <m:rPr>
                <m:sty m:val="p"/>
              </m:rPr>
              <m:t>]</m:t>
            </m:r>
            <m:r>
              <m:t> </m:t>
            </m:r>
          </m:num>
          <m:den>
            <m:r>
              <m:rPr>
                <m:sty m:val="p"/>
              </m:rPr>
              <m:t>Γ</m:t>
            </m:r>
            <m:r>
              <m:t> </m:t>
            </m:r>
            <m:r>
              <m:rPr>
                <m:sty m:val="p"/>
              </m:rPr>
              <m:t>⊢</m:t>
            </m:r>
            <m:r>
              <m:t> </m:t>
            </m:r>
            <m:r>
              <m:t>e</m:t>
            </m:r>
            <m:r>
              <m:t>1</m:t>
            </m:r>
            <m:r>
              <m:rPr>
                <m:sty m:val="p"/>
              </m:rPr>
              <m:t>×</m:t>
            </m:r>
            <m:r>
              <m:t>e</m:t>
            </m:r>
            <m:r>
              <m:t>2</m:t>
            </m:r>
            <m:r>
              <m:t> </m:t>
            </m:r>
            <m:r>
              <m:t> </m:t>
            </m:r>
            <m:r>
              <m:rPr>
                <m:sty m:val="p"/>
              </m:rPr>
              <m:t>:</m:t>
            </m:r>
            <m:r>
              <m:t> </m:t>
            </m:r>
            <m:r>
              <m:t>A</m:t>
            </m:r>
            <m:r>
              <m:t>m</m:t>
            </m:r>
            <m:r>
              <m:t>t</m:t>
            </m:r>
            <m:r>
              <m:rPr>
                <m:sty m:val="p"/>
              </m:rPr>
              <m:t>[</m:t>
            </m:r>
            <m:r>
              <m:t>c</m:t>
            </m:r>
            <m:r>
              <m:rPr>
                <m:sty m:val="p"/>
              </m:rPr>
              <m:t>]</m:t>
            </m:r>
          </m:den>
        </m:f>
      </m:oMath>
    </w:p>
    <w:p>
      <w:pPr>
        <w:pStyle w:val="BodyText"/>
      </w:pPr>
      <w:r>
        <w:rPr>
          <w:b/>
          <w:bCs/>
        </w:rPr>
        <w:t xml:space="preserve">Subtraction.</w:t>
      </w:r>
      <w:r>
        <w:t xml:space="preserve"> </w:t>
      </w:r>
      <w:r>
        <w:t xml:space="preserve">The subtraction rules mirror addition exactly. Rule</w:t>
      </w:r>
      <w:r>
        <w:t xml:space="preserve"> </w:t>
      </w:r>
      <w:r>
        <w:rPr>
          <w:b/>
          <w:bCs/>
        </w:rPr>
        <w:t xml:space="preserve">T-SUB-NUM</w:t>
      </w:r>
      <w:r>
        <w:t xml:space="preserve"> </w:t>
      </w:r>
      <w:r>
        <w:t xml:space="preserve">allows subtracting dimensionless numbers, while</w:t>
      </w:r>
      <w:r>
        <w:t xml:space="preserve"> </w:t>
      </w:r>
      <w:r>
        <w:rPr>
          <w:b/>
          <w:bCs/>
        </w:rPr>
        <w:t xml:space="preserve">T-SUB-AMT</w:t>
      </w:r>
      <w:r>
        <w:t xml:space="preserve"> </w:t>
      </w:r>
      <w:r>
        <w:t xml:space="preserve">permits subtracting monetary amounts only when currencies match. The expression 500&lt;EUR&gt; - 100&lt;EUR&gt; yields Amt[EUR], enabling calculations such as computing a net fee after deducting a prior payment.</w:t>
      </w:r>
    </w:p>
    <w:p>
      <w:pPr>
        <w:pStyle w:val="BodyText"/>
      </w:pPr>
      <w:r>
        <w:t xml:space="preserve">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pPr>
        <w:pStyle w:val="BodyText"/>
      </w:pPr>
      <w:r>
        <w:t xml:space="preserve">[T-SUB-NUM]</w:t>
      </w:r>
      <w:r>
        <w:t xml:space="preserve"> </w:t>
      </w:r>
      <m:oMath>
        <m:f>
          <m:fPr>
            <m:type m:val="bar"/>
          </m:fPr>
          <m:num>
            <m:r>
              <m:rPr>
                <m:sty m:val="p"/>
              </m:rPr>
              <m:t>Γ</m:t>
            </m:r>
            <m:r>
              <m:t> </m:t>
            </m:r>
            <m:r>
              <m:rPr>
                <m:sty m:val="p"/>
              </m:rPr>
              <m:t>⊢</m:t>
            </m:r>
            <m:r>
              <m:t> </m:t>
            </m:r>
            <m:r>
              <m:t>e</m:t>
            </m:r>
            <m:r>
              <m:t>1</m:t>
            </m:r>
            <m:r>
              <m:t> </m:t>
            </m:r>
            <m:r>
              <m:rPr>
                <m:sty m:val="p"/>
              </m:rPr>
              <m:t>:</m:t>
            </m:r>
            <m:r>
              <m:t> </m:t>
            </m:r>
            <m:r>
              <m:t>N</m:t>
            </m:r>
            <m:r>
              <m:t>u</m:t>
            </m:r>
            <m:r>
              <m:t>m</m:t>
            </m:r>
            <m:r>
              <m:t> </m:t>
            </m:r>
            <m:r>
              <m:t> </m:t>
            </m:r>
            <m:r>
              <m:t> </m:t>
            </m:r>
            <m:r>
              <m:t> </m:t>
            </m:r>
            <m:r>
              <m:rPr>
                <m:sty m:val="p"/>
              </m:rPr>
              <m:t>Γ</m:t>
            </m:r>
            <m:r>
              <m:t> </m:t>
            </m:r>
            <m:r>
              <m:rPr>
                <m:sty m:val="p"/>
              </m:rPr>
              <m:t>⊢</m:t>
            </m:r>
            <m:r>
              <m:t> </m:t>
            </m:r>
            <m:r>
              <m:t>e</m:t>
            </m:r>
            <m:r>
              <m:t>2</m:t>
            </m:r>
            <m:r>
              <m:t> </m:t>
            </m:r>
            <m:r>
              <m:rPr>
                <m:sty m:val="p"/>
              </m:rPr>
              <m:t>:</m:t>
            </m:r>
            <m:r>
              <m:t> </m:t>
            </m:r>
            <m:r>
              <m:t>N</m:t>
            </m:r>
            <m:r>
              <m:t>u</m:t>
            </m:r>
            <m:r>
              <m:t>m</m:t>
            </m:r>
          </m:num>
          <m:den>
            <m:r>
              <m:rPr>
                <m:sty m:val="p"/>
              </m:rPr>
              <m:t>Γ</m:t>
            </m:r>
            <m:r>
              <m:t> </m:t>
            </m:r>
            <m:r>
              <m:rPr>
                <m:sty m:val="p"/>
              </m:rPr>
              <m:t>⊢</m:t>
            </m:r>
            <m:r>
              <m:t> </m:t>
            </m:r>
            <m:r>
              <m:t>e</m:t>
            </m:r>
            <m:r>
              <m:t>1</m:t>
            </m:r>
            <m:r>
              <m:t> </m:t>
            </m:r>
            <m:r>
              <m:rPr>
                <m:sty m:val="p"/>
              </m:rPr>
              <m:t>−</m:t>
            </m:r>
            <m:r>
              <m:t> </m:t>
            </m:r>
            <m:r>
              <m:t>e</m:t>
            </m:r>
            <m:r>
              <m:t>2</m:t>
            </m:r>
            <m:r>
              <m:t> </m:t>
            </m:r>
            <m:r>
              <m:rPr>
                <m:sty m:val="p"/>
              </m:rPr>
              <m:t>:</m:t>
            </m:r>
            <m:r>
              <m:t> </m:t>
            </m:r>
            <m:r>
              <m:t>N</m:t>
            </m:r>
            <m:r>
              <m:t>u</m:t>
            </m:r>
            <m:r>
              <m:t>m</m:t>
            </m:r>
          </m:den>
        </m:f>
      </m:oMath>
    </w:p>
    <w:p>
      <w:pPr>
        <w:pStyle w:val="BodyText"/>
      </w:pPr>
      <w:r>
        <w:t xml:space="preserve">[T-SUB-AMT]</w:t>
      </w:r>
      <w:r>
        <w:t xml:space="preserve"> </w:t>
      </w:r>
      <m:oMath>
        <m:f>
          <m:fPr>
            <m:type m:val="bar"/>
          </m:fPr>
          <m:num>
            <m:r>
              <m:rPr>
                <m:sty m:val="p"/>
              </m:rPr>
              <m:t>Γ</m:t>
            </m:r>
            <m:r>
              <m:t> </m:t>
            </m:r>
            <m:r>
              <m:rPr>
                <m:sty m:val="p"/>
              </m:rPr>
              <m:t>⊢</m:t>
            </m:r>
            <m:r>
              <m:t> </m:t>
            </m:r>
            <m:r>
              <m:t>e</m:t>
            </m:r>
            <m:r>
              <m:t>1</m:t>
            </m:r>
            <m:r>
              <m:t> </m:t>
            </m:r>
            <m:r>
              <m:rPr>
                <m:sty m:val="p"/>
              </m:rPr>
              <m:t>:</m:t>
            </m:r>
            <m:r>
              <m:t> </m:t>
            </m:r>
            <m:r>
              <m:t>A</m:t>
            </m:r>
            <m:r>
              <m:t>m</m:t>
            </m:r>
            <m:r>
              <m:t>t</m:t>
            </m:r>
            <m:r>
              <m:rPr>
                <m:sty m:val="p"/>
              </m:rPr>
              <m:t>[</m:t>
            </m:r>
            <m:r>
              <m:t>c</m:t>
            </m:r>
            <m:r>
              <m:rPr>
                <m:sty m:val="p"/>
              </m:rPr>
              <m:t>]</m:t>
            </m:r>
            <m:r>
              <m:t> </m:t>
            </m:r>
            <m:r>
              <m:t> </m:t>
            </m:r>
            <m:r>
              <m:t> </m:t>
            </m:r>
            <m:r>
              <m:t> </m:t>
            </m:r>
            <m:r>
              <m:rPr>
                <m:sty m:val="p"/>
              </m:rPr>
              <m:t>Γ</m:t>
            </m:r>
            <m:r>
              <m:t> </m:t>
            </m:r>
            <m:r>
              <m:rPr>
                <m:sty m:val="p"/>
              </m:rPr>
              <m:t>⊢</m:t>
            </m:r>
            <m:r>
              <m:t> </m:t>
            </m:r>
            <m:r>
              <m:t>e</m:t>
            </m:r>
            <m:r>
              <m:t>2</m:t>
            </m:r>
            <m:r>
              <m:t> </m:t>
            </m:r>
            <m:r>
              <m:rPr>
                <m:sty m:val="p"/>
              </m:rPr>
              <m:t>:</m:t>
            </m:r>
            <m:r>
              <m:t> </m:t>
            </m:r>
            <m:r>
              <m:t>A</m:t>
            </m:r>
            <m:r>
              <m:t>m</m:t>
            </m:r>
            <m:r>
              <m:t>t</m:t>
            </m:r>
            <m:r>
              <m:rPr>
                <m:sty m:val="p"/>
              </m:rPr>
              <m:t>[</m:t>
            </m:r>
            <m:r>
              <m:t>c</m:t>
            </m:r>
            <m:r>
              <m:rPr>
                <m:sty m:val="p"/>
              </m:rPr>
              <m:t>]</m:t>
            </m:r>
          </m:num>
          <m:den>
            <m:r>
              <m:rPr>
                <m:sty m:val="p"/>
              </m:rPr>
              <m:t>Γ</m:t>
            </m:r>
            <m:r>
              <m:t> </m:t>
            </m:r>
            <m:r>
              <m:rPr>
                <m:sty m:val="p"/>
              </m:rPr>
              <m:t>⊢</m:t>
            </m:r>
            <m:r>
              <m:t> </m:t>
            </m:r>
            <m:r>
              <m:t>e</m:t>
            </m:r>
            <m:r>
              <m:t>1</m:t>
            </m:r>
            <m:r>
              <m:t> </m:t>
            </m:r>
            <m:r>
              <m:rPr>
                <m:sty m:val="p"/>
              </m:rPr>
              <m:t>−</m:t>
            </m:r>
            <m:r>
              <m:t> </m:t>
            </m:r>
            <m:r>
              <m:t>e</m:t>
            </m:r>
            <m:r>
              <m:t>2</m:t>
            </m:r>
            <m:r>
              <m:t> </m:t>
            </m:r>
            <m:r>
              <m:rPr>
                <m:sty m:val="p"/>
              </m:rPr>
              <m:t>:</m:t>
            </m:r>
            <m:r>
              <m:t> </m:t>
            </m:r>
            <m:r>
              <m:t>A</m:t>
            </m:r>
            <m:r>
              <m:t>m</m:t>
            </m:r>
            <m:r>
              <m:t>t</m:t>
            </m:r>
            <m:r>
              <m:rPr>
                <m:sty m:val="p"/>
              </m:rPr>
              <m:t>[</m:t>
            </m:r>
            <m:r>
              <m:t>c</m:t>
            </m:r>
            <m:r>
              <m:rPr>
                <m:sty m:val="p"/>
              </m:rPr>
              <m:t>]</m:t>
            </m:r>
          </m:den>
        </m:f>
      </m:oMath>
    </w:p>
    <w:p>
      <w:pPr>
        <w:pStyle w:val="BodyText"/>
      </w:pPr>
      <w:r>
        <w:rPr>
          <w:b/>
          <w:bCs/>
        </w:rPr>
        <w:t xml:space="preserve">Division.</w:t>
      </w:r>
      <w:r>
        <w:t xml:space="preserve"> </w:t>
      </w:r>
      <w:r>
        <w:t xml:space="preserve">Division follows principles similar to multiplication. Rule</w:t>
      </w:r>
      <w:r>
        <w:t xml:space="preserve"> </w:t>
      </w:r>
      <w:r>
        <w:rPr>
          <w:b/>
          <w:bCs/>
        </w:rPr>
        <w:t xml:space="preserve">T-DIV-NUM</w:t>
      </w:r>
      <w:r>
        <w:t xml:space="preserve"> </w:t>
      </w:r>
      <w:r>
        <w:t xml:space="preserve">permits dividing one dimensionless number by another, yielding a dimensionless result - useful for computing ratios or averages.</w:t>
      </w:r>
    </w:p>
    <w:p>
      <w:pPr>
        <w:pStyle w:val="BodyText"/>
      </w:pPr>
      <w:r>
        <w:t xml:space="preserve">Rule</w:t>
      </w:r>
      <w:r>
        <w:t xml:space="preserve"> </w:t>
      </w:r>
      <w:r>
        <w:rPr>
          <w:b/>
          <w:bCs/>
        </w:rPr>
        <w:t xml:space="preserve">T-DIV-AMT-SCALAR</w:t>
      </w:r>
      <w:r>
        <w:t xml:space="preserve"> </w:t>
      </w:r>
      <w:r>
        <w:t xml:space="preserve">allows dividing a currency amount by a dimensionless scalar while preserving the currency tag; for example, 100&lt;EUR&gt; / 2 has type Amt[EUR]. This enables calculations such as splitting fees among multiple applicants, computing per-unit costs, or applying percentage-based reductions.</w:t>
      </w:r>
    </w:p>
    <w:p>
      <w:pPr>
        <w:pStyle w:val="BodyText"/>
      </w:pPr>
      <w:r>
        <w:t xml:space="preserve">Note the asymmetry: while Amt[c] / Num is well-typed (yielding Amt[c]), the reverse Num / Amt[c] has no typing rule and is therefore rejected. Dividing a dimensionless number by a currency amount would yield a nonsensical "inverse currency" type with no practical meaning in fee calculations.</w:t>
      </w:r>
    </w:p>
    <w:p>
      <w:pPr>
        <w:pStyle w:val="BodyText"/>
      </w:pPr>
      <w:r>
        <w:t xml:space="preserve">[T-DIV-NUM]</w:t>
      </w:r>
      <w:r>
        <w:t xml:space="preserve"> </w:t>
      </w:r>
      <m:oMath>
        <m:f>
          <m:fPr>
            <m:type m:val="bar"/>
          </m:fPr>
          <m:num>
            <m:r>
              <m:rPr>
                <m:sty m:val="p"/>
              </m:rPr>
              <m:t>Γ</m:t>
            </m:r>
            <m:r>
              <m:t> </m:t>
            </m:r>
            <m:r>
              <m:rPr>
                <m:sty m:val="p"/>
              </m:rPr>
              <m:t>⊢</m:t>
            </m:r>
            <m:r>
              <m:t> </m:t>
            </m:r>
            <m:r>
              <m:t>e</m:t>
            </m:r>
            <m:r>
              <m:t>1</m:t>
            </m:r>
            <m:r>
              <m:t> </m:t>
            </m:r>
            <m:r>
              <m:rPr>
                <m:sty m:val="p"/>
              </m:rPr>
              <m:t>:</m:t>
            </m:r>
            <m:r>
              <m:t> </m:t>
            </m:r>
            <m:r>
              <m:t>N</m:t>
            </m:r>
            <m:r>
              <m:t>u</m:t>
            </m:r>
            <m:r>
              <m:t>m</m:t>
            </m:r>
            <m:r>
              <m:t> </m:t>
            </m:r>
            <m:r>
              <m:t> </m:t>
            </m:r>
            <m:r>
              <m:t> </m:t>
            </m:r>
            <m:r>
              <m:t> </m:t>
            </m:r>
            <m:r>
              <m:rPr>
                <m:sty m:val="p"/>
              </m:rPr>
              <m:t>Γ</m:t>
            </m:r>
            <m:r>
              <m:t> </m:t>
            </m:r>
            <m:r>
              <m:rPr>
                <m:sty m:val="p"/>
              </m:rPr>
              <m:t>⊢</m:t>
            </m:r>
            <m:r>
              <m:t> </m:t>
            </m:r>
            <m:r>
              <m:t>e</m:t>
            </m:r>
            <m:r>
              <m:t>2</m:t>
            </m:r>
            <m:r>
              <m:t> </m:t>
            </m:r>
            <m:r>
              <m:rPr>
                <m:sty m:val="p"/>
              </m:rPr>
              <m:t>:</m:t>
            </m:r>
            <m:r>
              <m:t> </m:t>
            </m:r>
            <m:r>
              <m:t>N</m:t>
            </m:r>
            <m:r>
              <m:t>u</m:t>
            </m:r>
            <m:r>
              <m:t>m</m:t>
            </m:r>
          </m:num>
          <m:den>
            <m:r>
              <m:rPr>
                <m:sty m:val="p"/>
              </m:rPr>
              <m:t>Γ</m:t>
            </m:r>
            <m:r>
              <m:t> </m:t>
            </m:r>
            <m:r>
              <m:rPr>
                <m:sty m:val="p"/>
              </m:rPr>
              <m:t>⊢</m:t>
            </m:r>
            <m:r>
              <m:t> </m:t>
            </m:r>
            <m:r>
              <m:t>e</m:t>
            </m:r>
            <m:r>
              <m:t>1</m:t>
            </m:r>
            <m:r>
              <m:rPr>
                <m:sty m:val="p"/>
              </m:rPr>
              <m:t>/</m:t>
            </m:r>
            <m:r>
              <m:t> </m:t>
            </m:r>
            <m:r>
              <m:t>e</m:t>
            </m:r>
            <m:r>
              <m:t>2</m:t>
            </m:r>
            <m:r>
              <m:t> </m:t>
            </m:r>
            <m:r>
              <m:rPr>
                <m:sty m:val="p"/>
              </m:rPr>
              <m:t>:</m:t>
            </m:r>
            <m:r>
              <m:t> </m:t>
            </m:r>
            <m:r>
              <m:t>N</m:t>
            </m:r>
            <m:r>
              <m:t>u</m:t>
            </m:r>
            <m:r>
              <m:t>m</m:t>
            </m:r>
          </m:den>
        </m:f>
      </m:oMath>
    </w:p>
    <w:p>
      <w:pPr>
        <w:pStyle w:val="BodyText"/>
      </w:pPr>
      <w:r>
        <w:t xml:space="preserve">[T-DIV-AMT-SCALAR]</w:t>
      </w:r>
      <w:r>
        <w:t xml:space="preserve"> </w:t>
      </w:r>
      <m:oMath>
        <m:f>
          <m:fPr>
            <m:type m:val="bar"/>
          </m:fPr>
          <m:num>
            <m:r>
              <m:rPr>
                <m:sty m:val="p"/>
              </m:rPr>
              <m:t>Γ</m:t>
            </m:r>
            <m:r>
              <m:t> </m:t>
            </m:r>
            <m:r>
              <m:rPr>
                <m:sty m:val="p"/>
              </m:rPr>
              <m:t>⊢</m:t>
            </m:r>
            <m:r>
              <m:t> </m:t>
            </m:r>
            <m:r>
              <m:t>e</m:t>
            </m:r>
            <m:r>
              <m:t>1</m:t>
            </m:r>
            <m:r>
              <m:t> </m:t>
            </m:r>
            <m:r>
              <m:rPr>
                <m:sty m:val="p"/>
              </m:rPr>
              <m:t>:</m:t>
            </m:r>
            <m:r>
              <m:t> </m:t>
            </m:r>
            <m:r>
              <m:t>A</m:t>
            </m:r>
            <m:r>
              <m:t>m</m:t>
            </m:r>
            <m:r>
              <m:t>t</m:t>
            </m:r>
            <m:r>
              <m:rPr>
                <m:sty m:val="p"/>
              </m:rPr>
              <m:t>[</m:t>
            </m:r>
            <m:r>
              <m:t>c</m:t>
            </m:r>
            <m:r>
              <m:rPr>
                <m:sty m:val="p"/>
              </m:rPr>
              <m:t>]</m:t>
            </m:r>
            <m:r>
              <m:t> </m:t>
            </m:r>
            <m:r>
              <m:t> </m:t>
            </m:r>
            <m:r>
              <m:t> </m:t>
            </m:r>
            <m:r>
              <m:t> </m:t>
            </m:r>
            <m:r>
              <m:rPr>
                <m:sty m:val="p"/>
              </m:rPr>
              <m:t>Γ</m:t>
            </m:r>
            <m:r>
              <m:t> </m:t>
            </m:r>
            <m:r>
              <m:rPr>
                <m:sty m:val="p"/>
              </m:rPr>
              <m:t>⊢</m:t>
            </m:r>
            <m:r>
              <m:t> </m:t>
            </m:r>
            <m:r>
              <m:t>e</m:t>
            </m:r>
            <m:r>
              <m:t>2</m:t>
            </m:r>
            <m:r>
              <m:t> </m:t>
            </m:r>
            <m:r>
              <m:rPr>
                <m:sty m:val="p"/>
              </m:rPr>
              <m:t>:</m:t>
            </m:r>
            <m:r>
              <m:t> </m:t>
            </m:r>
            <m:r>
              <m:t>N</m:t>
            </m:r>
            <m:r>
              <m:t>u</m:t>
            </m:r>
            <m:r>
              <m:t>m</m:t>
            </m:r>
          </m:num>
          <m:den>
            <m:r>
              <m:rPr>
                <m:sty m:val="p"/>
              </m:rPr>
              <m:t>Γ</m:t>
            </m:r>
            <m:r>
              <m:t> </m:t>
            </m:r>
            <m:r>
              <m:rPr>
                <m:sty m:val="p"/>
              </m:rPr>
              <m:t>⊢</m:t>
            </m:r>
            <m:r>
              <m:t> </m:t>
            </m:r>
            <m:r>
              <m:t>e</m:t>
            </m:r>
            <m:r>
              <m:t>1</m:t>
            </m:r>
            <m:r>
              <m:rPr>
                <m:sty m:val="p"/>
              </m:rPr>
              <m:t>/</m:t>
            </m:r>
            <m:r>
              <m:t> </m:t>
            </m:r>
            <m:r>
              <m:t>e</m:t>
            </m:r>
            <m:r>
              <m:t>2</m:t>
            </m:r>
            <m:r>
              <m:t> </m:t>
            </m:r>
            <m:r>
              <m:rPr>
                <m:sty m:val="p"/>
              </m:rPr>
              <m:t>:</m:t>
            </m:r>
            <m:r>
              <m:t> </m:t>
            </m:r>
            <m:r>
              <m:t>A</m:t>
            </m:r>
            <m:r>
              <m:t>m</m:t>
            </m:r>
            <m:r>
              <m:t>t</m:t>
            </m:r>
            <m:r>
              <m:rPr>
                <m:sty m:val="p"/>
              </m:rPr>
              <m:t>[</m:t>
            </m:r>
            <m:r>
              <m:t>c</m:t>
            </m:r>
            <m:r>
              <m:rPr>
                <m:sty m:val="p"/>
              </m:rPr>
              <m:t>]</m:t>
            </m:r>
          </m:den>
        </m:f>
      </m:oMath>
    </w:p>
    <w:p>
      <w:pPr>
        <w:pStyle w:val="BodyText"/>
      </w:pPr>
      <w:r>
        <w:rPr>
          <w:b/>
          <w:bCs/>
        </w:rPr>
        <w:t xml:space="preserve">Currency Conversion</w:t>
      </w:r>
    </w:p>
    <w:p>
      <w:pPr>
        <w:pStyle w:val="BodyText"/>
      </w:pPr>
      <w:r>
        <w:t xml:space="preserve">The CONVERT function provides the sole mechanism for changing currency tags, making all cross-currency operations explicit and auditable in the source code. Without this function, a well-typed program cannot transform an amount from one currency to another - this is by design, ensuring that currency conversions are deliberate, visible, and traceable.</w:t>
      </w:r>
    </w:p>
    <w:p>
      <w:pPr>
        <w:pStyle w:val="BodyText"/>
      </w:pPr>
      <w:r>
        <w:t xml:space="preserve">Rule</w:t>
      </w:r>
      <w:r>
        <w:t xml:space="preserve"> </w:t>
      </w:r>
      <w:r>
        <w:rPr>
          <w:b/>
          <w:bCs/>
        </w:rPr>
        <w:t xml:space="preserve">T-CONVERT</w:t>
      </w:r>
      <w:r>
        <w:t xml:space="preserve"> </w:t>
      </w:r>
      <w:r>
        <w:t xml:space="preserve">requires four premises to be satisfied:</w:t>
      </w:r>
    </w:p>
    <w:p>
      <w:pPr>
        <w:numPr>
          <w:ilvl w:val="0"/>
          <w:numId w:val="1004"/>
        </w:numPr>
      </w:pPr>
      <w:r>
        <w:t xml:space="preserve">The expression e must have type Amt[c] for some currency c;</w:t>
      </w:r>
    </w:p>
    <w:p>
      <w:pPr>
        <w:numPr>
          <w:ilvl w:val="0"/>
          <w:numId w:val="1004"/>
        </w:numPr>
      </w:pPr>
      <w:r>
        <w:t xml:space="preserve">The declared source currency c₁ in the function call must exactly equal the inferred currency c of the expression;</w:t>
      </w:r>
    </w:p>
    <w:p>
      <w:pPr>
        <w:numPr>
          <w:ilvl w:val="0"/>
          <w:numId w:val="1004"/>
        </w:numPr>
      </w:pPr>
      <w:r>
        <w:t xml:space="preserve">The source currency c₁ must be a valid ISO-4217 code; and</w:t>
      </w:r>
    </w:p>
    <w:p>
      <w:pPr>
        <w:numPr>
          <w:ilvl w:val="0"/>
          <w:numId w:val="1004"/>
        </w:numPr>
      </w:pPr>
      <w:r>
        <w:t xml:space="preserve">The target currency c₂ must also be a valid ISO-4217 code.</w:t>
      </w:r>
    </w:p>
    <w:p>
      <w:pPr>
        <w:pStyle w:val="FirstParagraph"/>
      </w:pPr>
      <w:r>
        <w:t xml:space="preserve">When all premises are satisfied, the conclusion assigns type Amt[c₂] to the converted expression.</w:t>
      </w:r>
    </w:p>
    <w:p>
      <w:pPr>
        <w:pStyle w:val="BodyText"/>
      </w:pPr>
      <w:r>
        <w:t xml:space="preserve">The premise c₁ = c is critical for soundness and deserves emphasis: it prevents ill-formed conversions such as CONVERT(100&lt;EUR&gt;, USD, GBP) where a programmer mistakenly declares USD as the source currency while the expression is actually denominated in EUR. Such errors - which could silently produce incorrect exchange rate application - are caught at compile time. By requiring the explicit source currency to match the inferred type, the type system forces programmers to acknowledge the actual currency of values being converted.</w:t>
      </w:r>
    </w:p>
    <w:p>
      <w:pPr>
        <w:pStyle w:val="BodyText"/>
      </w:pPr>
      <w:r>
        <w:t xml:space="preserve">[T-CONVERT]</w:t>
      </w:r>
      <w:r>
        <w:t xml:space="preserve"> </w:t>
      </w:r>
      <m:oMath>
        <m:f>
          <m:fPr>
            <m:type m:val="bar"/>
          </m:fPr>
          <m:num>
            <m:r>
              <m:rPr>
                <m:sty m:val="p"/>
              </m:rPr>
              <m:t>Γ</m:t>
            </m:r>
            <m:r>
              <m:t> </m:t>
            </m:r>
            <m:r>
              <m:rPr>
                <m:sty m:val="p"/>
              </m:rPr>
              <m:t>⊢</m:t>
            </m:r>
            <m:r>
              <m:t> </m:t>
            </m:r>
            <m:r>
              <m:t>e</m:t>
            </m:r>
            <m:r>
              <m:t> </m:t>
            </m:r>
            <m:r>
              <m:t> </m:t>
            </m:r>
            <m:r>
              <m:rPr>
                <m:sty m:val="p"/>
              </m:rPr>
              <m:t>:</m:t>
            </m:r>
            <m:r>
              <m:t> </m:t>
            </m:r>
            <m:r>
              <m:t>A</m:t>
            </m:r>
            <m:r>
              <m:t>m</m:t>
            </m:r>
            <m:r>
              <m:t>t</m:t>
            </m:r>
            <m:r>
              <m:rPr>
                <m:sty m:val="p"/>
              </m:rPr>
              <m:t>[</m:t>
            </m:r>
            <m:r>
              <m:t>c</m:t>
            </m:r>
            <m:r>
              <m:rPr>
                <m:sty m:val="p"/>
              </m:rPr>
              <m:t>]</m:t>
            </m:r>
            <m:r>
              <m:t> </m:t>
            </m:r>
            <m:r>
              <m:t> </m:t>
            </m:r>
            <m:r>
              <m:t>c</m:t>
            </m:r>
            <m:r>
              <m:t>1</m:t>
            </m:r>
            <m:r>
              <m:rPr>
                <m:sty m:val="p"/>
              </m:rPr>
              <m:t>=</m:t>
            </m:r>
            <m:r>
              <m:t>c</m:t>
            </m:r>
            <m:r>
              <m:t> </m:t>
            </m:r>
            <m:r>
              <m:t> </m:t>
            </m:r>
            <m:r>
              <m:t>c</m:t>
            </m:r>
            <m:r>
              <m:t>1</m:t>
            </m:r>
            <m:r>
              <m:rPr>
                <m:sty m:val="p"/>
              </m:rPr>
              <m:t>∈</m:t>
            </m:r>
            <m:r>
              <m:t>I</m:t>
            </m:r>
            <m:r>
              <m:t>S</m:t>
            </m:r>
            <m:r>
              <m:t>O</m:t>
            </m:r>
            <m:r>
              <m:rPr>
                <m:sty m:val="p"/>
              </m:rPr>
              <m:t>−</m:t>
            </m:r>
            <m:r>
              <m:t>4217</m:t>
            </m:r>
            <m:r>
              <m:t> </m:t>
            </m:r>
            <m:r>
              <m:t> </m:t>
            </m:r>
            <m:r>
              <m:t>c</m:t>
            </m:r>
            <m:r>
              <m:t>2</m:t>
            </m:r>
            <m:r>
              <m:rPr>
                <m:sty m:val="p"/>
              </m:rPr>
              <m:t>∈</m:t>
            </m:r>
            <m:r>
              <m:t>I</m:t>
            </m:r>
            <m:r>
              <m:t>S</m:t>
            </m:r>
            <m:r>
              <m:t>O</m:t>
            </m:r>
            <m:r>
              <m:rPr>
                <m:sty m:val="p"/>
              </m:rPr>
              <m:t>−</m:t>
            </m:r>
            <m:r>
              <m:t>4217</m:t>
            </m:r>
          </m:num>
          <m:den>
            <m:r>
              <m:rPr>
                <m:sty m:val="p"/>
              </m:rPr>
              <m:t>Γ</m:t>
            </m:r>
            <m:r>
              <m:t> </m:t>
            </m:r>
            <m:r>
              <m:rPr>
                <m:sty m:val="p"/>
              </m:rPr>
              <m:t>⊢</m:t>
            </m:r>
            <m:r>
              <m:t> </m:t>
            </m:r>
            <m:r>
              <m:t>C</m:t>
            </m:r>
            <m:r>
              <m:t>O</m:t>
            </m:r>
            <m:r>
              <m:t>N</m:t>
            </m:r>
            <m:r>
              <m:t>V</m:t>
            </m:r>
            <m:r>
              <m:t>E</m:t>
            </m:r>
            <m:r>
              <m:t>R</m:t>
            </m:r>
            <m:r>
              <m:t>T</m:t>
            </m:r>
            <m:r>
              <m:rPr>
                <m:sty m:val="p"/>
              </m:rPr>
              <m:t>(</m:t>
            </m:r>
            <m:r>
              <m:t>e</m:t>
            </m:r>
            <m:r>
              <m:rPr>
                <m:sty m:val="p"/>
              </m:rPr>
              <m:t>,</m:t>
            </m:r>
            <m:r>
              <m:t> </m:t>
            </m:r>
            <m:r>
              <m:t> </m:t>
            </m:r>
            <m:r>
              <m:t> </m:t>
            </m:r>
            <m:r>
              <m:t>c</m:t>
            </m:r>
            <m:r>
              <m:t>1</m:t>
            </m:r>
            <m:r>
              <m:rPr>
                <m:sty m:val="p"/>
              </m:rPr>
              <m:t>,</m:t>
            </m:r>
            <m:r>
              <m:t> </m:t>
            </m:r>
            <m:r>
              <m:t> </m:t>
            </m:r>
            <m:r>
              <m:t> </m:t>
            </m:r>
            <m:r>
              <m:t>c</m:t>
            </m:r>
            <m:r>
              <m:t>2</m:t>
            </m:r>
            <m:r>
              <m:rPr>
                <m:sty m:val="p"/>
              </m:rPr>
              <m:t>)</m:t>
            </m:r>
            <m:r>
              <m:t> </m:t>
            </m:r>
            <m:r>
              <m:t> </m:t>
            </m:r>
            <m:r>
              <m:rPr>
                <m:sty m:val="p"/>
              </m:rPr>
              <m:t>:</m:t>
            </m:r>
            <m:r>
              <m:t> </m:t>
            </m:r>
            <m:r>
              <m:t>A</m:t>
            </m:r>
            <m:r>
              <m:t>m</m:t>
            </m:r>
            <m:r>
              <m:t>t</m:t>
            </m:r>
            <m:r>
              <m:rPr>
                <m:sty m:val="p"/>
              </m:rPr>
              <m:t>[</m:t>
            </m:r>
            <m:r>
              <m:t>c</m:t>
            </m:r>
            <m:r>
              <m:t>2</m:t>
            </m:r>
            <m:r>
              <m:rPr>
                <m:sty m:val="p"/>
              </m:rPr>
              <m:t>]</m:t>
            </m:r>
          </m:den>
        </m:f>
      </m:oMath>
    </w:p>
    <w:p>
      <w:pPr>
        <w:pStyle w:val="BodyText"/>
      </w:pPr>
      <w:r>
        <w:rPr>
          <w:b/>
          <w:bCs/>
        </w:rPr>
        <w:t xml:space="preserve">Comparisons and Conditions</w:t>
      </w:r>
    </w:p>
    <w:p>
      <w:pPr>
        <w:pStyle w:val="BodyText"/>
      </w:pPr>
      <w:r>
        <w:t xml:space="preserve">Comparison operations produce Boolean results and are governed by two rules that distinguish</w:t>
      </w:r>
      <w:r>
        <w:t xml:space="preserve"> </w:t>
      </w:r>
      <w:r>
        <w:rPr>
          <w:i/>
          <w:iCs/>
        </w:rPr>
        <w:t xml:space="preserve">equality testing</w:t>
      </w:r>
      <w:r>
        <w:t xml:space="preserve"> </w:t>
      </w:r>
      <w:r>
        <w:t xml:space="preserve">from</w:t>
      </w:r>
      <w:r>
        <w:t xml:space="preserve"> </w:t>
      </w:r>
      <w:r>
        <w:rPr>
          <w:i/>
          <w:iCs/>
        </w:rPr>
        <w:t xml:space="preserve">ordering comparisons</w:t>
      </w:r>
      <w:r>
        <w:t xml:space="preserve">. This distinction matters because not all types that support equality testing also support meaningful ordering.</w:t>
      </w:r>
    </w:p>
    <w:p>
      <w:pPr>
        <w:pStyle w:val="BodyText"/>
      </w:pPr>
      <w:r>
        <w:t xml:space="preserve">Rule T-COMP-EQ permits equality (EQ) and inequality (NEQ) comparisons between two values of the same type, where that type must be one that supports equality testing: numbers, Booleans, symbols (LIST choices), dates, or currency amounts (of any single currency). The expression EntityType EQ SmallEntity compares two symbols; TotalFee EQ 0&lt;EUR&gt; compares two EUR amounts. Equality comparisons are rejected between values of different types - 100 EQ TRUE fails because Num and Bool are incompatible.</w:t>
      </w:r>
    </w:p>
    <w:p>
      <w:pPr>
        <w:pStyle w:val="BodyText"/>
      </w:pPr>
      <w:r>
        <w:t xml:space="preserve">Rule T-COMP-ORD is more restrictive: ordering comparisons (GT, LT, GTE, 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 100&lt;EUR&gt; is greater than 50&lt;EUR&gt;). However, symbolic types do not admit ordering - asking whether SmallEntity is "greater than" LargeEntity is semantically meaningless, as LIST choices have no inherent order. Similarly, Boolean values are not ordered - neither TRUE &gt; FALSE nor the reverse makes sense. This stratification prevents nonsensical comparisons while permitting all sensible ones.</w:t>
      </w:r>
    </w:p>
    <w:p>
      <w:pPr>
        <w:pStyle w:val="BodyText"/>
      </w:pPr>
      <w:r>
        <w:t xml:space="preserve">[T-COMP-EQ]</w:t>
      </w:r>
      <w:r>
        <w:t xml:space="preserve"> </w:t>
      </w:r>
      <m:oMath>
        <m:f>
          <m:fPr>
            <m:type m:val="bar"/>
          </m:fPr>
          <m:num>
            <m:r>
              <m:rPr>
                <m:sty m:val="p"/>
              </m:rPr>
              <m:t>Γ</m:t>
            </m:r>
            <m:r>
              <m:t> </m:t>
            </m:r>
            <m:r>
              <m:rPr>
                <m:sty m:val="p"/>
              </m:rPr>
              <m:t>⊢</m:t>
            </m:r>
            <m:r>
              <m:t> </m:t>
            </m:r>
            <m:r>
              <m:t>e</m:t>
            </m:r>
            <m:r>
              <m:t>1</m:t>
            </m:r>
            <m:r>
              <m:t> </m:t>
            </m:r>
            <m:r>
              <m:t> </m:t>
            </m:r>
            <m:r>
              <m:rPr>
                <m:sty m:val="p"/>
              </m:rPr>
              <m:t>:</m:t>
            </m:r>
            <m:r>
              <m:t> </m:t>
            </m:r>
            <m:r>
              <m:t>τ</m:t>
            </m:r>
            <m:r>
              <m:t> </m:t>
            </m:r>
            <m:r>
              <m:t> </m:t>
            </m:r>
            <m:r>
              <m:t> </m:t>
            </m:r>
            <m:r>
              <m:t> </m:t>
            </m:r>
            <m:r>
              <m:t> </m:t>
            </m:r>
            <m:r>
              <m:rPr>
                <m:sty m:val="p"/>
              </m:rPr>
              <m:t>Γ</m:t>
            </m:r>
            <m:r>
              <m:t> </m:t>
            </m:r>
            <m:r>
              <m:rPr>
                <m:sty m:val="p"/>
              </m:rPr>
              <m:t>⊢</m:t>
            </m:r>
            <m:r>
              <m:t> </m:t>
            </m:r>
            <m:r>
              <m:t>e</m:t>
            </m:r>
            <m:r>
              <m:t>2</m:t>
            </m:r>
            <m:r>
              <m:t> </m:t>
            </m:r>
            <m:r>
              <m:t> </m:t>
            </m:r>
            <m:r>
              <m:rPr>
                <m:sty m:val="p"/>
              </m:rPr>
              <m:t>:</m:t>
            </m:r>
            <m:r>
              <m:t> </m:t>
            </m:r>
            <m:r>
              <m:t>τ</m:t>
            </m:r>
            <m:r>
              <m:t> </m:t>
            </m:r>
            <m:r>
              <m:t> </m:t>
            </m:r>
            <m:r>
              <m:t> </m:t>
            </m:r>
            <m:r>
              <m:t> </m:t>
            </m:r>
            <m:r>
              <m:t> </m:t>
            </m:r>
            <m:r>
              <m:t>τ</m:t>
            </m:r>
            <m:r>
              <m:t> </m:t>
            </m:r>
            <m:r>
              <m:rPr>
                <m:sty m:val="p"/>
              </m:rPr>
              <m:t>∈</m:t>
            </m:r>
            <m:r>
              <m:t> </m:t>
            </m:r>
            <m:r>
              <m:rPr>
                <m:sty m:val="p"/>
              </m:rPr>
              <m:t>{</m:t>
            </m:r>
            <m:r>
              <m:t>N</m:t>
            </m:r>
            <m:r>
              <m:t>u</m:t>
            </m:r>
            <m:r>
              <m:t>m</m:t>
            </m:r>
            <m:r>
              <m:rPr>
                <m:sty m:val="p"/>
              </m:rPr>
              <m:t>,</m:t>
            </m:r>
            <m:r>
              <m:t> </m:t>
            </m:r>
            <m:r>
              <m:t>B</m:t>
            </m:r>
            <m:r>
              <m:t>o</m:t>
            </m:r>
            <m:r>
              <m:t>o</m:t>
            </m:r>
            <m:r>
              <m:t>l</m:t>
            </m:r>
            <m:r>
              <m:rPr>
                <m:sty m:val="p"/>
              </m:rPr>
              <m:t>,</m:t>
            </m:r>
            <m:r>
              <m:t> </m:t>
            </m:r>
            <m:r>
              <m:t>S</m:t>
            </m:r>
            <m:r>
              <m:t>y</m:t>
            </m:r>
            <m:r>
              <m:t>m</m:t>
            </m:r>
            <m:r>
              <m:rPr>
                <m:sty m:val="p"/>
              </m:rPr>
              <m:t>,</m:t>
            </m:r>
            <m:r>
              <m:t> </m:t>
            </m:r>
            <m:r>
              <m:t>D</m:t>
            </m:r>
            <m:r>
              <m:t>a</m:t>
            </m:r>
            <m:r>
              <m:t>t</m:t>
            </m:r>
            <m:r>
              <m:t>e</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r>
              <m:t> </m:t>
            </m:r>
            <m:r>
              <m:rPr>
                <m:sty m:val="p"/>
              </m:rPr>
              <m:t>⊕</m:t>
            </m:r>
            <m:r>
              <m:t> </m:t>
            </m:r>
            <m:r>
              <m:rPr>
                <m:sty m:val="p"/>
              </m:rPr>
              <m:t>∈</m:t>
            </m:r>
            <m:r>
              <m:t> </m:t>
            </m:r>
            <m:r>
              <m:rPr>
                <m:sty m:val="p"/>
              </m:rPr>
              <m:t>{</m:t>
            </m:r>
            <m:r>
              <m:t>E</m:t>
            </m:r>
            <m:r>
              <m:t>Q</m:t>
            </m:r>
            <m:r>
              <m:rPr>
                <m:sty m:val="p"/>
              </m:rPr>
              <m:t>,</m:t>
            </m:r>
            <m:r>
              <m:t> </m:t>
            </m:r>
            <m:r>
              <m:t>N</m:t>
            </m:r>
            <m:r>
              <m:t>E</m:t>
            </m:r>
            <m:r>
              <m:t>Q</m:t>
            </m:r>
            <m:r>
              <m:rPr>
                <m:sty m:val="p"/>
              </m:rPr>
              <m:t>}</m:t>
            </m:r>
            <m:r>
              <m:t> </m:t>
            </m:r>
          </m:num>
          <m:den>
            <m:r>
              <m:rPr>
                <m:sty m:val="p"/>
              </m:rPr>
              <m:t>Γ</m:t>
            </m:r>
            <m:r>
              <m:t> </m:t>
            </m:r>
            <m:r>
              <m:rPr>
                <m:sty m:val="p"/>
              </m:rPr>
              <m:t>⊢</m:t>
            </m:r>
            <m:r>
              <m:t> </m:t>
            </m:r>
            <m:r>
              <m:t>e</m:t>
            </m:r>
            <m:r>
              <m:t>1</m:t>
            </m:r>
            <m:r>
              <m:rPr>
                <m:sty m:val="p"/>
              </m:rPr>
              <m:t>⊕</m:t>
            </m:r>
            <m:r>
              <m:t>e</m:t>
            </m:r>
            <m:r>
              <m:t>2</m:t>
            </m:r>
            <m:r>
              <m:t> </m:t>
            </m:r>
            <m:r>
              <m:t> </m:t>
            </m:r>
            <m:r>
              <m:rPr>
                <m:sty m:val="p"/>
              </m:rPr>
              <m:t>:</m:t>
            </m:r>
            <m:r>
              <m:t> </m:t>
            </m:r>
            <m:r>
              <m:t>B</m:t>
            </m:r>
            <m:r>
              <m:t>o</m:t>
            </m:r>
            <m:r>
              <m:t>o</m:t>
            </m:r>
            <m:r>
              <m:t>l</m:t>
            </m:r>
          </m:den>
        </m:f>
      </m:oMath>
    </w:p>
    <w:p>
      <w:pPr>
        <w:pStyle w:val="BodyText"/>
      </w:pPr>
      <w:r>
        <w:t xml:space="preserve">[T-COMP-ORD]</w:t>
      </w:r>
      <w:r>
        <w:t xml:space="preserve"> </w:t>
      </w:r>
      <m:oMath>
        <m:f>
          <m:fPr>
            <m:type m:val="bar"/>
          </m:fPr>
          <m:num>
            <m:r>
              <m:rPr>
                <m:sty m:val="p"/>
              </m:rPr>
              <m:t>Γ</m:t>
            </m:r>
            <m:r>
              <m:t> </m:t>
            </m:r>
            <m:r>
              <m:rPr>
                <m:sty m:val="p"/>
              </m:rPr>
              <m:t>⊢</m:t>
            </m:r>
            <m:r>
              <m:t> </m:t>
            </m:r>
            <m:r>
              <m:t>e</m:t>
            </m:r>
            <m:r>
              <m:t>1</m:t>
            </m:r>
            <m:r>
              <m:t> </m:t>
            </m:r>
            <m:r>
              <m:t> </m:t>
            </m:r>
            <m:r>
              <m:rPr>
                <m:sty m:val="p"/>
              </m:rPr>
              <m:t>:</m:t>
            </m:r>
            <m:r>
              <m:t> </m:t>
            </m:r>
            <m:r>
              <m:t>τ</m:t>
            </m:r>
            <m:r>
              <m:t> </m:t>
            </m:r>
            <m:r>
              <m:t> </m:t>
            </m:r>
            <m:r>
              <m:t> </m:t>
            </m:r>
            <m:r>
              <m:t> </m:t>
            </m:r>
            <m:r>
              <m:t> </m:t>
            </m:r>
            <m:r>
              <m:rPr>
                <m:sty m:val="p"/>
              </m:rPr>
              <m:t>Γ</m:t>
            </m:r>
            <m:r>
              <m:t> </m:t>
            </m:r>
            <m:r>
              <m:rPr>
                <m:sty m:val="p"/>
              </m:rPr>
              <m:t>⊢</m:t>
            </m:r>
            <m:r>
              <m:t> </m:t>
            </m:r>
            <m:r>
              <m:t>e</m:t>
            </m:r>
            <m:r>
              <m:t>2</m:t>
            </m:r>
            <m:r>
              <m:t> </m:t>
            </m:r>
            <m:r>
              <m:t> </m:t>
            </m:r>
            <m:r>
              <m:rPr>
                <m:sty m:val="p"/>
              </m:rPr>
              <m:t>:</m:t>
            </m:r>
            <m:r>
              <m:t> </m:t>
            </m:r>
            <m:r>
              <m:t>τ</m:t>
            </m:r>
            <m:r>
              <m:t> </m:t>
            </m:r>
            <m:r>
              <m:t> </m:t>
            </m:r>
            <m:r>
              <m:t> </m:t>
            </m:r>
            <m:r>
              <m:t> </m:t>
            </m:r>
            <m:r>
              <m:t> </m:t>
            </m:r>
            <m:r>
              <m:t>τ</m:t>
            </m:r>
            <m:r>
              <m:t> </m:t>
            </m:r>
            <m:r>
              <m:rPr>
                <m:sty m:val="p"/>
              </m:rPr>
              <m:t>∈</m:t>
            </m:r>
            <m:r>
              <m:t> </m:t>
            </m:r>
            <m:r>
              <m:rPr>
                <m:sty m:val="p"/>
              </m:rPr>
              <m:t>{</m:t>
            </m:r>
            <m:r>
              <m:t>N</m:t>
            </m:r>
            <m:r>
              <m:t>u</m:t>
            </m:r>
            <m:r>
              <m:t>m</m:t>
            </m:r>
            <m:r>
              <m:rPr>
                <m:sty m:val="p"/>
              </m:rPr>
              <m:t>,</m:t>
            </m:r>
            <m:r>
              <m:t> </m:t>
            </m:r>
            <m:r>
              <m:t> </m:t>
            </m:r>
            <m:r>
              <m:t>D</m:t>
            </m:r>
            <m:r>
              <m:t>a</m:t>
            </m:r>
            <m:r>
              <m:t>t</m:t>
            </m:r>
            <m:r>
              <m:t>e</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r>
              <m:t> </m:t>
            </m:r>
          </m:num>
          <m:den>
            <m:r>
              <m:rPr>
                <m:sty m:val="p"/>
              </m:rPr>
              <m:t>Γ</m:t>
            </m:r>
            <m:r>
              <m:t> </m:t>
            </m:r>
            <m:r>
              <m:rPr>
                <m:sty m:val="p"/>
              </m:rPr>
              <m:t>⊢</m:t>
            </m:r>
            <m:r>
              <m:t> </m:t>
            </m:r>
            <m:r>
              <m:t>e</m:t>
            </m:r>
            <m:r>
              <m:t>1</m:t>
            </m:r>
            <m:r>
              <m:rPr>
                <m:sty m:val="p"/>
              </m:rPr>
              <m:t>⊕</m:t>
            </m:r>
            <m:r>
              <m:t>e</m:t>
            </m:r>
            <m:r>
              <m:t>2</m:t>
            </m:r>
            <m:r>
              <m:t> </m:t>
            </m:r>
            <m:r>
              <m:t> </m:t>
            </m:r>
            <m:r>
              <m:rPr>
                <m:sty m:val="p"/>
              </m:rPr>
              <m:t>:</m:t>
            </m:r>
            <m:r>
              <m:t> </m:t>
            </m:r>
            <m:r>
              <m:t>B</m:t>
            </m:r>
            <m:r>
              <m:t>o</m:t>
            </m:r>
            <m:r>
              <m:t>o</m:t>
            </m:r>
            <m:r>
              <m:t>l</m:t>
            </m:r>
          </m:den>
        </m:f>
      </m:oMath>
    </w:p>
    <w:p>
      <w:pPr>
        <w:pStyle w:val="BodyText"/>
      </w:pPr>
      <w:r>
        <w:t xml:space="preserve">Rules</w:t>
      </w:r>
      <w:r>
        <w:t xml:space="preserve"> </w:t>
      </w:r>
      <w:r>
        <w:rPr>
          <w:b/>
          <w:bCs/>
        </w:rPr>
        <w:t xml:space="preserve">T-AND</w:t>
      </w:r>
      <w:r>
        <w:t xml:space="preserve"> </w:t>
      </w:r>
      <w:r>
        <w:t xml:space="preserve">and</w:t>
      </w:r>
      <w:r>
        <w:t xml:space="preserve"> </w:t>
      </w:r>
      <w:r>
        <w:rPr>
          <w:b/>
          <w:bCs/>
        </w:rPr>
        <w:t xml:space="preserve">T-OR</w:t>
      </w:r>
      <w:r>
        <w:t xml:space="preserve"> </w:t>
      </w:r>
      <w:r>
        <w:t xml:space="preserve">govern logical connectives for building compound conditions. Both rules require their operands to be Boolean expressions and produce Boolean results.</w:t>
      </w:r>
    </w:p>
    <w:p>
      <w:pPr>
        <w:pStyle w:val="BodyText"/>
      </w:pPr>
      <w:r>
        <w:t xml:space="preserve">These rules enable complex conditional logic such as EntityType EQ SmallEntity AND ClaimCount GT 20, combining an equality test on a symbolic type with an ordering comparison on a numeric type. The short-circuit evaluation semantics (described in Section 3.8) do not affect typing - both operands must be well-typed regardless of evaluation order.</w:t>
      </w:r>
    </w:p>
    <w:p>
      <w:pPr>
        <w:pStyle w:val="BodyText"/>
      </w:pPr>
      <w:r>
        <w:t xml:space="preserve">[T-AND]</w:t>
      </w:r>
      <w:r>
        <w:t xml:space="preserve"> </w:t>
      </w:r>
      <m:oMath>
        <m:f>
          <m:fPr>
            <m:type m:val="bar"/>
          </m:fPr>
          <m:num>
            <m:r>
              <m:rPr>
                <m:sty m:val="p"/>
              </m:rPr>
              <m:t>Γ</m:t>
            </m:r>
            <m:r>
              <m:t> </m:t>
            </m:r>
            <m:r>
              <m:rPr>
                <m:sty m:val="p"/>
              </m:rPr>
              <m:t>⊢</m:t>
            </m:r>
            <m:r>
              <m:t> </m:t>
            </m:r>
            <m:r>
              <m:t>φ</m:t>
            </m:r>
            <m:r>
              <m:t>1</m:t>
            </m:r>
            <m:r>
              <m:t> </m:t>
            </m:r>
            <m:r>
              <m:t> </m:t>
            </m:r>
            <m:r>
              <m:rPr>
                <m:sty m:val="p"/>
              </m:rPr>
              <m:t>:</m:t>
            </m:r>
            <m:r>
              <m:t> </m:t>
            </m:r>
            <m:r>
              <m:t>B</m:t>
            </m:r>
            <m:r>
              <m:t>o</m:t>
            </m:r>
            <m:r>
              <m:t>o</m:t>
            </m:r>
            <m:r>
              <m:t>l</m:t>
            </m:r>
            <m:r>
              <m:t> </m:t>
            </m:r>
            <m:r>
              <m:t> </m:t>
            </m:r>
            <m:r>
              <m:t> </m:t>
            </m:r>
            <m:r>
              <m:rPr>
                <m:sty m:val="p"/>
              </m:rPr>
              <m:t>Γ</m:t>
            </m:r>
            <m:r>
              <m:t> </m:t>
            </m:r>
            <m:r>
              <m:rPr>
                <m:sty m:val="p"/>
              </m:rPr>
              <m:t>⊢</m:t>
            </m:r>
            <m:r>
              <m:t> </m:t>
            </m:r>
            <m:r>
              <m:t>φ</m:t>
            </m:r>
            <m:r>
              <m:t>2</m:t>
            </m:r>
            <m:r>
              <m:t> </m:t>
            </m:r>
            <m:r>
              <m:t> </m:t>
            </m:r>
            <m:r>
              <m:rPr>
                <m:sty m:val="p"/>
              </m:rPr>
              <m:t>:</m:t>
            </m:r>
            <m:r>
              <m:t> </m:t>
            </m:r>
            <m:r>
              <m:t>B</m:t>
            </m:r>
            <m:r>
              <m:t>o</m:t>
            </m:r>
            <m:r>
              <m:t>o</m:t>
            </m:r>
            <m:r>
              <m:t>l</m:t>
            </m:r>
          </m:num>
          <m:den>
            <m:r>
              <m:rPr>
                <m:sty m:val="p"/>
              </m:rPr>
              <m:t>Γ</m:t>
            </m:r>
            <m:r>
              <m:t> </m:t>
            </m:r>
            <m:r>
              <m:rPr>
                <m:sty m:val="p"/>
              </m:rPr>
              <m:t>⊢</m:t>
            </m:r>
            <m:r>
              <m:t> </m:t>
            </m:r>
            <m:r>
              <m:t>φ</m:t>
            </m:r>
            <m:r>
              <m:t>1</m:t>
            </m:r>
            <m:r>
              <m:t> </m:t>
            </m:r>
            <m:r>
              <m:t>A</m:t>
            </m:r>
            <m:r>
              <m:t>N</m:t>
            </m:r>
            <m:r>
              <m:t>D</m:t>
            </m:r>
            <m:r>
              <m:t> </m:t>
            </m:r>
            <m:r>
              <m:t>φ</m:t>
            </m:r>
            <m:r>
              <m:t>2</m:t>
            </m:r>
            <m:r>
              <m:t> </m:t>
            </m:r>
            <m:r>
              <m:t> </m:t>
            </m:r>
            <m:r>
              <m:rPr>
                <m:sty m:val="p"/>
              </m:rPr>
              <m:t>:</m:t>
            </m:r>
            <m:r>
              <m:t> </m:t>
            </m:r>
            <m:r>
              <m:t>B</m:t>
            </m:r>
            <m:r>
              <m:t>o</m:t>
            </m:r>
            <m:r>
              <m:t>o</m:t>
            </m:r>
            <m:r>
              <m:t>l</m:t>
            </m:r>
          </m:den>
        </m:f>
      </m:oMath>
    </w:p>
    <w:p>
      <w:pPr>
        <w:pStyle w:val="BodyText"/>
      </w:pPr>
      <w:r>
        <w:t xml:space="preserve">[T-OR]</w:t>
      </w:r>
      <w:r>
        <w:t xml:space="preserve"> </w:t>
      </w:r>
      <m:oMath>
        <m:f>
          <m:fPr>
            <m:type m:val="bar"/>
          </m:fPr>
          <m:num>
            <m:r>
              <m:rPr>
                <m:sty m:val="p"/>
              </m:rPr>
              <m:t>Γ</m:t>
            </m:r>
            <m:r>
              <m:t> </m:t>
            </m:r>
            <m:r>
              <m:rPr>
                <m:sty m:val="p"/>
              </m:rPr>
              <m:t>⊢</m:t>
            </m:r>
            <m:r>
              <m:t> </m:t>
            </m:r>
            <m:r>
              <m:t>φ</m:t>
            </m:r>
            <m:r>
              <m:rPr>
                <m:sty m:val="p"/>
              </m:rPr>
              <m:t>₁</m:t>
            </m:r>
            <m:r>
              <m:t> </m:t>
            </m:r>
            <m:r>
              <m:rPr>
                <m:sty m:val="p"/>
              </m:rPr>
              <m:t>:</m:t>
            </m:r>
            <m:r>
              <m:t> </m:t>
            </m:r>
            <m:r>
              <m:t>B</m:t>
            </m:r>
            <m:r>
              <m:t>o</m:t>
            </m:r>
            <m:r>
              <m:t>o</m:t>
            </m:r>
            <m:r>
              <m:t>l</m:t>
            </m:r>
            <m:r>
              <m:t> </m:t>
            </m:r>
            <m:r>
              <m:t> </m:t>
            </m:r>
            <m:r>
              <m:t> </m:t>
            </m:r>
            <m:r>
              <m:t> </m:t>
            </m:r>
            <m:r>
              <m:rPr>
                <m:sty m:val="p"/>
              </m:rPr>
              <m:t>Γ</m:t>
            </m:r>
            <m:r>
              <m:t> </m:t>
            </m:r>
            <m:r>
              <m:rPr>
                <m:sty m:val="p"/>
              </m:rPr>
              <m:t>⊢</m:t>
            </m:r>
            <m:r>
              <m:t> </m:t>
            </m:r>
            <m:r>
              <m:t>φ</m:t>
            </m:r>
            <m:r>
              <m:rPr>
                <m:sty m:val="p"/>
              </m:rPr>
              <m:t>₂</m:t>
            </m:r>
            <m:r>
              <m:t> </m:t>
            </m:r>
            <m:r>
              <m:rPr>
                <m:sty m:val="p"/>
              </m:rPr>
              <m:t>:</m:t>
            </m:r>
            <m:r>
              <m:t> </m:t>
            </m:r>
            <m:r>
              <m:t>B</m:t>
            </m:r>
            <m:r>
              <m:t>o</m:t>
            </m:r>
            <m:r>
              <m:t>o</m:t>
            </m:r>
            <m:r>
              <m:t>l</m:t>
            </m:r>
          </m:num>
          <m:den>
            <m:r>
              <m:rPr>
                <m:sty m:val="p"/>
              </m:rPr>
              <m:t>Γ</m:t>
            </m:r>
            <m:r>
              <m:t> </m:t>
            </m:r>
            <m:r>
              <m:rPr>
                <m:sty m:val="p"/>
              </m:rPr>
              <m:t>⊢</m:t>
            </m:r>
            <m:r>
              <m:t> </m:t>
            </m:r>
            <m:r>
              <m:t>φ</m:t>
            </m:r>
            <m:r>
              <m:rPr>
                <m:sty m:val="p"/>
              </m:rPr>
              <m:t>₁</m:t>
            </m:r>
            <m:r>
              <m:t> </m:t>
            </m:r>
            <m:r>
              <m:t>O</m:t>
            </m:r>
            <m:r>
              <m:t>R</m:t>
            </m:r>
            <m:r>
              <m:t> </m:t>
            </m:r>
            <m:r>
              <m:t>φ</m:t>
            </m:r>
            <m:r>
              <m:rPr>
                <m:sty m:val="p"/>
              </m:rPr>
              <m:t>₂</m:t>
            </m:r>
            <m:r>
              <m:t> </m:t>
            </m:r>
            <m:r>
              <m:rPr>
                <m:sty m:val="p"/>
              </m:rPr>
              <m:t>:</m:t>
            </m:r>
            <m:r>
              <m:t> </m:t>
            </m:r>
            <m:r>
              <m:t>B</m:t>
            </m:r>
            <m:r>
              <m:t>o</m:t>
            </m:r>
            <m:r>
              <m:t>o</m:t>
            </m:r>
            <m:r>
              <m:t>l</m:t>
            </m:r>
          </m:den>
        </m:f>
      </m:oMath>
    </w:p>
    <w:p>
      <w:pPr>
        <w:pStyle w:val="BodyText"/>
      </w:pPr>
      <w:r>
        <w:rPr>
          <w:b/>
          <w:bCs/>
        </w:rPr>
        <w:t xml:space="preserve">Rounding Functions</w:t>
      </w:r>
    </w:p>
    <w:p>
      <w:pPr>
        <w:pStyle w:val="BodyText"/>
      </w:pPr>
      <w:r>
        <w:t xml:space="preserve">The rounding functions ROUND, FLOOR, and CEIL adjust numeric precision while preserving types - a critical property for fee calculations that must comply with currency-specific precision requirements (e.g., rounding to whole cents for USD or to whole yen for JPY).</w:t>
      </w:r>
    </w:p>
    <w:p>
      <w:pPr>
        <w:pStyle w:val="BodyText"/>
      </w:pPr>
      <w:r>
        <w:t xml:space="preserve">Rules T-ROUND, T-FLOOR, and T-CEIL each accept either a dimensionless number or a currency amount of any currency, and return a value of the</w:t>
      </w:r>
      <w:r>
        <w:t xml:space="preserve"> </w:t>
      </w:r>
      <w:r>
        <w:rPr>
          <w:i/>
          <w:iCs/>
        </w:rPr>
        <w:t xml:space="preserve">same type</w:t>
      </w:r>
      <w:r>
        <w:t xml:space="preserve">. Rounding the dimensionless value 3.7 yields a Num. Rounding the currency amount 99.99&lt;EUR&gt; yields an Amt[EUR]. This type preservation ensures that rounding operations - commonly needed to comply with official fee schedule requirements that specify amounts to the nearest whole unit - do not inadvertently strip currency information from monetary values.</w:t>
      </w:r>
    </w:p>
    <w:p>
      <w:pPr>
        <w:pStyle w:val="BodyText"/>
      </w:pPr>
      <w:r>
        <w:t xml:space="preserve">The semantic distinction between the three functions is standard: ROUND applies banker's rounding (round half to even), FLOOR rounds toward negative infinity, and CEIL rounds toward positive infinity. The type system treats all three identically; the distinction matters only at evaluation time.</w:t>
      </w:r>
    </w:p>
    <w:p>
      <w:pPr>
        <w:pStyle w:val="BodyText"/>
      </w:pPr>
      <w:r>
        <w:t xml:space="preserve">[T-ROUND]</w:t>
      </w:r>
      <w:r>
        <w:t xml:space="preserve"> </w:t>
      </w:r>
      <m:oMath>
        <m:f>
          <m:fPr>
            <m:type m:val="bar"/>
          </m:fPr>
          <m:num>
            <m:r>
              <m:rPr>
                <m:sty m:val="p"/>
              </m:rPr>
              <m:t>Γ</m:t>
            </m:r>
            <m:r>
              <m:t> </m:t>
            </m:r>
            <m:r>
              <m:rPr>
                <m:sty m:val="p"/>
              </m:rPr>
              <m:t>⊢</m:t>
            </m:r>
            <m:r>
              <m:t> </m:t>
            </m:r>
            <m:r>
              <m:t>e</m:t>
            </m:r>
            <m:r>
              <m:t> </m:t>
            </m:r>
            <m:r>
              <m:rPr>
                <m:sty m:val="p"/>
              </m:rPr>
              <m:t>:</m:t>
            </m:r>
            <m:r>
              <m:t> </m:t>
            </m:r>
            <m:r>
              <m:t>τ</m:t>
            </m:r>
            <m:r>
              <m:t> </m:t>
            </m:r>
            <m:r>
              <m:t> </m:t>
            </m:r>
            <m:r>
              <m:t> </m:t>
            </m:r>
            <m:r>
              <m:t> </m:t>
            </m:r>
            <m:r>
              <m:t>τ</m:t>
            </m:r>
            <m:r>
              <m:t> </m:t>
            </m:r>
            <m:r>
              <m:rPr>
                <m:sty m:val="p"/>
              </m:rPr>
              <m:t>∈</m:t>
            </m:r>
            <m:r>
              <m:t> </m:t>
            </m:r>
            <m:r>
              <m:rPr>
                <m:sty m:val="p"/>
              </m:rPr>
              <m:t>{</m:t>
            </m:r>
            <m:r>
              <m:t>N</m:t>
            </m:r>
            <m:r>
              <m:t>u</m:t>
            </m:r>
            <m:r>
              <m:t>m</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num>
          <m:den>
            <m:r>
              <m:rPr>
                <m:sty m:val="p"/>
              </m:rPr>
              <m:t>Γ</m:t>
            </m:r>
            <m:r>
              <m:t> </m:t>
            </m:r>
            <m:r>
              <m:rPr>
                <m:sty m:val="p"/>
              </m:rPr>
              <m:t>⊢</m:t>
            </m:r>
            <m:r>
              <m:t> </m:t>
            </m:r>
            <m:r>
              <m:t>R</m:t>
            </m:r>
            <m:r>
              <m:t>O</m:t>
            </m:r>
            <m:r>
              <m:t>U</m:t>
            </m:r>
            <m:r>
              <m:t>N</m:t>
            </m:r>
            <m:r>
              <m:t>D</m:t>
            </m:r>
            <m:r>
              <m:rPr>
                <m:sty m:val="p"/>
              </m:rPr>
              <m:t>(</m:t>
            </m:r>
            <m:r>
              <m:t>e</m:t>
            </m:r>
            <m:r>
              <m:rPr>
                <m:sty m:val="p"/>
              </m:rPr>
              <m:t>)</m:t>
            </m:r>
            <m:r>
              <m:t> </m:t>
            </m:r>
            <m:r>
              <m:rPr>
                <m:sty m:val="p"/>
              </m:rPr>
              <m:t>:</m:t>
            </m:r>
            <m:r>
              <m:t> </m:t>
            </m:r>
            <m:r>
              <m:t>τ</m:t>
            </m:r>
          </m:den>
        </m:f>
      </m:oMath>
    </w:p>
    <w:p>
      <w:pPr>
        <w:pStyle w:val="BodyText"/>
      </w:pPr>
      <w:r>
        <w:t xml:space="preserve">[T-FLOOR]</w:t>
      </w:r>
      <w:r>
        <w:t xml:space="preserve"> </w:t>
      </w:r>
      <m:oMath>
        <m:f>
          <m:fPr>
            <m:type m:val="bar"/>
          </m:fPr>
          <m:num>
            <m:r>
              <m:rPr>
                <m:sty m:val="p"/>
              </m:rPr>
              <m:t>Γ</m:t>
            </m:r>
            <m:r>
              <m:t> </m:t>
            </m:r>
            <m:r>
              <m:rPr>
                <m:sty m:val="p"/>
              </m:rPr>
              <m:t>⊢</m:t>
            </m:r>
            <m:r>
              <m:t> </m:t>
            </m:r>
            <m:r>
              <m:t>e</m:t>
            </m:r>
            <m:r>
              <m:t> </m:t>
            </m:r>
            <m:r>
              <m:rPr>
                <m:sty m:val="p"/>
              </m:rPr>
              <m:t>:</m:t>
            </m:r>
            <m:r>
              <m:t> </m:t>
            </m:r>
            <m:r>
              <m:t>τ</m:t>
            </m:r>
            <m:r>
              <m:t> </m:t>
            </m:r>
            <m:r>
              <m:t> </m:t>
            </m:r>
            <m:r>
              <m:t> </m:t>
            </m:r>
            <m:r>
              <m:t> </m:t>
            </m:r>
            <m:r>
              <m:t>τ</m:t>
            </m:r>
            <m:r>
              <m:t> </m:t>
            </m:r>
            <m:r>
              <m:rPr>
                <m:sty m:val="p"/>
              </m:rPr>
              <m:t>∈</m:t>
            </m:r>
            <m:r>
              <m:t> </m:t>
            </m:r>
            <m:r>
              <m:rPr>
                <m:sty m:val="p"/>
              </m:rPr>
              <m:t>{</m:t>
            </m:r>
            <m:r>
              <m:t>N</m:t>
            </m:r>
            <m:r>
              <m:t>u</m:t>
            </m:r>
            <m:r>
              <m:t>m</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num>
          <m:den>
            <m:r>
              <m:rPr>
                <m:sty m:val="p"/>
              </m:rPr>
              <m:t>Γ</m:t>
            </m:r>
            <m:r>
              <m:t> </m:t>
            </m:r>
            <m:r>
              <m:rPr>
                <m:sty m:val="p"/>
              </m:rPr>
              <m:t>⊢</m:t>
            </m:r>
            <m:r>
              <m:t> </m:t>
            </m:r>
            <m:r>
              <m:t>F</m:t>
            </m:r>
            <m:r>
              <m:t>L</m:t>
            </m:r>
            <m:r>
              <m:t>O</m:t>
            </m:r>
            <m:r>
              <m:t>O</m:t>
            </m:r>
            <m:r>
              <m:t>R</m:t>
            </m:r>
            <m:r>
              <m:rPr>
                <m:sty m:val="p"/>
              </m:rPr>
              <m:t>(</m:t>
            </m:r>
            <m:r>
              <m:t>e</m:t>
            </m:r>
            <m:r>
              <m:rPr>
                <m:sty m:val="p"/>
              </m:rPr>
              <m:t>)</m:t>
            </m:r>
            <m:r>
              <m:t> </m:t>
            </m:r>
            <m:r>
              <m:rPr>
                <m:sty m:val="p"/>
              </m:rPr>
              <m:t>:</m:t>
            </m:r>
            <m:r>
              <m:t> </m:t>
            </m:r>
            <m:r>
              <m:t>τ</m:t>
            </m:r>
          </m:den>
        </m:f>
      </m:oMath>
    </w:p>
    <w:p>
      <w:pPr>
        <w:pStyle w:val="BodyText"/>
      </w:pPr>
      <w:r>
        <w:t xml:space="preserve">[T-CEIL]</w:t>
      </w:r>
      <w:r>
        <w:t xml:space="preserve"> </w:t>
      </w:r>
      <m:oMath>
        <m:f>
          <m:fPr>
            <m:type m:val="bar"/>
          </m:fPr>
          <m:num>
            <m:r>
              <m:rPr>
                <m:sty m:val="p"/>
              </m:rPr>
              <m:t>Γ</m:t>
            </m:r>
            <m:r>
              <m:t> </m:t>
            </m:r>
            <m:r>
              <m:rPr>
                <m:sty m:val="p"/>
              </m:rPr>
              <m:t>⊢</m:t>
            </m:r>
            <m:r>
              <m:t> </m:t>
            </m:r>
            <m:r>
              <m:t>e</m:t>
            </m:r>
            <m:r>
              <m:t> </m:t>
            </m:r>
            <m:r>
              <m:rPr>
                <m:sty m:val="p"/>
              </m:rPr>
              <m:t>:</m:t>
            </m:r>
            <m:r>
              <m:t> </m:t>
            </m:r>
            <m:r>
              <m:t>τ</m:t>
            </m:r>
            <m:r>
              <m:t> </m:t>
            </m:r>
            <m:r>
              <m:t> </m:t>
            </m:r>
            <m:r>
              <m:t> </m:t>
            </m:r>
            <m:r>
              <m:t> </m:t>
            </m:r>
            <m:r>
              <m:t>τ</m:t>
            </m:r>
            <m:r>
              <m:t> </m:t>
            </m:r>
            <m:r>
              <m:rPr>
                <m:sty m:val="p"/>
              </m:rPr>
              <m:t>∈</m:t>
            </m:r>
            <m:r>
              <m:t> </m:t>
            </m:r>
            <m:r>
              <m:rPr>
                <m:sty m:val="p"/>
              </m:rPr>
              <m:t>{</m:t>
            </m:r>
            <m:r>
              <m:t>N</m:t>
            </m:r>
            <m:r>
              <m:t>u</m:t>
            </m:r>
            <m:r>
              <m:t>m</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num>
          <m:den>
            <m:r>
              <m:rPr>
                <m:sty m:val="p"/>
              </m:rPr>
              <m:t>Γ</m:t>
            </m:r>
            <m:r>
              <m:t> </m:t>
            </m:r>
            <m:r>
              <m:rPr>
                <m:sty m:val="p"/>
              </m:rPr>
              <m:t>⊢</m:t>
            </m:r>
            <m:r>
              <m:t> </m:t>
            </m:r>
            <m:r>
              <m:t>C</m:t>
            </m:r>
            <m:r>
              <m:t>E</m:t>
            </m:r>
            <m:r>
              <m:t>I</m:t>
            </m:r>
            <m:r>
              <m:t>L</m:t>
            </m:r>
            <m:r>
              <m:rPr>
                <m:sty m:val="p"/>
              </m:rPr>
              <m:t>(</m:t>
            </m:r>
            <m:r>
              <m:t>e</m:t>
            </m:r>
            <m:r>
              <m:rPr>
                <m:sty m:val="p"/>
              </m:rPr>
              <m:t>)</m:t>
            </m:r>
            <m:r>
              <m:t> </m:t>
            </m:r>
            <m:r>
              <m:rPr>
                <m:sty m:val="p"/>
              </m:rPr>
              <m:t>:</m:t>
            </m:r>
            <m:r>
              <m:t> </m:t>
            </m:r>
            <m:r>
              <m:t>τ</m:t>
            </m:r>
          </m:den>
        </m:f>
      </m:oMath>
    </w:p>
    <w:p>
      <w:pPr>
        <w:pStyle w:val="BodyText"/>
      </w:pPr>
      <w:r>
        <w:rPr>
          <w:b/>
          <w:bCs/>
        </w:rPr>
        <w:t xml:space="preserve">Property Accessors</w:t>
      </w:r>
    </w:p>
    <w:p>
      <w:pPr>
        <w:pStyle w:val="BodyText"/>
      </w:pPr>
      <w:r>
        <w:t xml:space="preserve">IPFLang provides property accessors that extract derived values from composite types using the ! notation (e.g., Countries!COUNT). These accessors transform structured input values into dimensionless numbers suitable for arithmetic.</w:t>
      </w:r>
    </w:p>
    <w:p>
      <w:pPr>
        <w:pStyle w:val="BodyText"/>
      </w:pPr>
      <w:r>
        <w:t xml:space="preserve">Rule T-COUNT applies to MULTILIST variables (type SymList) and returns the number of selected items as a dimensionless Num. For example, if DesignatedCountries is a MULTILIST input where the user has selected Germany, France, and Italy, then DesignatedCountries!COUNT evaluates to 3. This enables per-item fee calculations such as DesignationFee * DesignatedCountries!COUNT.</w:t>
      </w:r>
    </w:p>
    <w:p>
      <w:pPr>
        <w:pStyle w:val="BodyText"/>
      </w:pPr>
      <w:r>
        <w:t xml:space="preserve">The temporal accessor rules - T-YEARSTONOW, T-MONTHSTONOW, T-DAYSTONOW, and T-MONTHSTONOW-FROMLASTDAY - apply to DATE variables and compute elapsed time from the stored date to the current evaluation date. Each returns a dimensionless Num representing the elapsed interval:</w:t>
      </w:r>
    </w:p>
    <w:p>
      <w:pPr>
        <w:numPr>
          <w:ilvl w:val="0"/>
          <w:numId w:val="1005"/>
        </w:numPr>
      </w:pPr>
      <w:r>
        <w:t xml:space="preserve">!YEARSTONOW returns the number of complete years elapsed</w:t>
      </w:r>
    </w:p>
    <w:p>
      <w:pPr>
        <w:numPr>
          <w:ilvl w:val="0"/>
          <w:numId w:val="1005"/>
        </w:numPr>
      </w:pPr>
      <w:r>
        <w:t xml:space="preserve">!MONTHSTONOW returns the number of complete months elapsed</w:t>
      </w:r>
    </w:p>
    <w:p>
      <w:pPr>
        <w:numPr>
          <w:ilvl w:val="0"/>
          <w:numId w:val="1005"/>
        </w:numPr>
      </w:pPr>
      <w:r>
        <w:t xml:space="preserve">!DAYSTONOW returns the number of days elapsed</w:t>
      </w:r>
    </w:p>
    <w:p>
      <w:pPr>
        <w:numPr>
          <w:ilvl w:val="0"/>
          <w:numId w:val="1005"/>
        </w:numPr>
      </w:pPr>
      <w:r>
        <w:t xml:space="preserve">!MONTHSTONOW_FROMLASTDAY computes months from the last day of the date's month, useful for certain deadline calculations where the reference point is month-end rather than the specific day</w:t>
      </w:r>
    </w:p>
    <w:p>
      <w:pPr>
        <w:pStyle w:val="FirstParagraph"/>
      </w:pPr>
      <w:r>
        <w:t xml:space="preserve">These accessors enable time-dependent fee logic. For example, patent maintenance fees that increase based on years since filing can be expressed as BaseMaintenance * FilingDate!YEARSTONOW, and late fees triggered after a deadline can use conditions like FilingDate!DAYSTONOW GT 30.</w:t>
      </w:r>
    </w:p>
    <w:p>
      <w:pPr>
        <w:pStyle w:val="BodyText"/>
      </w:pPr>
      <w:r>
        <w:t xml:space="preserve">[T-COUNT]</w:t>
      </w:r>
      <w:r>
        <w:t xml:space="preserve"> </w:t>
      </w:r>
      <m:oMath>
        <m:f>
          <m:fPr>
            <m:type m:val="bar"/>
          </m:fPr>
          <m:num>
            <m:r>
              <m:rPr>
                <m:sty m:val="p"/>
              </m:rPr>
              <m:t>Γ</m:t>
            </m:r>
            <m:r>
              <m:rPr>
                <m:sty m:val="p"/>
              </m:rPr>
              <m:t>(</m:t>
            </m:r>
            <m:r>
              <m:t>x</m:t>
            </m:r>
            <m:r>
              <m:rPr>
                <m:sty m:val="p"/>
              </m:rPr>
              <m:t>)</m:t>
            </m:r>
            <m:r>
              <m:t> </m:t>
            </m:r>
            <m:r>
              <m:rPr>
                <m:sty m:val="p"/>
              </m:rPr>
              <m:t>=</m:t>
            </m:r>
            <m:r>
              <m:t> </m:t>
            </m:r>
            <m:r>
              <m:t>S</m:t>
            </m:r>
            <m:r>
              <m:t>y</m:t>
            </m:r>
            <m:r>
              <m:t>m</m:t>
            </m:r>
            <m:r>
              <m:t>L</m:t>
            </m:r>
            <m:r>
              <m:t>i</m:t>
            </m:r>
            <m:r>
              <m:t>s</m:t>
            </m:r>
            <m:r>
              <m:t>t</m:t>
            </m:r>
          </m:num>
          <m:den>
            <m:r>
              <m:rPr>
                <m:sty m:val="p"/>
              </m:rPr>
              <m:t>Γ</m:t>
            </m:r>
            <m:r>
              <m:t> </m:t>
            </m:r>
            <m:r>
              <m:rPr>
                <m:sty m:val="p"/>
              </m:rPr>
              <m:t>⊢</m:t>
            </m:r>
            <m:r>
              <m:t> </m:t>
            </m:r>
            <m:r>
              <m:t>x</m:t>
            </m:r>
            <m:r>
              <m:rPr>
                <m:sty m:val="p"/>
              </m:rPr>
              <m:t>!</m:t>
            </m:r>
            <m:r>
              <m:t>C</m:t>
            </m:r>
            <m:r>
              <m:t>O</m:t>
            </m:r>
            <m:r>
              <m:t>U</m:t>
            </m:r>
            <m:r>
              <m:t>N</m:t>
            </m:r>
            <m:r>
              <m:t>T</m:t>
            </m:r>
            <m:r>
              <m:t> </m:t>
            </m:r>
            <m:r>
              <m:rPr>
                <m:sty m:val="p"/>
              </m:rPr>
              <m:t>:</m:t>
            </m:r>
            <m:r>
              <m:t> </m:t>
            </m:r>
            <m:r>
              <m:t>N</m:t>
            </m:r>
            <m:r>
              <m:t>u</m:t>
            </m:r>
            <m:r>
              <m:t>m</m:t>
            </m:r>
          </m:den>
        </m:f>
      </m:oMath>
    </w:p>
    <w:p>
      <w:pPr>
        <w:pStyle w:val="BodyText"/>
      </w:pPr>
      <w:r>
        <w:t xml:space="preserve">[T-YEARSTONOW]</w:t>
      </w:r>
      <w:r>
        <w:t xml:space="preserve"> </w:t>
      </w:r>
      <m:oMath>
        <m:f>
          <m:fPr>
            <m:type m:val="bar"/>
          </m:fPr>
          <m:num>
            <m:r>
              <m:rPr>
                <m:sty m:val="p"/>
              </m:rPr>
              <m:t>Γ</m:t>
            </m:r>
            <m:r>
              <m:rPr>
                <m:sty m:val="p"/>
              </m:rPr>
              <m:t>(</m:t>
            </m:r>
            <m:r>
              <m:t>x</m:t>
            </m:r>
            <m:r>
              <m:rPr>
                <m:sty m:val="p"/>
              </m:rPr>
              <m:t>)</m:t>
            </m:r>
            <m:r>
              <m:t> </m:t>
            </m:r>
            <m:r>
              <m:rPr>
                <m:sty m:val="p"/>
              </m:rPr>
              <m:t>=</m:t>
            </m:r>
            <m:r>
              <m:t> </m:t>
            </m:r>
            <m:r>
              <m:t>D</m:t>
            </m:r>
            <m:r>
              <m:t>a</m:t>
            </m:r>
            <m:r>
              <m:t>t</m:t>
            </m:r>
            <m:r>
              <m:t>e</m:t>
            </m:r>
          </m:num>
          <m:den>
            <m:r>
              <m:rPr>
                <m:sty m:val="p"/>
              </m:rPr>
              <m:t>Γ</m:t>
            </m:r>
            <m:r>
              <m:t> </m:t>
            </m:r>
            <m:r>
              <m:rPr>
                <m:sty m:val="p"/>
              </m:rPr>
              <m:t>⊢</m:t>
            </m:r>
            <m:r>
              <m:t> </m:t>
            </m:r>
            <m:r>
              <m:t>x</m:t>
            </m:r>
            <m:r>
              <m:rPr>
                <m:sty m:val="p"/>
              </m:rPr>
              <m:t>!</m:t>
            </m:r>
            <m:r>
              <m:t>Y</m:t>
            </m:r>
            <m:r>
              <m:t>E</m:t>
            </m:r>
            <m:r>
              <m:t>A</m:t>
            </m:r>
            <m:r>
              <m:t>R</m:t>
            </m:r>
            <m:r>
              <m:t>S</m:t>
            </m:r>
            <m:r>
              <m:t>T</m:t>
            </m:r>
            <m:r>
              <m:t>O</m:t>
            </m:r>
            <m:r>
              <m:t>N</m:t>
            </m:r>
            <m:r>
              <m:t>O</m:t>
            </m:r>
            <m:r>
              <m:t>W</m:t>
            </m:r>
            <m:r>
              <m:rPr>
                <m:sty m:val="p"/>
              </m:rPr>
              <m:t>:</m:t>
            </m:r>
            <m:r>
              <m:t> </m:t>
            </m:r>
            <m:r>
              <m:t>N</m:t>
            </m:r>
            <m:r>
              <m:t>u</m:t>
            </m:r>
            <m:r>
              <m:t>m</m:t>
            </m:r>
          </m:den>
        </m:f>
      </m:oMath>
    </w:p>
    <w:p>
      <w:pPr>
        <w:pStyle w:val="BodyText"/>
      </w:pPr>
      <w:r>
        <w:t xml:space="preserve">[T-MONTHSTONOW]</w:t>
      </w:r>
      <w:r>
        <w:t xml:space="preserve"> </w:t>
      </w:r>
      <m:oMath>
        <m:f>
          <m:fPr>
            <m:type m:val="bar"/>
          </m:fPr>
          <m:num>
            <m:r>
              <m:rPr>
                <m:sty m:val="p"/>
              </m:rPr>
              <m:t>Γ</m:t>
            </m:r>
            <m:r>
              <m:rPr>
                <m:sty m:val="p"/>
              </m:rPr>
              <m:t>(</m:t>
            </m:r>
            <m:r>
              <m:t>x</m:t>
            </m:r>
            <m:r>
              <m:rPr>
                <m:sty m:val="p"/>
              </m:rPr>
              <m:t>)</m:t>
            </m:r>
            <m:r>
              <m:t> </m:t>
            </m:r>
            <m:r>
              <m:rPr>
                <m:sty m:val="p"/>
              </m:rPr>
              <m:t>=</m:t>
            </m:r>
            <m:r>
              <m:t> </m:t>
            </m:r>
            <m:r>
              <m:t>D</m:t>
            </m:r>
            <m:r>
              <m:t>a</m:t>
            </m:r>
            <m:r>
              <m:t>t</m:t>
            </m:r>
            <m:r>
              <m:t>e</m:t>
            </m:r>
          </m:num>
          <m:den>
            <m:r>
              <m:rPr>
                <m:sty m:val="p"/>
              </m:rPr>
              <m:t>Γ</m:t>
            </m:r>
            <m:r>
              <m:t> </m:t>
            </m:r>
            <m:r>
              <m:rPr>
                <m:sty m:val="p"/>
              </m:rPr>
              <m:t>⊢</m:t>
            </m:r>
            <m:r>
              <m:t> </m:t>
            </m:r>
            <m:r>
              <m:t>x</m:t>
            </m:r>
            <m:r>
              <m:rPr>
                <m:sty m:val="p"/>
              </m:rPr>
              <m:t>!</m:t>
            </m:r>
            <m:r>
              <m:t>M</m:t>
            </m:r>
            <m:r>
              <m:t>O</m:t>
            </m:r>
            <m:r>
              <m:t>N</m:t>
            </m:r>
            <m:r>
              <m:t>T</m:t>
            </m:r>
            <m:r>
              <m:t>H</m:t>
            </m:r>
            <m:r>
              <m:t>S</m:t>
            </m:r>
            <m:r>
              <m:t>T</m:t>
            </m:r>
            <m:r>
              <m:t>O</m:t>
            </m:r>
            <m:r>
              <m:t>N</m:t>
            </m:r>
            <m:r>
              <m:t>O</m:t>
            </m:r>
            <m:r>
              <m:t>W</m:t>
            </m:r>
            <m:r>
              <m:rPr>
                <m:sty m:val="p"/>
              </m:rPr>
              <m:t>:</m:t>
            </m:r>
            <m:r>
              <m:t> </m:t>
            </m:r>
            <m:r>
              <m:t>N</m:t>
            </m:r>
            <m:r>
              <m:t>u</m:t>
            </m:r>
            <m:r>
              <m:t>m</m:t>
            </m:r>
          </m:den>
        </m:f>
      </m:oMath>
    </w:p>
    <w:p>
      <w:pPr>
        <w:pStyle w:val="BodyText"/>
      </w:pPr>
      <w:r>
        <w:t xml:space="preserve">[T-DAYSTONOW]</w:t>
      </w:r>
      <w:r>
        <w:t xml:space="preserve"> </w:t>
      </w:r>
      <m:oMath>
        <m:f>
          <m:fPr>
            <m:type m:val="bar"/>
          </m:fPr>
          <m:num>
            <m:r>
              <m:rPr>
                <m:sty m:val="p"/>
              </m:rPr>
              <m:t>Γ</m:t>
            </m:r>
            <m:r>
              <m:rPr>
                <m:sty m:val="p"/>
              </m:rPr>
              <m:t>(</m:t>
            </m:r>
            <m:r>
              <m:t>x</m:t>
            </m:r>
            <m:r>
              <m:rPr>
                <m:sty m:val="p"/>
              </m:rPr>
              <m:t>)</m:t>
            </m:r>
            <m:r>
              <m:t> </m:t>
            </m:r>
            <m:r>
              <m:rPr>
                <m:sty m:val="p"/>
              </m:rPr>
              <m:t>=</m:t>
            </m:r>
            <m:r>
              <m:t> </m:t>
            </m:r>
            <m:r>
              <m:t>D</m:t>
            </m:r>
            <m:r>
              <m:t>a</m:t>
            </m:r>
            <m:r>
              <m:t>t</m:t>
            </m:r>
            <m:r>
              <m:t>e</m:t>
            </m:r>
          </m:num>
          <m:den>
            <m:r>
              <m:rPr>
                <m:sty m:val="p"/>
              </m:rPr>
              <m:t>Γ</m:t>
            </m:r>
            <m:r>
              <m:t> </m:t>
            </m:r>
            <m:r>
              <m:rPr>
                <m:sty m:val="p"/>
              </m:rPr>
              <m:t>⊢</m:t>
            </m:r>
            <m:r>
              <m:t> </m:t>
            </m:r>
            <m:r>
              <m:t>x</m:t>
            </m:r>
            <m:r>
              <m:rPr>
                <m:sty m:val="p"/>
              </m:rPr>
              <m:t>!</m:t>
            </m:r>
            <m:r>
              <m:t>D</m:t>
            </m:r>
            <m:r>
              <m:t>A</m:t>
            </m:r>
            <m:r>
              <m:t>Y</m:t>
            </m:r>
            <m:r>
              <m:t>S</m:t>
            </m:r>
            <m:r>
              <m:t>T</m:t>
            </m:r>
            <m:r>
              <m:t>O</m:t>
            </m:r>
            <m:r>
              <m:t>N</m:t>
            </m:r>
            <m:r>
              <m:t>O</m:t>
            </m:r>
            <m:r>
              <m:t>W</m:t>
            </m:r>
            <m:r>
              <m:rPr>
                <m:sty m:val="p"/>
              </m:rPr>
              <m:t>:</m:t>
            </m:r>
            <m:r>
              <m:t> </m:t>
            </m:r>
            <m:r>
              <m:t>N</m:t>
            </m:r>
            <m:r>
              <m:t>u</m:t>
            </m:r>
            <m:r>
              <m:t>m</m:t>
            </m:r>
          </m:den>
        </m:f>
      </m:oMath>
    </w:p>
    <w:p>
      <w:pPr>
        <w:pStyle w:val="BodyText"/>
      </w:pPr>
      <w:r>
        <w:t xml:space="preserve">[T-MONTHSTONOW-FROMLASTDAY]</w:t>
      </w:r>
      <w:r>
        <w:t xml:space="preserve"> </w:t>
      </w:r>
      <m:oMath>
        <m:f>
          <m:fPr>
            <m:type m:val="bar"/>
          </m:fPr>
          <m:num>
            <m:r>
              <m:rPr>
                <m:sty m:val="p"/>
              </m:rPr>
              <m:t>Γ</m:t>
            </m:r>
            <m:r>
              <m:rPr>
                <m:sty m:val="p"/>
              </m:rPr>
              <m:t>(</m:t>
            </m:r>
            <m:r>
              <m:t>x</m:t>
            </m:r>
            <m:r>
              <m:rPr>
                <m:sty m:val="p"/>
              </m:rPr>
              <m:t>)</m:t>
            </m:r>
            <m:r>
              <m:t> </m:t>
            </m:r>
            <m:r>
              <m:rPr>
                <m:sty m:val="p"/>
              </m:rPr>
              <m:t>=</m:t>
            </m:r>
            <m:r>
              <m:t> </m:t>
            </m:r>
            <m:r>
              <m:t>D</m:t>
            </m:r>
            <m:r>
              <m:t>a</m:t>
            </m:r>
            <m:r>
              <m:t>t</m:t>
            </m:r>
            <m:r>
              <m:t>e</m:t>
            </m:r>
          </m:num>
          <m:den>
            <m:r>
              <m:rPr>
                <m:sty m:val="p"/>
              </m:rPr>
              <m:t>Γ</m:t>
            </m:r>
            <m:r>
              <m:t> </m:t>
            </m:r>
            <m:r>
              <m:rPr>
                <m:sty m:val="p"/>
              </m:rPr>
              <m:t>⊢</m:t>
            </m:r>
            <m:r>
              <m:t> </m:t>
            </m:r>
            <m:r>
              <m:t>x</m:t>
            </m:r>
            <m:r>
              <m:rPr>
                <m:sty m:val="p"/>
              </m:rPr>
              <m:t>!</m:t>
            </m:r>
            <m:r>
              <m:t>M</m:t>
            </m:r>
            <m:r>
              <m:t>O</m:t>
            </m:r>
            <m:r>
              <m:t>N</m:t>
            </m:r>
            <m:r>
              <m:t>T</m:t>
            </m:r>
            <m:r>
              <m:t>H</m:t>
            </m:r>
            <m:r>
              <m:t>S</m:t>
            </m:r>
            <m:r>
              <m:t>T</m:t>
            </m:r>
            <m:r>
              <m:t>O</m:t>
            </m:r>
            <m:r>
              <m:t>N</m:t>
            </m:r>
            <m:r>
              <m:t>O</m:t>
            </m:r>
            <m:r>
              <m:t>W</m:t>
            </m:r>
            <m:r>
              <m:rPr>
                <m:sty m:val="p"/>
              </m:rPr>
              <m:t>_</m:t>
            </m:r>
            <m:r>
              <m:t>F</m:t>
            </m:r>
            <m:r>
              <m:t>R</m:t>
            </m:r>
            <m:r>
              <m:t>O</m:t>
            </m:r>
            <m:r>
              <m:t>M</m:t>
            </m:r>
            <m:r>
              <m:t>L</m:t>
            </m:r>
            <m:r>
              <m:t>A</m:t>
            </m:r>
            <m:r>
              <m:t>S</m:t>
            </m:r>
            <m:r>
              <m:t>T</m:t>
            </m:r>
            <m:r>
              <m:t>D</m:t>
            </m:r>
            <m:r>
              <m:t>A</m:t>
            </m:r>
            <m:r>
              <m:t>Y</m:t>
            </m:r>
            <m:r>
              <m:rPr>
                <m:sty m:val="p"/>
              </m:rPr>
              <m:t>:</m:t>
            </m:r>
            <m:r>
              <m:t> </m:t>
            </m:r>
            <m:r>
              <m:t>N</m:t>
            </m:r>
            <m:r>
              <m:t>u</m:t>
            </m:r>
            <m:r>
              <m:t>m</m:t>
            </m:r>
          </m:den>
        </m:f>
      </m:oMath>
    </w:p>
    <w:p>
      <w:pPr>
        <w:pStyle w:val="BodyText"/>
      </w:pPr>
      <w:r>
        <w:rPr>
          <w:b/>
          <w:bCs/>
        </w:rPr>
        <w:t xml:space="preserve">Set Membership</w:t>
      </w:r>
    </w:p>
    <w:p>
      <w:pPr>
        <w:pStyle w:val="BodyText"/>
      </w:pPr>
      <w:r>
        <w:t xml:space="preserve">Rules T-IN and T-NIN govern set membership tests for MULTILIST variables, enabling conditional logic based on whether specific choices are among a user's multi-select input.</w:t>
      </w:r>
    </w:p>
    <w:p>
      <w:pPr>
        <w:pStyle w:val="BodyText"/>
      </w:pPr>
      <w:r>
        <w:t xml:space="preserve">Given a symbol x (typically a LIST choice identifier) and a symbol list y (from a MULTILIST input), the expression x IN y tests whether x is among the selected values in y, returning a Bool. The negated form x NIN y (read as "not in") tests for non-membership.</w:t>
      </w:r>
    </w:p>
    <w:p>
      <w:pPr>
        <w:pStyle w:val="BodyText"/>
      </w:pPr>
      <w:r>
        <w:t xml:space="preserve">These operations enable fee rules that depend on specific selections within a multi-choice input. For example, if DesignatedCountries is a MULTILIST and DE is a symbol representing Germany, then DE IN DesignatedCountries returns TRUE if Germany is among the designated countries. This enables conditional fees such as:</w:t>
      </w:r>
    </w:p>
    <w:p>
      <w:pPr>
        <w:pStyle w:val="BodyText"/>
      </w:pPr>
      <w:r>
        <w:t xml:space="preserve">YIELD 500&lt;EUR&gt; IF DE IN DesignatedCountries # German designation fee</w:t>
      </w:r>
    </w:p>
    <w:p>
      <w:pPr>
        <w:pStyle w:val="BodyText"/>
      </w:pPr>
      <w:r>
        <w:t xml:space="preserve">The type constraints ensure that membership tests are only performed between compatible types: the left operand must be a single symbol (Sym), and the right operand must be a symbol list (SymList).</w:t>
      </w:r>
    </w:p>
    <w:p>
      <w:pPr>
        <w:pStyle w:val="BodyText"/>
      </w:pPr>
      <w:r>
        <w:t xml:space="preserve">[T-IN]</w:t>
      </w:r>
      <w:r>
        <w:t xml:space="preserve"> </w:t>
      </w:r>
      <m:oMath>
        <m:f>
          <m:fPr>
            <m:type m:val="bar"/>
          </m:fPr>
          <m:num>
            <m:r>
              <m:rPr>
                <m:sty m:val="p"/>
              </m:rPr>
              <m:t>Γ</m:t>
            </m:r>
            <m:r>
              <m:rPr>
                <m:sty m:val="p"/>
              </m:rPr>
              <m:t>(</m:t>
            </m:r>
            <m:r>
              <m:t>x</m:t>
            </m:r>
            <m:r>
              <m:rPr>
                <m:sty m:val="p"/>
              </m:rPr>
              <m:t>)</m:t>
            </m:r>
            <m:r>
              <m:t> </m:t>
            </m:r>
            <m:r>
              <m:rPr>
                <m:sty m:val="p"/>
              </m:rPr>
              <m:t>=</m:t>
            </m:r>
            <m:r>
              <m:t> </m:t>
            </m:r>
            <m:r>
              <m:t>S</m:t>
            </m:r>
            <m:r>
              <m:t>y</m:t>
            </m:r>
            <m:r>
              <m:t>m</m:t>
            </m:r>
            <m:r>
              <m:t> </m:t>
            </m:r>
            <m:r>
              <m:t> </m:t>
            </m:r>
            <m:r>
              <m:t> </m:t>
            </m:r>
            <m:r>
              <m:t> </m:t>
            </m:r>
            <m:r>
              <m:rPr>
                <m:sty m:val="p"/>
              </m:rPr>
              <m:t>Γ</m:t>
            </m:r>
            <m:r>
              <m:rPr>
                <m:sty m:val="p"/>
              </m:rPr>
              <m:t>(</m:t>
            </m:r>
            <m:r>
              <m:t>y</m:t>
            </m:r>
            <m:r>
              <m:rPr>
                <m:sty m:val="p"/>
              </m:rPr>
              <m:t>)</m:t>
            </m:r>
            <m:r>
              <m:t> </m:t>
            </m:r>
            <m:r>
              <m:rPr>
                <m:sty m:val="p"/>
              </m:rPr>
              <m:t>=</m:t>
            </m:r>
            <m:r>
              <m:t> </m:t>
            </m:r>
            <m:r>
              <m:t>S</m:t>
            </m:r>
            <m:r>
              <m:t>y</m:t>
            </m:r>
            <m:r>
              <m:t>m</m:t>
            </m:r>
            <m:r>
              <m:t>L</m:t>
            </m:r>
            <m:r>
              <m:t>i</m:t>
            </m:r>
            <m:r>
              <m:t>s</m:t>
            </m:r>
            <m:r>
              <m:t>t</m:t>
            </m:r>
          </m:num>
          <m:den>
            <m:r>
              <m:rPr>
                <m:sty m:val="p"/>
              </m:rPr>
              <m:t>Γ</m:t>
            </m:r>
            <m:r>
              <m:t> </m:t>
            </m:r>
            <m:r>
              <m:rPr>
                <m:sty m:val="p"/>
              </m:rPr>
              <m:t>⊢</m:t>
            </m:r>
            <m:r>
              <m:t> </m:t>
            </m:r>
            <m:r>
              <m:t>x</m:t>
            </m:r>
            <m:r>
              <m:t> </m:t>
            </m:r>
            <m:r>
              <m:t>I</m:t>
            </m:r>
            <m:r>
              <m:t>N</m:t>
            </m:r>
            <m:r>
              <m:t> </m:t>
            </m:r>
            <m:r>
              <m:t>y</m:t>
            </m:r>
            <m:r>
              <m:t> </m:t>
            </m:r>
            <m:r>
              <m:rPr>
                <m:sty m:val="p"/>
              </m:rPr>
              <m:t>:</m:t>
            </m:r>
            <m:r>
              <m:t> </m:t>
            </m:r>
            <m:r>
              <m:t>B</m:t>
            </m:r>
            <m:r>
              <m:t>o</m:t>
            </m:r>
            <m:r>
              <m:t>o</m:t>
            </m:r>
            <m:r>
              <m:t>l</m:t>
            </m:r>
          </m:den>
        </m:f>
      </m:oMath>
    </w:p>
    <w:p>
      <w:pPr>
        <w:pStyle w:val="BodyText"/>
      </w:pPr>
      <w:r>
        <w:t xml:space="preserve">[T-NIN]</w:t>
      </w:r>
      <w:r>
        <w:t xml:space="preserve"> </w:t>
      </w:r>
      <m:oMath>
        <m:f>
          <m:fPr>
            <m:type m:val="bar"/>
          </m:fPr>
          <m:num>
            <m:r>
              <m:rPr>
                <m:sty m:val="p"/>
              </m:rPr>
              <m:t>Γ</m:t>
            </m:r>
            <m:r>
              <m:rPr>
                <m:sty m:val="p"/>
              </m:rPr>
              <m:t>(</m:t>
            </m:r>
            <m:r>
              <m:t>x</m:t>
            </m:r>
            <m:r>
              <m:rPr>
                <m:sty m:val="p"/>
              </m:rPr>
              <m:t>)</m:t>
            </m:r>
            <m:r>
              <m:t> </m:t>
            </m:r>
            <m:r>
              <m:rPr>
                <m:sty m:val="p"/>
              </m:rPr>
              <m:t>=</m:t>
            </m:r>
            <m:r>
              <m:t> </m:t>
            </m:r>
            <m:r>
              <m:t>S</m:t>
            </m:r>
            <m:r>
              <m:t>y</m:t>
            </m:r>
            <m:r>
              <m:t>m</m:t>
            </m:r>
            <m:r>
              <m:t> </m:t>
            </m:r>
            <m:r>
              <m:t> </m:t>
            </m:r>
            <m:r>
              <m:t> </m:t>
            </m:r>
            <m:r>
              <m:t> </m:t>
            </m:r>
            <m:r>
              <m:rPr>
                <m:sty m:val="p"/>
              </m:rPr>
              <m:t>Γ</m:t>
            </m:r>
            <m:r>
              <m:rPr>
                <m:sty m:val="p"/>
              </m:rPr>
              <m:t>(</m:t>
            </m:r>
            <m:r>
              <m:t>y</m:t>
            </m:r>
            <m:r>
              <m:rPr>
                <m:sty m:val="p"/>
              </m:rPr>
              <m:t>)</m:t>
            </m:r>
            <m:r>
              <m:t> </m:t>
            </m:r>
            <m:r>
              <m:rPr>
                <m:sty m:val="p"/>
              </m:rPr>
              <m:t>=</m:t>
            </m:r>
            <m:r>
              <m:t> </m:t>
            </m:r>
            <m:r>
              <m:t>S</m:t>
            </m:r>
            <m:r>
              <m:t>y</m:t>
            </m:r>
            <m:r>
              <m:t>m</m:t>
            </m:r>
            <m:r>
              <m:t>L</m:t>
            </m:r>
            <m:r>
              <m:t>i</m:t>
            </m:r>
            <m:r>
              <m:t>s</m:t>
            </m:r>
            <m:r>
              <m:t>t</m:t>
            </m:r>
          </m:num>
          <m:den>
            <m:r>
              <m:rPr>
                <m:sty m:val="p"/>
              </m:rPr>
              <m:t>Γ</m:t>
            </m:r>
            <m:r>
              <m:t> </m:t>
            </m:r>
            <m:r>
              <m:rPr>
                <m:sty m:val="p"/>
              </m:rPr>
              <m:t>⊢</m:t>
            </m:r>
            <m:r>
              <m:t> </m:t>
            </m:r>
            <m:r>
              <m:t>x</m:t>
            </m:r>
            <m:r>
              <m:t> </m:t>
            </m:r>
            <m:r>
              <m:t>N</m:t>
            </m:r>
            <m:r>
              <m:t>I</m:t>
            </m:r>
            <m:r>
              <m:t>N</m:t>
            </m:r>
            <m:r>
              <m:t> </m:t>
            </m:r>
            <m:r>
              <m:t>y</m:t>
            </m:r>
            <m:r>
              <m:t> </m:t>
            </m:r>
            <m:r>
              <m:rPr>
                <m:sty m:val="p"/>
              </m:rPr>
              <m:t>:</m:t>
            </m:r>
            <m:r>
              <m:t> </m:t>
            </m:r>
            <m:r>
              <m:t>B</m:t>
            </m:r>
            <m:r>
              <m:t>o</m:t>
            </m:r>
            <m:r>
              <m:t>o</m:t>
            </m:r>
            <m:r>
              <m:t>l</m:t>
            </m:r>
          </m:den>
        </m:f>
      </m:oMath>
    </w:p>
    <w:p>
      <w:pPr>
        <w:pStyle w:val="BodyText"/>
      </w:pPr>
      <w:r>
        <w:rPr>
          <w:b/>
          <w:bCs/>
        </w:rPr>
        <w:t xml:space="preserve">Let Bindings</w:t>
      </w:r>
    </w:p>
    <w:p>
      <w:pPr>
        <w:pStyle w:val="BodyText"/>
      </w:pPr>
      <w:r>
        <w:t xml:space="preserve">Rule T-LET governs local variable bindings introduced by the LET construct, enabling named intermediate calculations within fee computation blocks.</w:t>
      </w:r>
    </w:p>
    <w:p>
      <w:pPr>
        <w:pStyle w:val="BodyText"/>
      </w:pPr>
      <w:r>
        <w:t xml:space="preserve">When typing LET x AS e₁; e₂, the rule proceeds in three steps:</w:t>
      </w:r>
    </w:p>
    <w:p>
      <w:pPr>
        <w:numPr>
          <w:ilvl w:val="0"/>
          <w:numId w:val="1006"/>
        </w:numPr>
      </w:pPr>
      <w:r>
        <w:t xml:space="preserve">First, it infers the type τ₁ for the defining expression e₁;</w:t>
      </w:r>
    </w:p>
    <w:p>
      <w:pPr>
        <w:numPr>
          <w:ilvl w:val="0"/>
          <w:numId w:val="1006"/>
        </w:numPr>
      </w:pPr>
      <w:r>
        <w:t xml:space="preserve">Then, it extends the typing environment Γ with the new binding x ↦ τ₁;</w:t>
      </w:r>
    </w:p>
    <w:p>
      <w:pPr>
        <w:numPr>
          <w:ilvl w:val="0"/>
          <w:numId w:val="1006"/>
        </w:numPr>
      </w:pPr>
      <w:r>
        <w:t xml:space="preserve">Finally, it infers the type τ₂ of the body expression e₂ under this extended environment.</w:t>
      </w:r>
    </w:p>
    <w:p>
      <w:pPr>
        <w:pStyle w:val="FirstParagraph"/>
      </w:pPr>
      <w:r>
        <w:t xml:space="preserve">The overall LET expression has type τ₂ - the type of its body.</w:t>
      </w:r>
    </w:p>
    <w:p>
      <w:pPr>
        <w:pStyle w:val="BodyText"/>
      </w:pPr>
      <w:r>
        <w:t xml:space="preserve">This rule enables intermediate calculations with named values, improving readability and avoiding repeated subexpressions. For example:</w:t>
      </w:r>
    </w:p>
    <w:p>
      <w:pPr>
        <w:pStyle w:val="BodyText"/>
      </w:pPr>
      <w:r>
        <w:t xml:space="preserve">LET ClaimFee AS 265&lt;EUR&gt;</w:t>
      </w:r>
    </w:p>
    <w:p>
      <w:pPr>
        <w:pStyle w:val="BodyText"/>
      </w:pPr>
      <w:r>
        <w:t xml:space="preserve">LET ExcessClaims AS ClaimCount - 15</w:t>
      </w:r>
    </w:p>
    <w:p>
      <w:pPr>
        <w:pStyle w:val="BodyText"/>
      </w:pPr>
      <w:r>
        <w:t xml:space="preserve">YIELD ClaimFee * ExcessClaims</w:t>
      </w:r>
    </w:p>
    <w:p>
      <w:pPr>
        <w:pStyle w:val="BodyText"/>
      </w:pPr>
      <w:r>
        <w:t xml:space="preserve">Here, ClaimFee is bound to type Amt[EUR], ExcessClaims is bound to type Num, and the multiplication yields Amt[EUR] by rule T-MUL-SCALAR-R.</w:t>
      </w:r>
    </w:p>
    <w:p>
      <w:pPr>
        <w:pStyle w:val="BodyText"/>
      </w:pPr>
      <w:r>
        <w:t xml:space="preserve">[T-LET]</w:t>
      </w:r>
      <w:r>
        <w:t xml:space="preserve"> </w:t>
      </w:r>
      <m:oMath>
        <m:f>
          <m:fPr>
            <m:type m:val="bar"/>
          </m:fPr>
          <m:num>
            <m:r>
              <m:rPr>
                <m:sty m:val="p"/>
              </m:rPr>
              <m:t>Γ</m:t>
            </m:r>
            <m:r>
              <m:t> </m:t>
            </m:r>
            <m:r>
              <m:rPr>
                <m:sty m:val="p"/>
              </m:rPr>
              <m:t>⊢</m:t>
            </m:r>
            <m:r>
              <m:t> </m:t>
            </m:r>
            <m:r>
              <m:t>e</m:t>
            </m:r>
            <m:r>
              <m:t>1</m:t>
            </m:r>
            <m:r>
              <m:t> </m:t>
            </m:r>
            <m:r>
              <m:rPr>
                <m:sty m:val="p"/>
              </m:rPr>
              <m:t>:</m:t>
            </m:r>
            <m:r>
              <m:t> </m:t>
            </m:r>
            <m:r>
              <m:t>τ</m:t>
            </m:r>
            <m:r>
              <m:t>1</m:t>
            </m:r>
            <m:r>
              <m:t> </m:t>
            </m:r>
            <m:r>
              <m:t> </m:t>
            </m:r>
            <m:r>
              <m:t> </m:t>
            </m:r>
            <m:r>
              <m:t> </m:t>
            </m:r>
            <m:r>
              <m:rPr>
                <m:sty m:val="p"/>
              </m:rPr>
              <m:t>Γ</m:t>
            </m:r>
            <m:r>
              <m:rPr>
                <m:sty m:val="p"/>
              </m:rPr>
              <m:t>[</m:t>
            </m:r>
            <m:r>
              <m:t>x</m:t>
            </m:r>
            <m:r>
              <m:t> </m:t>
            </m:r>
            <m:r>
              <m:rPr>
                <m:sty m:val="p"/>
              </m:rPr>
              <m:t>↦</m:t>
            </m:r>
            <m:r>
              <m:t> </m:t>
            </m:r>
            <m:r>
              <m:t>τ</m:t>
            </m:r>
            <m:r>
              <m:t>1</m:t>
            </m:r>
            <m:r>
              <m:rPr>
                <m:sty m:val="p"/>
              </m:rPr>
              <m:t>]</m:t>
            </m:r>
            <m:r>
              <m:t> </m:t>
            </m:r>
            <m:r>
              <m:rPr>
                <m:sty m:val="p"/>
              </m:rPr>
              <m:t>⊢</m:t>
            </m:r>
            <m:r>
              <m:t> </m:t>
            </m:r>
            <m:r>
              <m:t>e</m:t>
            </m:r>
            <m:r>
              <m:t>2</m:t>
            </m:r>
            <m:r>
              <m:t> </m:t>
            </m:r>
            <m:r>
              <m:t> </m:t>
            </m:r>
            <m:r>
              <m:rPr>
                <m:sty m:val="p"/>
              </m:rPr>
              <m:t>:</m:t>
            </m:r>
            <m:r>
              <m:t> </m:t>
            </m:r>
            <m:r>
              <m:t>τ</m:t>
            </m:r>
            <m:r>
              <m:t>2</m:t>
            </m:r>
            <m:r>
              <m:t> </m:t>
            </m:r>
          </m:num>
          <m:den>
            <m:r>
              <m:rPr>
                <m:sty m:val="p"/>
              </m:rPr>
              <m:t>Γ</m:t>
            </m:r>
            <m:r>
              <m:t> </m:t>
            </m:r>
            <m:r>
              <m:rPr>
                <m:sty m:val="p"/>
              </m:rPr>
              <m:t>⊢</m:t>
            </m:r>
            <m:r>
              <m:t> </m:t>
            </m:r>
            <m:r>
              <m:t>L</m:t>
            </m:r>
            <m:r>
              <m:t>E</m:t>
            </m:r>
            <m:r>
              <m:t>T</m:t>
            </m:r>
            <m:r>
              <m:t> </m:t>
            </m:r>
            <m:r>
              <m:t>x</m:t>
            </m:r>
            <m:r>
              <m:t> </m:t>
            </m:r>
            <m:r>
              <m:t>A</m:t>
            </m:r>
            <m:r>
              <m:t>S</m:t>
            </m:r>
            <m:r>
              <m:t> </m:t>
            </m:r>
            <m:r>
              <m:t>e</m:t>
            </m:r>
            <m:r>
              <m:t>1</m:t>
            </m:r>
            <m:r>
              <m:rPr>
                <m:sty m:val="p"/>
              </m:rPr>
              <m:t>;</m:t>
            </m:r>
            <m:r>
              <m:t>e</m:t>
            </m:r>
            <m:r>
              <m:t>2</m:t>
            </m:r>
            <m:r>
              <m:t> </m:t>
            </m:r>
            <m:r>
              <m:t> </m:t>
            </m:r>
            <m:r>
              <m:rPr>
                <m:sty m:val="p"/>
              </m:rPr>
              <m:t>:</m:t>
            </m:r>
            <m:r>
              <m:t> </m:t>
            </m:r>
            <m:r>
              <m:t>τ</m:t>
            </m:r>
            <m:r>
              <m:t>2</m:t>
            </m:r>
          </m:den>
        </m:f>
      </m:oMath>
    </w:p>
    <w:p>
      <w:pPr>
        <w:pStyle w:val="BodyText"/>
      </w:pPr>
      <w:r>
        <w:rPr>
          <w:b/>
          <w:bCs/>
        </w:rPr>
        <w:t xml:space="preserve">Fee Body Typing</w:t>
      </w:r>
    </w:p>
    <w:p>
      <w:pPr>
        <w:pStyle w:val="BodyText"/>
      </w:pPr>
      <w:r>
        <w:t xml:space="preserve">Typing fee computations - especially polymorphic fees that work across multiple currencies - requires reasoning about all possible YIELD statements within a fee body. The type system must verify that every execution path produces a value of the same type; a fee that might return EUR amounts on some paths and USD amounts on others would violate type safety.</w:t>
      </w:r>
    </w:p>
    <w:p>
      <w:pPr>
        <w:pStyle w:val="BodyText"/>
      </w:pPr>
      <w:r>
        <w:t xml:space="preserve">To express this requirement, we introduce an auxiliary judgment Γ ⊢ body yields τ, read as "under environment Γ, all YIELD expressions in the fee body have type τ." This judgment is distinct from the expression typing judgment Γ ⊢ e : τ and captures the constraint that all yield points must agree on their result type.</w:t>
      </w:r>
    </w:p>
    <w:p>
      <w:pPr>
        <w:pStyle w:val="BodyText"/>
      </w:pPr>
      <w:r>
        <w:t xml:space="preserve">Rule</w:t>
      </w:r>
      <w:r>
        <w:t xml:space="preserve"> </w:t>
      </w:r>
      <w:r>
        <w:rPr>
          <w:b/>
          <w:bCs/>
        </w:rPr>
        <w:t xml:space="preserve">T-YIELD-STMT</w:t>
      </w:r>
      <w:r>
        <w:t xml:space="preserve"> </w:t>
      </w:r>
      <w:r>
        <w:t xml:space="preserve">types a conditional yield statement: if expression e has type τ and condition φ is Boolean, then YIELD e IF φ yields type τ. The condition φ does not affect the yield type - it only determines whether this yield is selected at runtime.</w:t>
      </w:r>
    </w:p>
    <w:p>
      <w:pPr>
        <w:pStyle w:val="BodyText"/>
      </w:pPr>
      <w:r>
        <w:t xml:space="preserve">Rule</w:t>
      </w:r>
      <w:r>
        <w:t xml:space="preserve"> </w:t>
      </w:r>
      <w:r>
        <w:rPr>
          <w:b/>
          <w:bCs/>
        </w:rPr>
        <w:t xml:space="preserve">T-YIELD-UNCONDITIONAL</w:t>
      </w:r>
      <w:r>
        <w:t xml:space="preserve"> </w:t>
      </w:r>
      <w:r>
        <w:t xml:space="preserve">handles unconditional yields: if e has type τ, then YIELD e yields type τ.</w:t>
      </w:r>
    </w:p>
    <w:p>
      <w:pPr>
        <w:pStyle w:val="BodyText"/>
      </w:pPr>
      <w:r>
        <w:t xml:space="preserve">Rule</w:t>
      </w:r>
      <w:r>
        <w:t xml:space="preserve"> </w:t>
      </w:r>
      <w:r>
        <w:rPr>
          <w:b/>
          <w:bCs/>
        </w:rPr>
        <w:t xml:space="preserve">T-YIELD-SEQ</w:t>
      </w:r>
      <w:r>
        <w:t xml:space="preserve"> </w:t>
      </w:r>
      <w:r>
        <w:t xml:space="preserve">is the critical compositionality rule: when multiple yield statements (or CASE blocks containing yields) appear in sequence, they must all yield the</w:t>
      </w:r>
      <w:r>
        <w:t xml:space="preserve"> </w:t>
      </w:r>
      <w:r>
        <w:rPr>
          <w:i/>
          <w:iCs/>
        </w:rPr>
        <w:t xml:space="preserve">same</w:t>
      </w:r>
      <w:r>
        <w:t xml:space="preserve"> </w:t>
      </w:r>
      <w:r>
        <w:t xml:space="preserve">type τ. If stmt yields τ and rest yields τ, then their sequence yields τ. This rule prevents type inconsistency across branches - a fee with YIELD 100&lt;EUR&gt; IF cond1 followed by YIELD 200&lt;USD&gt; IF cond2 would fail to type-check because the two yields disagree on currency.</w:t>
      </w:r>
    </w:p>
    <w:p>
      <w:pPr>
        <w:pStyle w:val="BodyText"/>
      </w:pPr>
      <w:r>
        <w:t xml:space="preserve">Rule</w:t>
      </w:r>
      <w:r>
        <w:t xml:space="preserve"> </w:t>
      </w:r>
      <w:r>
        <w:rPr>
          <w:b/>
          <w:bCs/>
        </w:rPr>
        <w:t xml:space="preserve">T-LET-IN-BODY</w:t>
      </w:r>
      <w:r>
        <w:t xml:space="preserve"> </w:t>
      </w:r>
      <w:r>
        <w:t xml:space="preserve">extends the environment with a local binding before typing the remainder of the fee body. The bound variable's type τ₁ becomes available when checking subsequent yields, enabling local calculations that feed into yield expressions.</w:t>
      </w:r>
    </w:p>
    <w:p>
      <w:pPr>
        <w:pStyle w:val="BodyText"/>
      </w:pPr>
      <w:r>
        <w:t xml:space="preserve">[T-YIELD-STMT]</w:t>
      </w:r>
      <w:r>
        <w:t xml:space="preserve"> </w:t>
      </w:r>
      <m:oMath>
        <m:f>
          <m:fPr>
            <m:type m:val="bar"/>
          </m:fPr>
          <m:num>
            <m:r>
              <m:rPr>
                <m:sty m:val="p"/>
              </m:rPr>
              <m:t>Γ</m:t>
            </m:r>
            <m:r>
              <m:t> </m:t>
            </m:r>
            <m:r>
              <m:rPr>
                <m:sty m:val="p"/>
              </m:rPr>
              <m:t>⊢</m:t>
            </m:r>
            <m:r>
              <m:t> </m:t>
            </m:r>
            <m:r>
              <m:t>e</m:t>
            </m:r>
            <m:r>
              <m:t> </m:t>
            </m:r>
            <m:r>
              <m:t> </m:t>
            </m:r>
            <m:r>
              <m:rPr>
                <m:sty m:val="p"/>
              </m:rPr>
              <m:t>:</m:t>
            </m:r>
            <m:r>
              <m:t> </m:t>
            </m:r>
            <m:r>
              <m:t>τ</m:t>
            </m:r>
            <m:r>
              <m:t> </m:t>
            </m:r>
            <m:r>
              <m:t> </m:t>
            </m:r>
            <m:r>
              <m:t> </m:t>
            </m:r>
            <m:r>
              <m:t> </m:t>
            </m:r>
            <m:r>
              <m:rPr>
                <m:sty m:val="p"/>
              </m:rPr>
              <m:t>Γ</m:t>
            </m:r>
            <m:r>
              <m:t> </m:t>
            </m:r>
            <m:r>
              <m:rPr>
                <m:sty m:val="p"/>
              </m:rPr>
              <m:t>⊢</m:t>
            </m:r>
            <m:r>
              <m:t> </m:t>
            </m:r>
            <m:r>
              <m:t>φ</m:t>
            </m:r>
            <m:r>
              <m:t> </m:t>
            </m:r>
            <m:r>
              <m:t> </m:t>
            </m:r>
            <m:r>
              <m:rPr>
                <m:sty m:val="p"/>
              </m:rPr>
              <m:t>:</m:t>
            </m:r>
            <m:r>
              <m:t> </m:t>
            </m:r>
            <m:r>
              <m:t>B</m:t>
            </m:r>
            <m:r>
              <m:t>o</m:t>
            </m:r>
            <m:r>
              <m:t>o</m:t>
            </m:r>
            <m:r>
              <m:t>l</m:t>
            </m:r>
            <m:r>
              <m:t> </m:t>
            </m:r>
          </m:num>
          <m:den>
            <m:r>
              <m:rPr>
                <m:sty m:val="p"/>
              </m:rPr>
              <m:t>Γ</m:t>
            </m:r>
            <m:r>
              <m:t> </m:t>
            </m:r>
            <m:r>
              <m:rPr>
                <m:sty m:val="p"/>
              </m:rPr>
              <m:t>⊢</m:t>
            </m:r>
            <m:r>
              <m:t> </m:t>
            </m:r>
            <m:r>
              <m:rPr>
                <m:sty m:val="p"/>
              </m:rPr>
              <m:t>(</m:t>
            </m:r>
            <m:r>
              <m:t>Y</m:t>
            </m:r>
            <m:r>
              <m:t>I</m:t>
            </m:r>
            <m:r>
              <m:t>E</m:t>
            </m:r>
            <m:r>
              <m:t>L</m:t>
            </m:r>
            <m:r>
              <m:t>D</m:t>
            </m:r>
            <m:r>
              <m:t> </m:t>
            </m:r>
            <m:r>
              <m:t>e</m:t>
            </m:r>
            <m:r>
              <m:t> </m:t>
            </m:r>
            <m:r>
              <m:t>I</m:t>
            </m:r>
            <m:r>
              <m:t>F</m:t>
            </m:r>
            <m:r>
              <m:t> </m:t>
            </m:r>
            <m:r>
              <m:t>φ</m:t>
            </m:r>
            <m:r>
              <m:rPr>
                <m:sty m:val="p"/>
              </m:rPr>
              <m:t>)</m:t>
            </m:r>
            <m:r>
              <m:t> </m:t>
            </m:r>
            <m:r>
              <m:t>y</m:t>
            </m:r>
            <m:r>
              <m:t>i</m:t>
            </m:r>
            <m:r>
              <m:t>e</m:t>
            </m:r>
            <m:r>
              <m:t>l</m:t>
            </m:r>
            <m:r>
              <m:t>d</m:t>
            </m:r>
            <m:r>
              <m:t>s</m:t>
            </m:r>
            <m:r>
              <m:t> </m:t>
            </m:r>
            <m:r>
              <m:t>τ</m:t>
            </m:r>
            <m:r>
              <m:t> </m:t>
            </m:r>
          </m:den>
        </m:f>
      </m:oMath>
    </w:p>
    <w:p>
      <w:pPr>
        <w:pStyle w:val="BodyText"/>
      </w:pPr>
      <w:r>
        <w:t xml:space="preserve">[T-YIELD-UNCONDITIONAL]</w:t>
      </w:r>
      <w:r>
        <w:t xml:space="preserve"> </w:t>
      </w:r>
      <m:oMath>
        <m:f>
          <m:fPr>
            <m:type m:val="bar"/>
          </m:fPr>
          <m:num>
            <m:r>
              <m:rPr>
                <m:sty m:val="p"/>
              </m:rPr>
              <m:t>Γ</m:t>
            </m:r>
            <m:r>
              <m:t> </m:t>
            </m:r>
            <m:r>
              <m:rPr>
                <m:sty m:val="p"/>
              </m:rPr>
              <m:t>⊢</m:t>
            </m:r>
            <m:r>
              <m:t> </m:t>
            </m:r>
            <m:r>
              <m:t>e</m:t>
            </m:r>
            <m:r>
              <m:t> </m:t>
            </m:r>
            <m:r>
              <m:t> </m:t>
            </m:r>
            <m:r>
              <m:rPr>
                <m:sty m:val="p"/>
              </m:rPr>
              <m:t>:</m:t>
            </m:r>
            <m:r>
              <m:t> </m:t>
            </m:r>
            <m:r>
              <m:t>τ</m:t>
            </m:r>
            <m:r>
              <m:t> </m:t>
            </m:r>
          </m:num>
          <m:den>
            <m:r>
              <m:rPr>
                <m:sty m:val="p"/>
              </m:rPr>
              <m:t>Γ</m:t>
            </m:r>
            <m:r>
              <m:t> </m:t>
            </m:r>
            <m:r>
              <m:rPr>
                <m:sty m:val="p"/>
              </m:rPr>
              <m:t>⊢</m:t>
            </m:r>
            <m:r>
              <m:t> </m:t>
            </m:r>
            <m:r>
              <m:rPr>
                <m:sty m:val="p"/>
              </m:rPr>
              <m:t>(</m:t>
            </m:r>
            <m:r>
              <m:t>Y</m:t>
            </m:r>
            <m:r>
              <m:t>I</m:t>
            </m:r>
            <m:r>
              <m:t>E</m:t>
            </m:r>
            <m:r>
              <m:t>L</m:t>
            </m:r>
            <m:r>
              <m:t>D</m:t>
            </m:r>
            <m:r>
              <m:t> </m:t>
            </m:r>
            <m:r>
              <m:t>e</m:t>
            </m:r>
            <m:r>
              <m:rPr>
                <m:sty m:val="p"/>
              </m:rPr>
              <m:t>)</m:t>
            </m:r>
            <m:r>
              <m:t> </m:t>
            </m:r>
            <m:r>
              <m:t>y</m:t>
            </m:r>
            <m:r>
              <m:t>i</m:t>
            </m:r>
            <m:r>
              <m:t>e</m:t>
            </m:r>
            <m:r>
              <m:t>l</m:t>
            </m:r>
            <m:r>
              <m:t>d</m:t>
            </m:r>
            <m:r>
              <m:t>s</m:t>
            </m:r>
            <m:r>
              <m:t> </m:t>
            </m:r>
            <m:r>
              <m:t>τ</m:t>
            </m:r>
            <m:r>
              <m:t> </m:t>
            </m:r>
          </m:den>
        </m:f>
      </m:oMath>
    </w:p>
    <w:p>
      <w:pPr>
        <w:pStyle w:val="BodyText"/>
      </w:pPr>
      <w:r>
        <w:t xml:space="preserve">[T-YIELD-SEQ]</w:t>
      </w:r>
      <w:r>
        <w:t xml:space="preserve"> </w:t>
      </w:r>
      <m:oMath>
        <m:f>
          <m:fPr>
            <m:type m:val="bar"/>
          </m:fPr>
          <m:num>
            <m:r>
              <m:rPr>
                <m:sty m:val="p"/>
              </m:rPr>
              <m:t>Γ</m:t>
            </m:r>
            <m:r>
              <m:t> </m:t>
            </m:r>
            <m:r>
              <m:rPr>
                <m:sty m:val="p"/>
              </m:rPr>
              <m:t>⊢</m:t>
            </m:r>
            <m:r>
              <m:t> </m:t>
            </m:r>
            <m:r>
              <m:t>s</m:t>
            </m:r>
            <m:r>
              <m:t>t</m:t>
            </m:r>
            <m:r>
              <m:t>m</m:t>
            </m:r>
            <m:r>
              <m:t>t</m:t>
            </m:r>
            <m:r>
              <m:t> </m:t>
            </m:r>
            <m:r>
              <m:t>y</m:t>
            </m:r>
            <m:r>
              <m:t>i</m:t>
            </m:r>
            <m:r>
              <m:t>e</m:t>
            </m:r>
            <m:r>
              <m:t>l</m:t>
            </m:r>
            <m:r>
              <m:t>d</m:t>
            </m:r>
            <m:r>
              <m:t>s</m:t>
            </m:r>
            <m:r>
              <m:t> </m:t>
            </m:r>
            <m:r>
              <m:t>τ</m:t>
            </m:r>
            <m:r>
              <m:t> </m:t>
            </m:r>
            <m:r>
              <m:t> </m:t>
            </m:r>
            <m:r>
              <m:t> </m:t>
            </m:r>
            <m:r>
              <m:rPr>
                <m:sty m:val="p"/>
              </m:rPr>
              <m:t>Γ</m:t>
            </m:r>
            <m:r>
              <m:t> </m:t>
            </m:r>
            <m:r>
              <m:rPr>
                <m:sty m:val="p"/>
              </m:rPr>
              <m:t>⊢</m:t>
            </m:r>
            <m:r>
              <m:t> </m:t>
            </m:r>
            <m:r>
              <m:t>r</m:t>
            </m:r>
            <m:r>
              <m:t>e</m:t>
            </m:r>
            <m:r>
              <m:t>s</m:t>
            </m:r>
            <m:r>
              <m:t>t</m:t>
            </m:r>
            <m:r>
              <m:t> </m:t>
            </m:r>
            <m:r>
              <m:t>y</m:t>
            </m:r>
            <m:r>
              <m:t>i</m:t>
            </m:r>
            <m:r>
              <m:t>e</m:t>
            </m:r>
            <m:r>
              <m:t>l</m:t>
            </m:r>
            <m:r>
              <m:t>d</m:t>
            </m:r>
            <m:r>
              <m:t>s</m:t>
            </m:r>
            <m:r>
              <m:t> </m:t>
            </m:r>
            <m:r>
              <m:t>τ</m:t>
            </m:r>
            <m:r>
              <m:t> </m:t>
            </m:r>
          </m:num>
          <m:den>
            <m:r>
              <m:rPr>
                <m:sty m:val="p"/>
              </m:rPr>
              <m:t>Γ</m:t>
            </m:r>
            <m:r>
              <m:t> </m:t>
            </m:r>
            <m:r>
              <m:rPr>
                <m:sty m:val="p"/>
              </m:rPr>
              <m:t>⊢</m:t>
            </m:r>
            <m:r>
              <m:t> </m:t>
            </m:r>
            <m:r>
              <m:rPr>
                <m:sty m:val="p"/>
              </m:rPr>
              <m:t>(</m:t>
            </m:r>
            <m:r>
              <m:t>s</m:t>
            </m:r>
            <m:r>
              <m:t>t</m:t>
            </m:r>
            <m:r>
              <m:t>m</m:t>
            </m:r>
            <m:r>
              <m:t>t</m:t>
            </m:r>
            <m:r>
              <m:rPr>
                <m:sty m:val="p"/>
              </m:rPr>
              <m:t>;</m:t>
            </m:r>
            <m:r>
              <m:t> </m:t>
            </m:r>
            <m:r>
              <m:t>r</m:t>
            </m:r>
            <m:r>
              <m:t>e</m:t>
            </m:r>
            <m:r>
              <m:t>s</m:t>
            </m:r>
            <m:r>
              <m:t>t</m:t>
            </m:r>
            <m:r>
              <m:rPr>
                <m:sty m:val="p"/>
              </m:rPr>
              <m:t>)</m:t>
            </m:r>
            <m:r>
              <m:t> </m:t>
            </m:r>
            <m:r>
              <m:t>y</m:t>
            </m:r>
            <m:r>
              <m:t>i</m:t>
            </m:r>
            <m:r>
              <m:t>e</m:t>
            </m:r>
            <m:r>
              <m:t>l</m:t>
            </m:r>
            <m:r>
              <m:t>d</m:t>
            </m:r>
            <m:r>
              <m:t>s</m:t>
            </m:r>
            <m:r>
              <m:t> </m:t>
            </m:r>
            <m:r>
              <m:t>τ</m:t>
            </m:r>
            <m:r>
              <m:t> </m:t>
            </m:r>
          </m:den>
        </m:f>
      </m:oMath>
    </w:p>
    <w:p>
      <w:pPr>
        <w:pStyle w:val="BodyText"/>
      </w:pPr>
      <w:r>
        <w:t xml:space="preserve">[T-LET-IN-BODY]</w:t>
      </w:r>
      <w:r>
        <w:t xml:space="preserve"> </w:t>
      </w:r>
      <m:oMath>
        <m:f>
          <m:fPr>
            <m:type m:val="bar"/>
          </m:fPr>
          <m:num>
            <m:r>
              <m:rPr>
                <m:sty m:val="p"/>
              </m:rPr>
              <m:t>Γ</m:t>
            </m:r>
            <m:r>
              <m:t> </m:t>
            </m:r>
            <m:r>
              <m:rPr>
                <m:sty m:val="p"/>
              </m:rPr>
              <m:t>⊢</m:t>
            </m:r>
            <m:r>
              <m:t> </m:t>
            </m:r>
            <m:r>
              <m:t>e</m:t>
            </m:r>
            <m:r>
              <m:t>1</m:t>
            </m:r>
            <m:r>
              <m:t> </m:t>
            </m:r>
            <m:r>
              <m:t> </m:t>
            </m:r>
            <m:r>
              <m:rPr>
                <m:sty m:val="p"/>
              </m:rPr>
              <m:t>:</m:t>
            </m:r>
            <m:r>
              <m:t> </m:t>
            </m:r>
            <m:r>
              <m:t>τ</m:t>
            </m:r>
            <m:r>
              <m:t>1</m:t>
            </m:r>
            <m:r>
              <m:t> </m:t>
            </m:r>
            <m:r>
              <m:t> </m:t>
            </m:r>
            <m:r>
              <m:t> </m:t>
            </m:r>
            <m:r>
              <m:rPr>
                <m:sty m:val="p"/>
              </m:rPr>
              <m:t>Γ</m:t>
            </m:r>
            <m:r>
              <m:rPr>
                <m:sty m:val="p"/>
              </m:rPr>
              <m:t>[</m:t>
            </m:r>
            <m:r>
              <m:t>x</m:t>
            </m:r>
            <m:r>
              <m:t> </m:t>
            </m:r>
            <m:r>
              <m:rPr>
                <m:sty m:val="p"/>
              </m:rPr>
              <m:t>↦</m:t>
            </m:r>
            <m:r>
              <m:t> </m:t>
            </m:r>
            <m:r>
              <m:t>τ</m:t>
            </m:r>
            <m:r>
              <m:rPr>
                <m:sty m:val="p"/>
              </m:rPr>
              <m:t>₁</m:t>
            </m:r>
            <m:r>
              <m:rPr>
                <m:sty m:val="p"/>
              </m:rPr>
              <m:t>]</m:t>
            </m:r>
            <m:r>
              <m:t> </m:t>
            </m:r>
            <m:r>
              <m:rPr>
                <m:sty m:val="p"/>
              </m:rPr>
              <m:t>⊢</m:t>
            </m:r>
            <m:r>
              <m:t> </m:t>
            </m:r>
            <m:r>
              <m:t>r</m:t>
            </m:r>
            <m:r>
              <m:t>e</m:t>
            </m:r>
            <m:r>
              <m:t>s</m:t>
            </m:r>
            <m:r>
              <m:t>t</m:t>
            </m:r>
            <m:r>
              <m:t> </m:t>
            </m:r>
            <m:r>
              <m:t>y</m:t>
            </m:r>
            <m:r>
              <m:t>i</m:t>
            </m:r>
            <m:r>
              <m:t>e</m:t>
            </m:r>
            <m:r>
              <m:t>l</m:t>
            </m:r>
            <m:r>
              <m:t>d</m:t>
            </m:r>
            <m:r>
              <m:t>s</m:t>
            </m:r>
            <m:r>
              <m:t> </m:t>
            </m:r>
            <m:r>
              <m:t>τ</m:t>
            </m:r>
            <m:r>
              <m:t>2</m:t>
            </m:r>
            <m:r>
              <m:t> </m:t>
            </m:r>
          </m:num>
          <m:den>
            <m:r>
              <m:rPr>
                <m:sty m:val="p"/>
              </m:rPr>
              <m:t>Γ</m:t>
            </m:r>
            <m:r>
              <m:t> </m:t>
            </m:r>
            <m:r>
              <m:rPr>
                <m:sty m:val="p"/>
              </m:rPr>
              <m:t>⊢</m:t>
            </m:r>
            <m:r>
              <m:t> </m:t>
            </m:r>
            <m:r>
              <m:rPr>
                <m:sty m:val="p"/>
              </m:rPr>
              <m:t>(</m:t>
            </m:r>
            <m:r>
              <m:t>L</m:t>
            </m:r>
            <m:r>
              <m:t>E</m:t>
            </m:r>
            <m:r>
              <m:t>T</m:t>
            </m:r>
            <m:r>
              <m:t> </m:t>
            </m:r>
            <m:r>
              <m:t>x</m:t>
            </m:r>
            <m:r>
              <m:t> </m:t>
            </m:r>
            <m:r>
              <m:t>A</m:t>
            </m:r>
            <m:r>
              <m:t>S</m:t>
            </m:r>
            <m:r>
              <m:t> </m:t>
            </m:r>
            <m:r>
              <m:t>e</m:t>
            </m:r>
            <m:r>
              <m:t>1</m:t>
            </m:r>
            <m:r>
              <m:rPr>
                <m:sty m:val="p"/>
              </m:rPr>
              <m:t>;</m:t>
            </m:r>
            <m:r>
              <m:t> </m:t>
            </m:r>
            <m:r>
              <m:t>r</m:t>
            </m:r>
            <m:r>
              <m:t>e</m:t>
            </m:r>
            <m:r>
              <m:t>s</m:t>
            </m:r>
            <m:r>
              <m:t>t</m:t>
            </m:r>
            <m:r>
              <m:rPr>
                <m:sty m:val="p"/>
              </m:rPr>
              <m:t>)</m:t>
            </m:r>
            <m:r>
              <m:t> </m:t>
            </m:r>
            <m:r>
              <m:t>y</m:t>
            </m:r>
            <m:r>
              <m:t>i</m:t>
            </m:r>
            <m:r>
              <m:t>e</m:t>
            </m:r>
            <m:r>
              <m:t>l</m:t>
            </m:r>
            <m:r>
              <m:t>d</m:t>
            </m:r>
            <m:r>
              <m:t>s</m:t>
            </m:r>
            <m:r>
              <m:t> </m:t>
            </m:r>
            <m:r>
              <m:t>τ</m:t>
            </m:r>
            <m:r>
              <m:t>2</m:t>
            </m:r>
          </m:den>
        </m:f>
      </m:oMath>
    </w:p>
    <w:p>
      <w:pPr>
        <w:pStyle w:val="BodyText"/>
      </w:pPr>
      <w:r>
        <w:rPr>
          <w:b/>
          <w:bCs/>
        </w:rPr>
        <w:t xml:space="preserve">Non-Polymorphic Fee Rules</w:t>
      </w:r>
    </w:p>
    <w:p>
      <w:pPr>
        <w:pStyle w:val="BodyText"/>
      </w:pPr>
      <w:r>
        <w:t xml:space="preserve">Most fee computations target a specific currency determined by the jurisdiction - EPO fees are in EUR, USPTO fees are in USD, JPO fees are in JPY. The non-polymorphic fee rules type such single-currency fee definitions.</w:t>
      </w:r>
    </w:p>
    <w:p>
      <w:pPr>
        <w:pStyle w:val="BodyText"/>
      </w:pPr>
      <w:r>
        <w:t xml:space="preserve">Rule T-FEE types a fee block without an explicit currency declaration. If the fee body yields type τ - which must be either Num (for dimensionless intermediate calculations) or Amt[c] for some currency c - then the entire COMPUTE FEE block has that type. The type is inferred from the yield expressions within the body.</w:t>
      </w:r>
    </w:p>
    <w:p>
      <w:pPr>
        <w:pStyle w:val="BodyText"/>
      </w:pPr>
      <w:r>
        <w:t xml:space="preserve">Rule T-FEE-RETURN handles fees with explicit RETURN currency declarations, providing documentation and additional type checking. The declaration RETURN c constrains the body to yield Amt[c]; if the body's yields are inconsistent with the declared currency, type checking fails. For example:</w:t>
      </w:r>
    </w:p>
    <w:p>
      <w:pPr>
        <w:pStyle w:val="BodyText"/>
      </w:pPr>
      <w:r>
        <w:t xml:space="preserve">COMPUTE FEE FilingFee RETURN EUR</w:t>
      </w:r>
    </w:p>
    <w:p>
      <w:pPr>
        <w:pStyle w:val="BodyText"/>
      </w:pPr>
      <w:r>
        <w:t xml:space="preserve">YIELD 135&lt;EUR&gt;</w:t>
      </w:r>
    </w:p>
    <w:p>
      <w:pPr>
        <w:pStyle w:val="BodyText"/>
      </w:pPr>
      <w:r>
        <w:t xml:space="preserve">ENDCOMPUTE</w:t>
      </w:r>
    </w:p>
    <w:p>
      <w:pPr>
        <w:pStyle w:val="BodyText"/>
      </w:pPr>
      <w:r>
        <w:t xml:space="preserve">The explicit RETURN EUR documents the fee's currency and catches errors if someone later modifies a yield to use a different currency.</w:t>
      </w:r>
    </w:p>
    <w:p>
      <w:pPr>
        <w:pStyle w:val="BodyText"/>
      </w:pPr>
      <w:r>
        <w:t xml:space="preserve">[T-FEE]</w:t>
      </w:r>
      <w:r>
        <w:t xml:space="preserve"> </w:t>
      </w:r>
      <m:oMath>
        <m:f>
          <m:fPr>
            <m:type m:val="bar"/>
          </m:fPr>
          <m:num>
            <m:r>
              <m:rPr>
                <m:sty m:val="p"/>
              </m:rPr>
              <m:t>Γ</m:t>
            </m:r>
            <m:r>
              <m:t> </m:t>
            </m:r>
            <m:r>
              <m:rPr>
                <m:sty m:val="p"/>
              </m:rPr>
              <m:t>⊢</m:t>
            </m:r>
            <m:r>
              <m:t> </m:t>
            </m:r>
            <m:r>
              <m:t>b</m:t>
            </m:r>
            <m:r>
              <m:t>o</m:t>
            </m:r>
            <m:r>
              <m:t>d</m:t>
            </m:r>
            <m:r>
              <m:t>y</m:t>
            </m:r>
            <m:r>
              <m:t> </m:t>
            </m:r>
            <m:r>
              <m:t>y</m:t>
            </m:r>
            <m:r>
              <m:t>i</m:t>
            </m:r>
            <m:r>
              <m:t>e</m:t>
            </m:r>
            <m:r>
              <m:t>l</m:t>
            </m:r>
            <m:r>
              <m:t>d</m:t>
            </m:r>
            <m:r>
              <m:t>s</m:t>
            </m:r>
            <m:r>
              <m:t> </m:t>
            </m:r>
            <m:r>
              <m:t>τ</m:t>
            </m:r>
            <m:r>
              <m:t> </m:t>
            </m:r>
            <m:r>
              <m:t> </m:t>
            </m:r>
            <m:r>
              <m:t> </m:t>
            </m:r>
            <m:r>
              <m:t> </m:t>
            </m:r>
            <m:r>
              <m:t>τ</m:t>
            </m:r>
            <m:r>
              <m:t> </m:t>
            </m:r>
            <m:r>
              <m:rPr>
                <m:sty m:val="p"/>
              </m:rPr>
              <m:t>∈</m:t>
            </m:r>
            <m:r>
              <m:t> </m:t>
            </m:r>
            <m:r>
              <m:rPr>
                <m:sty m:val="p"/>
              </m:rPr>
              <m:t>{</m:t>
            </m:r>
            <m:r>
              <m:t>N</m:t>
            </m:r>
            <m:r>
              <m:t>u</m:t>
            </m:r>
            <m:r>
              <m:t>m</m:t>
            </m:r>
            <m:r>
              <m:rPr>
                <m:sty m:val="p"/>
              </m:rPr>
              <m:t>}</m:t>
            </m:r>
            <m:r>
              <m:t> </m:t>
            </m:r>
            <m:r>
              <m:rPr>
                <m:sty m:val="p"/>
              </m:rPr>
              <m:t>∪</m:t>
            </m:r>
            <m:r>
              <m:t> </m:t>
            </m:r>
            <m:r>
              <m:rPr>
                <m:sty m:val="p"/>
              </m:rPr>
              <m:t>{</m:t>
            </m:r>
            <m:r>
              <m:t>A</m:t>
            </m:r>
            <m:r>
              <m:t>m</m:t>
            </m:r>
            <m:r>
              <m:t>t</m:t>
            </m:r>
            <m:r>
              <m:rPr>
                <m:sty m:val="p"/>
              </m:rPr>
              <m:t>[</m:t>
            </m:r>
            <m:r>
              <m:t>c</m:t>
            </m:r>
            <m:r>
              <m:rPr>
                <m:sty m:val="p"/>
              </m:rPr>
              <m:t>]</m:t>
            </m:r>
            <m:r>
              <m:t> </m:t>
            </m:r>
            <m:r>
              <m:rPr>
                <m:sty m:val="p"/>
              </m:rPr>
              <m:t>:</m:t>
            </m:r>
            <m:r>
              <m:t> </m:t>
            </m:r>
            <m:r>
              <m:t>c</m:t>
            </m:r>
            <m:r>
              <m:t> </m:t>
            </m:r>
            <m:r>
              <m:rPr>
                <m:sty m:val="p"/>
              </m:rPr>
              <m:t>∈</m:t>
            </m:r>
            <m:r>
              <m:t> </m:t>
            </m:r>
            <m:r>
              <m:t>I</m:t>
            </m:r>
            <m:r>
              <m:t>S</m:t>
            </m:r>
            <m:r>
              <m:t>O</m:t>
            </m:r>
            <m:r>
              <m:rPr>
                <m:sty m:val="p"/>
              </m:rPr>
              <m:t>−</m:t>
            </m:r>
            <m:r>
              <m:t>4217</m:t>
            </m:r>
            <m:r>
              <m:rPr>
                <m:sty m:val="p"/>
              </m:rPr>
              <m:t>}</m:t>
            </m:r>
            <m:r>
              <m:t> </m:t>
            </m:r>
          </m:num>
          <m:den>
            <m:r>
              <m:rPr>
                <m:sty m:val="p"/>
              </m:rPr>
              <m:t>Γ</m:t>
            </m:r>
            <m:r>
              <m:t> </m:t>
            </m:r>
            <m:r>
              <m:rPr>
                <m:sty m:val="p"/>
              </m:rPr>
              <m:t>⊢</m:t>
            </m:r>
            <m:r>
              <m:t> </m:t>
            </m:r>
            <m:r>
              <m:rPr>
                <m:sty m:val="p"/>
              </m:rPr>
              <m:t>(</m:t>
            </m:r>
            <m:r>
              <m:t>C</m:t>
            </m:r>
            <m:r>
              <m:t>O</m:t>
            </m:r>
            <m:r>
              <m:t>M</m:t>
            </m:r>
            <m:r>
              <m:t>P</m:t>
            </m:r>
            <m:r>
              <m:t>U</m:t>
            </m:r>
            <m:r>
              <m:t>T</m:t>
            </m:r>
            <m:r>
              <m:t>E</m:t>
            </m:r>
            <m:r>
              <m:t> </m:t>
            </m:r>
            <m:r>
              <m:t>F</m:t>
            </m:r>
            <m:r>
              <m:t>E</m:t>
            </m:r>
            <m:r>
              <m:t>E</m:t>
            </m:r>
            <m:r>
              <m:t> </m:t>
            </m:r>
            <m:r>
              <m:t>f</m:t>
            </m:r>
            <m:r>
              <m:t> </m:t>
            </m:r>
            <m:r>
              <m:t>b</m:t>
            </m:r>
            <m:r>
              <m:t>o</m:t>
            </m:r>
            <m:r>
              <m:t>d</m:t>
            </m:r>
            <m:r>
              <m:t>y</m:t>
            </m:r>
            <m:r>
              <m:t> </m:t>
            </m:r>
            <m:r>
              <m:t>E</m:t>
            </m:r>
            <m:r>
              <m:t>N</m:t>
            </m:r>
            <m:r>
              <m:t>D</m:t>
            </m:r>
            <m:r>
              <m:t>C</m:t>
            </m:r>
            <m:r>
              <m:t>O</m:t>
            </m:r>
            <m:r>
              <m:t>M</m:t>
            </m:r>
            <m:r>
              <m:t>P</m:t>
            </m:r>
            <m:r>
              <m:t>U</m:t>
            </m:r>
            <m:r>
              <m:t>T</m:t>
            </m:r>
            <m:r>
              <m:t>E</m:t>
            </m:r>
            <m:r>
              <m:rPr>
                <m:sty m:val="p"/>
              </m:rPr>
              <m:t>)</m:t>
            </m:r>
            <m:r>
              <m:t> </m:t>
            </m:r>
            <m:r>
              <m:rPr>
                <m:sty m:val="p"/>
              </m:rPr>
              <m:t>:</m:t>
            </m:r>
            <m:r>
              <m:t> </m:t>
            </m:r>
            <m:r>
              <m:t>τ</m:t>
            </m:r>
          </m:den>
        </m:f>
      </m:oMath>
    </w:p>
    <w:p>
      <w:pPr>
        <w:pStyle w:val="BodyText"/>
      </w:pPr>
      <w:r>
        <w:t xml:space="preserve">[T-FEE-RETURN]</w:t>
      </w:r>
      <w:r>
        <w:t xml:space="preserve"> </w:t>
      </w:r>
      <m:oMath>
        <m:f>
          <m:fPr>
            <m:type m:val="bar"/>
          </m:fPr>
          <m:num>
            <m:r>
              <m:rPr>
                <m:sty m:val="p"/>
              </m:rPr>
              <m:t>Γ</m:t>
            </m:r>
            <m:r>
              <m:t> </m:t>
            </m:r>
            <m:r>
              <m:rPr>
                <m:sty m:val="p"/>
              </m:rPr>
              <m:t>⊢</m:t>
            </m:r>
            <m:r>
              <m:t> </m:t>
            </m:r>
            <m:r>
              <m:t>b</m:t>
            </m:r>
            <m:r>
              <m:t>o</m:t>
            </m:r>
            <m:r>
              <m:t>d</m:t>
            </m:r>
            <m:r>
              <m:t>y</m:t>
            </m:r>
            <m:r>
              <m:t> </m:t>
            </m:r>
            <m:r>
              <m:t>y</m:t>
            </m:r>
            <m:r>
              <m:t>i</m:t>
            </m:r>
            <m:r>
              <m:t>e</m:t>
            </m:r>
            <m:r>
              <m:t>l</m:t>
            </m:r>
            <m:r>
              <m:t>d</m:t>
            </m:r>
            <m:r>
              <m:t>s</m:t>
            </m:r>
            <m:r>
              <m:t> </m:t>
            </m:r>
            <m:r>
              <m:t>A</m:t>
            </m:r>
            <m:r>
              <m:t>m</m:t>
            </m:r>
            <m:r>
              <m:t>t</m:t>
            </m:r>
            <m:r>
              <m:rPr>
                <m:sty m:val="p"/>
              </m:rPr>
              <m:t>[</m:t>
            </m:r>
            <m:r>
              <m:t>c</m:t>
            </m:r>
            <m:r>
              <m:rPr>
                <m:sty m:val="p"/>
              </m:rPr>
              <m:t>]</m:t>
            </m:r>
            <m:r>
              <m:t> </m:t>
            </m:r>
            <m:r>
              <m:t> </m:t>
            </m:r>
            <m:r>
              <m:t> </m:t>
            </m:r>
            <m:r>
              <m:t>c</m:t>
            </m:r>
            <m:r>
              <m:t> </m:t>
            </m:r>
            <m:r>
              <m:rPr>
                <m:sty m:val="p"/>
              </m:rPr>
              <m:t>∈</m:t>
            </m:r>
            <m:r>
              <m:t> </m:t>
            </m:r>
            <m:r>
              <m:t>I</m:t>
            </m:r>
            <m:r>
              <m:t>S</m:t>
            </m:r>
            <m:r>
              <m:t>O</m:t>
            </m:r>
            <m:r>
              <m:rPr>
                <m:sty m:val="p"/>
              </m:rPr>
              <m:t>−</m:t>
            </m:r>
            <m:r>
              <m:t>4217</m:t>
            </m:r>
          </m:num>
          <m:den>
            <m:r>
              <m:rPr>
                <m:sty m:val="p"/>
              </m:rPr>
              <m:t>Γ</m:t>
            </m:r>
            <m:r>
              <m:t> </m:t>
            </m:r>
            <m:r>
              <m:rPr>
                <m:sty m:val="p"/>
              </m:rPr>
              <m:t>⊢</m:t>
            </m:r>
            <m:r>
              <m:t> </m:t>
            </m:r>
            <m:r>
              <m:rPr>
                <m:sty m:val="p"/>
              </m:rPr>
              <m:t>(</m:t>
            </m:r>
            <m:r>
              <m:t>C</m:t>
            </m:r>
            <m:r>
              <m:t>O</m:t>
            </m:r>
            <m:r>
              <m:t>M</m:t>
            </m:r>
            <m:r>
              <m:t>P</m:t>
            </m:r>
            <m:r>
              <m:t>U</m:t>
            </m:r>
            <m:r>
              <m:t>T</m:t>
            </m:r>
            <m:r>
              <m:t>E</m:t>
            </m:r>
            <m:r>
              <m:t> </m:t>
            </m:r>
            <m:r>
              <m:t>F</m:t>
            </m:r>
            <m:r>
              <m:t>E</m:t>
            </m:r>
            <m:r>
              <m:t>E</m:t>
            </m:r>
            <m:r>
              <m:t> </m:t>
            </m:r>
            <m:r>
              <m:t>f</m:t>
            </m:r>
            <m:r>
              <m:t> </m:t>
            </m:r>
            <m:r>
              <m:t>R</m:t>
            </m:r>
            <m:r>
              <m:t>E</m:t>
            </m:r>
            <m:r>
              <m:t>T</m:t>
            </m:r>
            <m:r>
              <m:t>U</m:t>
            </m:r>
            <m:r>
              <m:t>R</m:t>
            </m:r>
            <m:r>
              <m:t>N</m:t>
            </m:r>
            <m:r>
              <m:t> </m:t>
            </m:r>
            <m:r>
              <m:t>c</m:t>
            </m:r>
            <m:r>
              <m:t> </m:t>
            </m:r>
            <m:r>
              <m:t>b</m:t>
            </m:r>
            <m:r>
              <m:t>o</m:t>
            </m:r>
            <m:r>
              <m:t>d</m:t>
            </m:r>
            <m:r>
              <m:t>y</m:t>
            </m:r>
            <m:r>
              <m:t> </m:t>
            </m:r>
            <m:r>
              <m:t>E</m:t>
            </m:r>
            <m:r>
              <m:t>N</m:t>
            </m:r>
            <m:r>
              <m:t>D</m:t>
            </m:r>
            <m:r>
              <m:t>C</m:t>
            </m:r>
            <m:r>
              <m:t>O</m:t>
            </m:r>
            <m:r>
              <m:t>M</m:t>
            </m:r>
            <m:r>
              <m:t>P</m:t>
            </m:r>
            <m:r>
              <m:t>U</m:t>
            </m:r>
            <m:r>
              <m:t>T</m:t>
            </m:r>
            <m:r>
              <m:t>E</m:t>
            </m:r>
            <m:r>
              <m:rPr>
                <m:sty m:val="p"/>
              </m:rPr>
              <m:t>)</m:t>
            </m:r>
            <m:r>
              <m:t> </m:t>
            </m:r>
            <m:r>
              <m:rPr>
                <m:sty m:val="p"/>
              </m:rPr>
              <m:t>:</m:t>
            </m:r>
            <m:r>
              <m:t> </m:t>
            </m:r>
            <m:r>
              <m:t>A</m:t>
            </m:r>
            <m:r>
              <m:t>m</m:t>
            </m:r>
            <m:r>
              <m:t>t</m:t>
            </m:r>
            <m:r>
              <m:rPr>
                <m:sty m:val="p"/>
              </m:rPr>
              <m:t>[</m:t>
            </m:r>
            <m:r>
              <m:t>c</m:t>
            </m:r>
            <m:r>
              <m:rPr>
                <m:sty m:val="p"/>
              </m:rPr>
              <m:t>]</m:t>
            </m:r>
          </m:den>
        </m:f>
      </m:oMath>
    </w:p>
    <w:p>
      <w:pPr>
        <w:pStyle w:val="BodyText"/>
      </w:pPr>
      <w:r>
        <w:rPr>
          <w:b/>
          <w:bCs/>
        </w:rPr>
        <w:t xml:space="preserve">Polymorphic Fee Rules</w:t>
      </w:r>
    </w:p>
    <w:p>
      <w:pPr>
        <w:pStyle w:val="BodyText"/>
      </w:pPr>
      <w:r>
        <w:t xml:space="preserve">Some fee definitions must work across multiple currencies - for example, a base fee structure that different jurisdictions instantiate with their local currency, or a template fee that regional patent organizations share among member states. Polymorphic fees address this need by abstracting over the currency type.</w:t>
      </w:r>
    </w:p>
    <w:p>
      <w:pPr>
        <w:pStyle w:val="BodyText"/>
      </w:pPr>
      <w:r>
        <w:t xml:space="preserve">Rule T-POLY-FEE types such generic fee definitions. The syntax COMPUTE FEE f&lt;α&gt; RETURN α introduces a</w:t>
      </w:r>
      <w:r>
        <w:t xml:space="preserve"> </w:t>
      </w:r>
      <w:r>
        <w:rPr>
          <w:i/>
          <w:iCs/>
        </w:rPr>
        <w:t xml:space="preserve">type variable</w:t>
      </w:r>
      <w:r>
        <w:t xml:space="preserve"> </w:t>
      </w:r>
      <w:r>
        <w:t xml:space="preserve">α that stands for an unknown currency. The premise α ∉ dom(Γ) ensures this variable is fresh - not already bound to a specific currency in the current context.</w:t>
      </w:r>
    </w:p>
    <w:p>
      <w:pPr>
        <w:pStyle w:val="BodyText"/>
      </w:pPr>
      <w:r>
        <w:t xml:space="preserve">The extended context Γ, α : Currency treats α as a placeholder that ranges over any ISO-4217 currency code. Under this extended context, the fee body must yield type Amt[α] - an amount denominated in the placeholder currency. Within the body, currency literals use the type variable: 100&lt;α&gt; represents "100 units of whatever currency α is instantiated to."</w:t>
      </w:r>
    </w:p>
    <w:p>
      <w:pPr>
        <w:pStyle w:val="BodyText"/>
      </w:pPr>
      <w:r>
        <w:t xml:space="preserve">The resulting fee has polymorphic type ∀α. Amt[α], read as "for all currencies α, an amount in α." This type indicates the fee can be instantiated at any concrete currency to produce a fee of that specific currency.</w:t>
      </w:r>
    </w:p>
    <w:p>
      <w:pPr>
        <w:pStyle w:val="BodyText"/>
      </w:pPr>
      <w:r>
        <w:t xml:space="preserve">[T-POLY-FEE]</w:t>
      </w:r>
      <w:r>
        <w:t xml:space="preserve"> </w:t>
      </w:r>
      <m:oMath>
        <m:f>
          <m:fPr>
            <m:type m:val="bar"/>
          </m:fPr>
          <m:num>
            <m:r>
              <m:t>α</m:t>
            </m:r>
            <m:r>
              <m:t> </m:t>
            </m:r>
            <m:r>
              <m:rPr>
                <m:sty m:val="p"/>
              </m:rPr>
              <m:t>∉</m:t>
            </m:r>
            <m:r>
              <m:t> </m:t>
            </m:r>
            <m:r>
              <m:t>d</m:t>
            </m:r>
            <m:r>
              <m:t>o</m:t>
            </m:r>
            <m:r>
              <m:t>m</m:t>
            </m:r>
            <m:r>
              <m:rPr>
                <m:sty m:val="p"/>
              </m:rPr>
              <m:t>(</m:t>
            </m:r>
            <m:r>
              <m:rPr>
                <m:sty m:val="p"/>
              </m:rPr>
              <m:t>Γ</m:t>
            </m:r>
            <m:r>
              <m:rPr>
                <m:sty m:val="p"/>
              </m:rPr>
              <m:t>)</m:t>
            </m:r>
            <m:r>
              <m:t> </m:t>
            </m:r>
            <m:r>
              <m:t> </m:t>
            </m:r>
            <m:r>
              <m:t> </m:t>
            </m:r>
            <m:r>
              <m:t> </m:t>
            </m:r>
            <m:r>
              <m:rPr>
                <m:sty m:val="p"/>
              </m:rPr>
              <m:t>Γ</m:t>
            </m:r>
            <m:r>
              <m:rPr>
                <m:sty m:val="p"/>
              </m:rPr>
              <m:t>,</m:t>
            </m:r>
            <m:r>
              <m:t> </m:t>
            </m:r>
            <m:r>
              <m:t>α</m:t>
            </m:r>
            <m:r>
              <m:t> </m:t>
            </m:r>
            <m:r>
              <m:rPr>
                <m:sty m:val="p"/>
              </m:rPr>
              <m:t>:</m:t>
            </m:r>
            <m:r>
              <m:t> </m:t>
            </m:r>
            <m:r>
              <m:t>C</m:t>
            </m:r>
            <m:r>
              <m:t>u</m:t>
            </m:r>
            <m:r>
              <m:t>r</m:t>
            </m:r>
            <m:r>
              <m:t>r</m:t>
            </m:r>
            <m:r>
              <m:t>e</m:t>
            </m:r>
            <m:r>
              <m:t>n</m:t>
            </m:r>
            <m:r>
              <m:t>c</m:t>
            </m:r>
            <m:r>
              <m:t>y</m:t>
            </m:r>
            <m:r>
              <m:t> </m:t>
            </m:r>
            <m:r>
              <m:rPr>
                <m:sty m:val="p"/>
              </m:rPr>
              <m:t>⊢</m:t>
            </m:r>
            <m:r>
              <m:t> </m:t>
            </m:r>
            <m:r>
              <m:t>b</m:t>
            </m:r>
            <m:r>
              <m:t>o</m:t>
            </m:r>
            <m:r>
              <m:t>d</m:t>
            </m:r>
            <m:r>
              <m:t>y</m:t>
            </m:r>
            <m:r>
              <m:t> </m:t>
            </m:r>
            <m:r>
              <m:t>y</m:t>
            </m:r>
            <m:r>
              <m:t>i</m:t>
            </m:r>
            <m:r>
              <m:t>e</m:t>
            </m:r>
            <m:r>
              <m:t>l</m:t>
            </m:r>
            <m:r>
              <m:t>d</m:t>
            </m:r>
            <m:r>
              <m:t>s</m:t>
            </m:r>
            <m:r>
              <m:t> </m:t>
            </m:r>
            <m:r>
              <m:t>A</m:t>
            </m:r>
            <m:r>
              <m:t>m</m:t>
            </m:r>
            <m:r>
              <m:t>t</m:t>
            </m:r>
            <m:r>
              <m:rPr>
                <m:sty m:val="p"/>
              </m:rPr>
              <m:t>[</m:t>
            </m:r>
            <m:r>
              <m:t>α</m:t>
            </m:r>
            <m:r>
              <m:rPr>
                <m:sty m:val="p"/>
              </m:rPr>
              <m:t>]</m:t>
            </m:r>
            <m:r>
              <m:t> </m:t>
            </m:r>
          </m:num>
          <m:den>
            <m:r>
              <m:rPr>
                <m:sty m:val="p"/>
              </m:rPr>
              <m:t>Γ</m:t>
            </m:r>
            <m:r>
              <m:t> </m:t>
            </m:r>
            <m:r>
              <m:rPr>
                <m:sty m:val="p"/>
              </m:rPr>
              <m:t>⊢</m:t>
            </m:r>
            <m:r>
              <m:t> </m:t>
            </m:r>
            <m:r>
              <m:rPr>
                <m:sty m:val="p"/>
              </m:rPr>
              <m:t>(</m:t>
            </m:r>
            <m:r>
              <m:t>C</m:t>
            </m:r>
            <m:r>
              <m:t>O</m:t>
            </m:r>
            <m:r>
              <m:t>M</m:t>
            </m:r>
            <m:r>
              <m:t>P</m:t>
            </m:r>
            <m:r>
              <m:t>U</m:t>
            </m:r>
            <m:r>
              <m:t>T</m:t>
            </m:r>
            <m:r>
              <m:t>E</m:t>
            </m:r>
            <m:r>
              <m:t> </m:t>
            </m:r>
            <m:r>
              <m:t>F</m:t>
            </m:r>
            <m:r>
              <m:t>E</m:t>
            </m:r>
            <m:r>
              <m:t>E</m:t>
            </m:r>
            <m:r>
              <m:t> </m:t>
            </m:r>
            <m:r>
              <m:t>f</m:t>
            </m:r>
            <m:r>
              <m:rPr>
                <m:sty m:val="p"/>
              </m:rPr>
              <m:t>&lt;</m:t>
            </m:r>
            <m:r>
              <m:t>α</m:t>
            </m:r>
            <m:r>
              <m:rPr>
                <m:sty m:val="p"/>
              </m:rPr>
              <m:t>&gt;</m:t>
            </m:r>
            <m:r>
              <m:t> </m:t>
            </m:r>
            <m:r>
              <m:t>R</m:t>
            </m:r>
            <m:r>
              <m:t>E</m:t>
            </m:r>
            <m:r>
              <m:t>T</m:t>
            </m:r>
            <m:r>
              <m:t>U</m:t>
            </m:r>
            <m:r>
              <m:t>R</m:t>
            </m:r>
            <m:r>
              <m:t>N</m:t>
            </m:r>
            <m:r>
              <m:t> </m:t>
            </m:r>
            <m:r>
              <m:t>α</m:t>
            </m:r>
            <m:r>
              <m:t> </m:t>
            </m:r>
            <m:r>
              <m:t>b</m:t>
            </m:r>
            <m:r>
              <m:t>o</m:t>
            </m:r>
            <m:r>
              <m:t>d</m:t>
            </m:r>
            <m:r>
              <m:t>y</m:t>
            </m:r>
            <m:r>
              <m:t> </m:t>
            </m:r>
            <m:r>
              <m:t>E</m:t>
            </m:r>
            <m:r>
              <m:t>N</m:t>
            </m:r>
            <m:r>
              <m:t>D</m:t>
            </m:r>
            <m:r>
              <m:t>C</m:t>
            </m:r>
            <m:r>
              <m:t>O</m:t>
            </m:r>
            <m:r>
              <m:t>M</m:t>
            </m:r>
            <m:r>
              <m:t>P</m:t>
            </m:r>
            <m:r>
              <m:t>U</m:t>
            </m:r>
            <m:r>
              <m:t>T</m:t>
            </m:r>
            <m:r>
              <m:t>E</m:t>
            </m:r>
            <m:r>
              <m:rPr>
                <m:sty m:val="p"/>
              </m:rPr>
              <m:t>)</m:t>
            </m:r>
            <m:r>
              <m:t> </m:t>
            </m:r>
            <m:r>
              <m:rPr>
                <m:sty m:val="p"/>
              </m:rPr>
              <m:t>:</m:t>
            </m:r>
            <m:r>
              <m:t> </m:t>
            </m:r>
            <m:r>
              <m:rPr>
                <m:sty m:val="p"/>
              </m:rPr>
              <m:t>∀</m:t>
            </m:r>
            <m:r>
              <m:t>α</m:t>
            </m:r>
            <m:r>
              <m:rPr>
                <m:sty m:val="p"/>
              </m:rPr>
              <m:t>.</m:t>
            </m:r>
            <m:r>
              <m:t> </m:t>
            </m:r>
            <m:r>
              <m:t>A</m:t>
            </m:r>
            <m:r>
              <m:t>m</m:t>
            </m:r>
            <m:r>
              <m:t>t</m:t>
            </m:r>
            <m:r>
              <m:rPr>
                <m:sty m:val="p"/>
              </m:rPr>
              <m:t>[</m:t>
            </m:r>
            <m:r>
              <m:t>α</m:t>
            </m:r>
            <m:r>
              <m:rPr>
                <m:sty m:val="p"/>
              </m:rPr>
              <m:t>]</m:t>
            </m:r>
          </m:den>
        </m:f>
      </m:oMath>
    </w:p>
    <w:p>
      <w:pPr>
        <w:pStyle w:val="BodyText"/>
      </w:pPr>
      <w:r>
        <w:rPr>
          <w:b/>
          <w:bCs/>
        </w:rPr>
        <w:t xml:space="preserve">Type Instantiation</w:t>
      </w:r>
    </w:p>
    <w:p>
      <w:pPr>
        <w:pStyle w:val="BodyText"/>
      </w:pPr>
      <w:r>
        <w:t xml:space="preserve">Rule</w:t>
      </w:r>
      <w:r>
        <w:t xml:space="preserve"> </w:t>
      </w:r>
      <w:r>
        <w:rPr>
          <w:b/>
          <w:bCs/>
        </w:rPr>
        <w:t xml:space="preserve">T-INST</w:t>
      </w:r>
      <w:r>
        <w:t xml:space="preserve"> </w:t>
      </w:r>
      <w:r>
        <w:t xml:space="preserve">eliminates polymorphism by instantiating a generic fee at a concrete currency, converting the abstract fee definition into a currency-specific one.</w:t>
      </w:r>
    </w:p>
    <w:p>
      <w:pPr>
        <w:pStyle w:val="BodyText"/>
      </w:pPr>
      <w:r>
        <w:t xml:space="preserve">Given a fee f with polymorphic type ∀α. Amt[α] and a specific ISO-4217 currency code c, the instantiation f@c has type Amt[c]. The @ operator is the instantiation operator that substitutes the concrete currency for the type variable throughout the fee's type.</w:t>
      </w:r>
    </w:p>
    <w:p>
      <w:pPr>
        <w:pStyle w:val="BodyText"/>
      </w:pPr>
      <w:r>
        <w:t xml:space="preserve">Instantiation typically occurs in two contexts:</w:t>
      </w:r>
    </w:p>
    <w:p>
      <w:pPr>
        <w:numPr>
          <w:ilvl w:val="0"/>
          <w:numId w:val="1007"/>
        </w:numPr>
      </w:pPr>
      <w:r>
        <w:rPr>
          <w:b/>
          <w:bCs/>
        </w:rPr>
        <w:t xml:space="preserve">Explicit composition</w:t>
      </w:r>
      <w:r>
        <w:t xml:space="preserve">: When a child jurisdiction composes with a parent that defines polymorphic fees, the child specifies concrete currencies for inherited fees. For example, if base_ep.ipf defines a polymorphic BaseFee&lt;α&gt;, then de.ipf (German national phase) might instantiate it as BaseFee@EUR.</w:t>
      </w:r>
    </w:p>
    <w:p>
      <w:pPr>
        <w:numPr>
          <w:ilvl w:val="0"/>
          <w:numId w:val="1007"/>
        </w:numPr>
      </w:pPr>
      <w:r>
        <w:rPr>
          <w:b/>
          <w:bCs/>
        </w:rPr>
        <w:t xml:space="preserve">Implicit inference</w:t>
      </w:r>
      <w:r>
        <w:t xml:space="preserve">: When a polymorphic fee is used in a context requiring a specific currency - such as being added to a EUR amount - the type checker infers the necessary instantiation.</w:t>
      </w:r>
    </w:p>
    <w:p>
      <w:pPr>
        <w:pStyle w:val="FirstParagraph"/>
      </w:pPr>
      <w:r>
        <w:t xml:space="preserve">After instantiation, the fee behaves exactly like a non-polymorphic fee of the concrete currency type, with all the same type-checking rules applying to its results.</w:t>
      </w:r>
    </w:p>
    <w:p>
      <w:pPr>
        <w:pStyle w:val="BodyText"/>
      </w:pPr>
      <w:r>
        <w:t xml:space="preserve">[T-INST]</w:t>
      </w:r>
      <w:r>
        <w:t xml:space="preserve"> </w:t>
      </w:r>
      <m:oMath>
        <m:f>
          <m:fPr>
            <m:type m:val="bar"/>
          </m:fPr>
          <m:num>
            <m:r>
              <m:rPr>
                <m:sty m:val="p"/>
              </m:rPr>
              <m:t>Γ</m:t>
            </m:r>
            <m:r>
              <m:t> </m:t>
            </m:r>
            <m:r>
              <m:rPr>
                <m:sty m:val="p"/>
              </m:rPr>
              <m:t>⊢</m:t>
            </m:r>
            <m:r>
              <m:t> </m:t>
            </m:r>
            <m:r>
              <m:t>f</m:t>
            </m:r>
            <m:r>
              <m:t> </m:t>
            </m:r>
            <m:r>
              <m:rPr>
                <m:sty m:val="p"/>
              </m:rPr>
              <m:t>:</m:t>
            </m:r>
            <m:r>
              <m:t> </m:t>
            </m:r>
            <m:r>
              <m:rPr>
                <m:sty m:val="p"/>
              </m:rPr>
              <m:t>∀</m:t>
            </m:r>
            <m:r>
              <m:t>α</m:t>
            </m:r>
            <m:r>
              <m:rPr>
                <m:sty m:val="p"/>
              </m:rPr>
              <m:t>.</m:t>
            </m:r>
            <m:r>
              <m:t> </m:t>
            </m:r>
            <m:r>
              <m:t>A</m:t>
            </m:r>
            <m:r>
              <m:t>m</m:t>
            </m:r>
            <m:r>
              <m:t>t</m:t>
            </m:r>
            <m:r>
              <m:rPr>
                <m:sty m:val="p"/>
              </m:rPr>
              <m:t>[</m:t>
            </m:r>
            <m:r>
              <m:t>α</m:t>
            </m:r>
            <m:r>
              <m:rPr>
                <m:sty m:val="p"/>
              </m:rPr>
              <m:t>]</m:t>
            </m:r>
            <m:r>
              <m:t> </m:t>
            </m:r>
            <m:r>
              <m:t> </m:t>
            </m:r>
            <m:r>
              <m:t> </m:t>
            </m:r>
            <m:r>
              <m:t> </m:t>
            </m:r>
            <m:r>
              <m:t>c</m:t>
            </m:r>
            <m:r>
              <m:t> </m:t>
            </m:r>
            <m:r>
              <m:rPr>
                <m:sty m:val="p"/>
              </m:rPr>
              <m:t>∈</m:t>
            </m:r>
            <m:r>
              <m:t> </m:t>
            </m:r>
            <m:r>
              <m:t>I</m:t>
            </m:r>
            <m:r>
              <m:t>S</m:t>
            </m:r>
            <m:r>
              <m:t>O</m:t>
            </m:r>
            <m:r>
              <m:rPr>
                <m:sty m:val="p"/>
              </m:rPr>
              <m:t>−</m:t>
            </m:r>
            <m:r>
              <m:t>4217</m:t>
            </m:r>
            <m:r>
              <m:t> </m:t>
            </m:r>
          </m:num>
          <m:den>
            <m:r>
              <m:rPr>
                <m:sty m:val="p"/>
              </m:rPr>
              <m:t>Γ</m:t>
            </m:r>
            <m:r>
              <m:t> </m:t>
            </m:r>
            <m:r>
              <m:rPr>
                <m:sty m:val="p"/>
              </m:rPr>
              <m:t>⊢</m:t>
            </m:r>
            <m:r>
              <m:t> </m:t>
            </m:r>
            <m:r>
              <m:t>f</m:t>
            </m:r>
            <m:r>
              <m:rPr>
                <m:sty m:val="p"/>
              </m:rPr>
              <m:t>@</m:t>
            </m:r>
            <m:r>
              <m:t>c</m:t>
            </m:r>
            <m:r>
              <m:t> </m:t>
            </m:r>
            <m:r>
              <m:rPr>
                <m:sty m:val="p"/>
              </m:rPr>
              <m:t>:</m:t>
            </m:r>
            <m:r>
              <m:t> </m:t>
            </m:r>
            <m:r>
              <m:t>A</m:t>
            </m:r>
            <m:r>
              <m:t>m</m:t>
            </m:r>
            <m:r>
              <m:t>t</m:t>
            </m:r>
            <m:r>
              <m:rPr>
                <m:sty m:val="p"/>
              </m:rPr>
              <m:t>[</m:t>
            </m:r>
            <m:r>
              <m:t>c</m:t>
            </m:r>
            <m:r>
              <m:rPr>
                <m:sty m:val="p"/>
              </m:rPr>
              <m:t>]</m:t>
            </m:r>
          </m:den>
        </m:f>
      </m:oMath>
    </w:p>
    <w:bookmarkEnd w:id="44"/>
    <w:bookmarkStart w:id="71" w:name="type-system-summary"/>
    <w:p>
      <w:pPr>
        <w:pStyle w:val="Heading4"/>
      </w:pPr>
      <w:r>
        <w:t xml:space="preserve">4.1.3 Type System Summary</w:t>
      </w:r>
    </w:p>
    <w:tbl>
      <w:tblPr>
        <w:tblStyle w:val="Table"/>
        <w:tblW w:type="pct" w:w="4625"/>
        <w:tblLayout w:type="fixed"/>
        <w:tblLook w:firstRow="1" w:lastRow="0" w:firstColumn="0" w:lastColumn="0" w:noHBand="0" w:noVBand="0" w:val="0020"/>
      </w:tblPr>
      <w:tblGrid>
        <w:gridCol w:w="3211"/>
        <w:gridCol w:w="748"/>
        <w:gridCol w:w="3365"/>
      </w:tblGrid>
      <w:tr>
        <w:trPr>
          <w:tblHeader w:val="on"/>
        </w:trPr>
        <w:tc>
          <w:tcPr/>
          <w:p>
            <w:pPr>
              <w:pStyle w:val="Heading4"/>
            </w:pPr>
            <w:bookmarkStart w:id="45" w:name="expression"/>
            <w:r>
              <w:t xml:space="preserve"> </w:t>
            </w:r>
            <w:r>
              <w:t xml:space="preserve">Expression</w:t>
            </w:r>
            <w:r>
              <w:t xml:space="preserve"> </w:t>
            </w:r>
            <w:bookmarkEnd w:id="45"/>
          </w:p>
        </w:tc>
        <w:tc>
          <w:tcPr/>
          <w:p>
            <w:pPr>
              <w:pStyle w:val="Heading4"/>
            </w:pPr>
            <w:bookmarkStart w:id="46" w:name="valid"/>
            <w:r>
              <w:t xml:space="preserve"> </w:t>
            </w:r>
            <w:r>
              <w:t xml:space="preserve">Valid</w:t>
            </w:r>
            <w:r>
              <w:t xml:space="preserve"> </w:t>
            </w:r>
            <w:bookmarkEnd w:id="46"/>
          </w:p>
        </w:tc>
        <w:tc>
          <w:tcPr/>
          <w:p>
            <w:pPr>
              <w:pStyle w:val="Heading4"/>
            </w:pPr>
            <w:bookmarkStart w:id="47" w:name="reason"/>
            <w:r>
              <w:t xml:space="preserve"> </w:t>
            </w:r>
            <w:r>
              <w:t xml:space="preserve">Reason</w:t>
            </w:r>
            <w:r>
              <w:t xml:space="preserve"> </w:t>
            </w:r>
            <w:bookmarkEnd w:id="47"/>
          </w:p>
        </w:tc>
      </w:tr>
      <w:tr>
        <w:tc>
          <w:tcPr/>
          <w:p>
            <w:pPr>
              <w:pStyle w:val="Heading4"/>
            </w:pPr>
            <w:bookmarkStart w:id="48" w:name="eur-50eur"/>
            <w:r>
              <w:t xml:space="preserve">100&lt;EUR&gt; + 50&lt;EUR&gt;</w:t>
            </w:r>
            <w:r>
              <w:t xml:space="preserve"> </w:t>
            </w:r>
            <w:bookmarkEnd w:id="48"/>
          </w:p>
        </w:tc>
        <w:tc>
          <w:tcPr/>
          <w:p>
            <w:pPr>
              <w:pStyle w:val="Heading4"/>
            </w:pPr>
            <w:bookmarkStart w:id="49" w:name="yes"/>
            <w:r>
              <w:t xml:space="preserve"> </w:t>
            </w:r>
            <w:r>
              <w:t xml:space="preserve">YES</w:t>
            </w:r>
            <w:bookmarkEnd w:id="49"/>
          </w:p>
        </w:tc>
        <w:tc>
          <w:tcPr/>
          <w:p>
            <w:pPr>
              <w:pStyle w:val="Heading4"/>
            </w:pPr>
            <w:bookmarkStart w:id="50" w:name="same-currency"/>
            <w:r>
              <w:t xml:space="preserve">Same currency</w:t>
            </w:r>
            <w:r>
              <w:t xml:space="preserve"> </w:t>
            </w:r>
            <w:bookmarkEnd w:id="50"/>
          </w:p>
        </w:tc>
      </w:tr>
      <w:tr>
        <w:tc>
          <w:tcPr/>
          <w:p>
            <w:pPr>
              <w:pStyle w:val="Heading4"/>
            </w:pPr>
            <w:bookmarkStart w:id="51" w:name="eur-2"/>
            <w:r>
              <w:t xml:space="preserve">100&lt;EUR&gt; * 2</w:t>
            </w:r>
            <w:r>
              <w:t xml:space="preserve"> </w:t>
            </w:r>
            <w:bookmarkEnd w:id="51"/>
          </w:p>
        </w:tc>
        <w:tc>
          <w:tcPr/>
          <w:p>
            <w:pPr>
              <w:pStyle w:val="Heading4"/>
            </w:pPr>
            <w:bookmarkStart w:id="52" w:name="yes-1"/>
            <w:r>
              <w:t xml:space="preserve"> </w:t>
            </w:r>
            <w:r>
              <w:t xml:space="preserve">YES</w:t>
            </w:r>
            <w:bookmarkEnd w:id="52"/>
          </w:p>
        </w:tc>
        <w:tc>
          <w:tcPr/>
          <w:p>
            <w:pPr>
              <w:pStyle w:val="Heading4"/>
            </w:pPr>
            <w:bookmarkStart w:id="53" w:name="scalar-multiplication"/>
            <w:r>
              <w:t xml:space="preserve">Scalar multiplication</w:t>
            </w:r>
            <w:r>
              <w:t xml:space="preserve"> </w:t>
            </w:r>
            <w:bookmarkEnd w:id="53"/>
          </w:p>
        </w:tc>
      </w:tr>
      <w:tr>
        <w:tc>
          <w:tcPr/>
          <w:p>
            <w:pPr>
              <w:pStyle w:val="Heading4"/>
            </w:pPr>
            <w:bookmarkStart w:id="54" w:name="eur"/>
            <w:r>
              <w:t xml:space="preserve">2 * 100&lt;EUR&gt;</w:t>
            </w:r>
            <w:r>
              <w:t xml:space="preserve"> </w:t>
            </w:r>
            <w:bookmarkEnd w:id="54"/>
          </w:p>
        </w:tc>
        <w:tc>
          <w:tcPr/>
          <w:p>
            <w:pPr>
              <w:pStyle w:val="Heading4"/>
            </w:pPr>
            <w:bookmarkStart w:id="55" w:name="yes-2"/>
            <w:r>
              <w:t xml:space="preserve"> </w:t>
            </w:r>
            <w:r>
              <w:t xml:space="preserve">YES</w:t>
            </w:r>
            <w:bookmarkEnd w:id="55"/>
          </w:p>
        </w:tc>
        <w:tc>
          <w:tcPr/>
          <w:p>
            <w:pPr>
              <w:pStyle w:val="Heading4"/>
            </w:pPr>
            <w:bookmarkStart w:id="56" w:name="scalar-multiplication-commutative"/>
            <w:r>
              <w:t xml:space="preserve">Scalar multiplication (commutative)</w:t>
            </w:r>
            <w:r>
              <w:t xml:space="preserve"> </w:t>
            </w:r>
            <w:bookmarkEnd w:id="56"/>
          </w:p>
        </w:tc>
      </w:tr>
      <w:tr>
        <w:tc>
          <w:tcPr/>
          <w:p>
            <w:pPr>
              <w:pStyle w:val="Heading4"/>
            </w:pPr>
            <w:bookmarkStart w:id="57" w:name="eur-2-1"/>
            <w:r>
              <w:t xml:space="preserve">100&lt;EUR&gt; / 2</w:t>
            </w:r>
            <w:r>
              <w:t xml:space="preserve"> </w:t>
            </w:r>
            <w:bookmarkEnd w:id="57"/>
          </w:p>
        </w:tc>
        <w:tc>
          <w:tcPr/>
          <w:p>
            <w:pPr>
              <w:pStyle w:val="Heading4"/>
            </w:pPr>
            <w:bookmarkStart w:id="58" w:name="yes-3"/>
            <w:r>
              <w:t xml:space="preserve"> </w:t>
            </w:r>
            <w:r>
              <w:t xml:space="preserve">YES</w:t>
            </w:r>
            <w:bookmarkEnd w:id="58"/>
          </w:p>
        </w:tc>
        <w:tc>
          <w:tcPr/>
          <w:p>
            <w:pPr>
              <w:pStyle w:val="Heading4"/>
            </w:pPr>
            <w:bookmarkStart w:id="59" w:name="scalar-division"/>
            <w:r>
              <w:t xml:space="preserve">Scalar division</w:t>
            </w:r>
            <w:r>
              <w:t xml:space="preserve"> </w:t>
            </w:r>
            <w:bookmarkEnd w:id="59"/>
          </w:p>
        </w:tc>
      </w:tr>
      <w:tr>
        <w:tc>
          <w:tcPr/>
          <w:p>
            <w:pPr>
              <w:pStyle w:val="Heading4"/>
            </w:pPr>
            <w:bookmarkStart w:id="60" w:name="eur-50usd"/>
            <w:r>
              <w:t xml:space="preserve">100&lt;EUR&gt; + 50&lt;USD&gt;</w:t>
            </w:r>
            <w:r>
              <w:t xml:space="preserve"> </w:t>
            </w:r>
            <w:bookmarkEnd w:id="60"/>
          </w:p>
        </w:tc>
        <w:tc>
          <w:tcPr/>
          <w:p>
            <w:pPr>
              <w:pStyle w:val="Heading4"/>
            </w:pPr>
            <w:bookmarkStart w:id="61" w:name="no"/>
            <w:r>
              <w:t xml:space="preserve"> </w:t>
            </w:r>
            <w:r>
              <w:t xml:space="preserve">NO</w:t>
            </w:r>
            <w:bookmarkEnd w:id="61"/>
          </w:p>
        </w:tc>
        <w:tc>
          <w:tcPr/>
          <w:p>
            <w:pPr>
              <w:pStyle w:val="Heading4"/>
            </w:pPr>
            <w:bookmarkStart w:id="62" w:name="mixed-currencies"/>
            <w:r>
              <w:t xml:space="preserve">Mixed currencies</w:t>
            </w:r>
            <w:r>
              <w:t xml:space="preserve"> </w:t>
            </w:r>
            <w:bookmarkEnd w:id="62"/>
          </w:p>
        </w:tc>
      </w:tr>
      <w:tr>
        <w:tc>
          <w:tcPr/>
          <w:p>
            <w:pPr>
              <w:pStyle w:val="Heading4"/>
            </w:pPr>
            <w:bookmarkStart w:id="63" w:name="eur-50"/>
            <w:r>
              <w:t xml:space="preserve">100&lt;EUR&gt; + 50</w:t>
            </w:r>
            <w:r>
              <w:t xml:space="preserve"> </w:t>
            </w:r>
            <w:bookmarkEnd w:id="63"/>
          </w:p>
        </w:tc>
        <w:tc>
          <w:tcPr/>
          <w:p>
            <w:pPr>
              <w:pStyle w:val="Heading4"/>
            </w:pPr>
            <w:bookmarkStart w:id="64" w:name="no-1"/>
            <w:r>
              <w:t xml:space="preserve"> </w:t>
            </w:r>
            <w:r>
              <w:t xml:space="preserve">NO</w:t>
            </w:r>
            <w:bookmarkEnd w:id="64"/>
          </w:p>
        </w:tc>
        <w:tc>
          <w:tcPr>
            <w:vMerge w:val="restart"/>
          </w:tcPr>
          <w:p>
            <w:pPr>
              <w:pStyle w:val="Heading4"/>
            </w:pPr>
            <w:bookmarkStart w:id="65" w:name="Xeeea29459ac5a7a581d5cdca88c01055815c2c3"/>
            <w:r>
              <w:t xml:space="preserve">Cannot add/subtract dimensionless to dimensioned</w:t>
            </w:r>
            <w:r>
              <w:t xml:space="preserve"> </w:t>
            </w:r>
            <w:bookmarkEnd w:id="65"/>
          </w:p>
        </w:tc>
      </w:tr>
      <w:tr>
        <w:tc>
          <w:tcPr/>
          <w:p>
            <w:pPr>
              <w:pStyle w:val="Heading4"/>
            </w:pPr>
            <w:bookmarkStart w:id="66" w:name="eur---50"/>
            <w:r>
              <w:t xml:space="preserve">100&lt;EUR&gt; - 50</w:t>
            </w:r>
            <w:r>
              <w:t xml:space="preserve"> </w:t>
            </w:r>
            <w:bookmarkEnd w:id="66"/>
          </w:p>
        </w:tc>
        <w:tc>
          <w:tcPr/>
          <w:p>
            <w:pPr>
              <w:pStyle w:val="Heading4"/>
            </w:pPr>
            <w:bookmarkStart w:id="67" w:name="no-2"/>
            <w:r>
              <w:t xml:space="preserve"> </w:t>
            </w:r>
            <w:r>
              <w:t xml:space="preserve">NO</w:t>
            </w:r>
            <w:bookmarkEnd w:id="67"/>
          </w:p>
        </w:tc>
        <w:tc>
          <w:tcPr>
            <w:gridSpan w:val="1"/>
            <w:vMerge w:val="continue"/>
          </w:tcPr>
          <w:p>
            <w:pPr/>
          </w:p>
        </w:tc>
      </w:tr>
      <w:tr>
        <w:tc>
          <w:tcPr/>
          <w:p>
            <w:pPr>
              <w:pStyle w:val="Heading4"/>
            </w:pPr>
            <w:bookmarkStart w:id="68" w:name="convertx-usd-eur-50eur"/>
            <w:r>
              <w:t xml:space="preserve">CONVERT(x, USD, EUR) + 50&lt;EUR&gt;</w:t>
            </w:r>
            <w:r>
              <w:t xml:space="preserve"> </w:t>
            </w:r>
            <w:bookmarkEnd w:id="68"/>
          </w:p>
        </w:tc>
        <w:tc>
          <w:tcPr/>
          <w:p>
            <w:pPr>
              <w:pStyle w:val="Heading4"/>
            </w:pPr>
            <w:bookmarkStart w:id="69" w:name="yes-4"/>
            <w:r>
              <w:t xml:space="preserve"> </w:t>
            </w:r>
            <w:r>
              <w:t xml:space="preserve">YES</w:t>
            </w:r>
            <w:bookmarkEnd w:id="69"/>
          </w:p>
        </w:tc>
        <w:tc>
          <w:tcPr/>
          <w:p>
            <w:pPr>
              <w:pStyle w:val="Heading4"/>
            </w:pPr>
            <w:bookmarkStart w:id="70" w:name="explicit-conversion"/>
            <w:r>
              <w:t xml:space="preserve">Explicit conversion</w:t>
            </w:r>
            <w:r>
              <w:t xml:space="preserve"> </w:t>
            </w:r>
            <w:bookmarkEnd w:id="70"/>
          </w:p>
        </w:tc>
      </w:tr>
    </w:tbl>
    <w:p>
      <w:pPr>
        <w:pStyle w:val="FirstParagraph"/>
      </w:pPr>
      <w:r>
        <w:t xml:space="preserve">Dimensionless numbers (Num) cannot be added to or subtracted from currency amounts (Amt[c]). This design decision prevents ambiguous expressions like 100&lt;EUR&gt; + 50 where the intended currency of 50 is unclear - 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bookmarkEnd w:id="71"/>
    <w:bookmarkStart w:id="72" w:name="type-safety"/>
    <w:p>
      <w:pPr>
        <w:pStyle w:val="Heading4"/>
      </w:pPr>
      <w:r>
        <w:t xml:space="preserve">4.1.4 Type Safety</w:t>
      </w:r>
    </w:p>
    <w:p>
      <w:pPr>
        <w:pStyle w:val="FirstParagraph"/>
      </w:pPr>
      <w:r>
        <w:rPr>
          <w:b/>
          <w:bCs/>
        </w:rPr>
        <w:t xml:space="preserve">Theorem 1 (Type Soundness).</w:t>
      </w:r>
      <w:r>
        <w:t xml:space="preserve"> </w:t>
      </w:r>
      <w:r>
        <w:t xml:space="preserve">If program P type-checks under environment Γ (written Γ ⊢ P : ok), then during evaluation:</w:t>
      </w:r>
    </w:p>
    <w:p>
      <w:pPr>
        <w:numPr>
          <w:ilvl w:val="0"/>
          <w:numId w:val="1008"/>
        </w:numPr>
      </w:pPr>
      <w:r>
        <w:t xml:space="preserve">Every arithmetic expression evaluates without currency mismatch errors</w:t>
      </w:r>
    </w:p>
    <w:p>
      <w:pPr>
        <w:numPr>
          <w:ilvl w:val="0"/>
          <w:numId w:val="1008"/>
        </w:numPr>
      </w:pPr>
      <w:r>
        <w:t xml:space="preserve">Every fee f computes to a value of its declared type</w:t>
      </w:r>
    </w:p>
    <w:p>
      <w:pPr>
        <w:numPr>
          <w:ilvl w:val="0"/>
          <w:numId w:val="1008"/>
        </w:numPr>
      </w:pPr>
      <w:r>
        <w:t xml:space="preserve">Currency conversions occur only where CONVERT is explicitly used</w:t>
      </w:r>
    </w:p>
    <w:p>
      <w:pPr>
        <w:pStyle w:val="FirstParagraph"/>
      </w:pPr>
      <w:r>
        <w:rPr>
          <w:b/>
          <w:bCs/>
          <w:i/>
          <w:iCs/>
        </w:rPr>
        <w:t xml:space="preserve">Soundness Argument.</w:t>
      </w:r>
      <w:r>
        <w:t xml:space="preserve"> </w:t>
      </w:r>
      <w:r>
        <w:t xml:space="preserve">The type rules enforce currency consistency at each AST node through the following mechanisms:</w:t>
      </w:r>
    </w:p>
    <w:p>
      <w:pPr>
        <w:numPr>
          <w:ilvl w:val="0"/>
          <w:numId w:val="1009"/>
        </w:numPr>
      </w:pPr>
      <w:r>
        <w:rPr>
          <w:b/>
          <w:bCs/>
        </w:rPr>
        <w:t xml:space="preserve">Currency preservation in arithmetic:</w:t>
      </w:r>
      <w:r>
        <w:t xml:space="preserve"> </w:t>
      </w:r>
      <w:r>
        <w:t xml:space="preserve">Rule T-ADD-AMT requires both operands of addition to have type Amt[c] for the same currency c; no rule permits Amt[c₁] + Amt[c₂] when c₁ ≠ c₂. Similarly, T-SUB-AMT enforces matching currencies for subtraction. Rules T-MUL-SCALAR-R, T-MUL-SCALAR-L, and T-DIV-AMT-SCALAR preserve the currency tag through scalar operations. By design, no rule permits adding a dimensionless number to a currency amount (e.g., 100&lt;EUR&gt; + 50 is rejected), as this would introduce dimensional ambiguity.</w:t>
      </w:r>
    </w:p>
    <w:p>
      <w:pPr>
        <w:numPr>
          <w:ilvl w:val="0"/>
          <w:numId w:val="1009"/>
        </w:numPr>
      </w:pPr>
      <w:r>
        <w:rPr>
          <w:b/>
          <w:bCs/>
        </w:rPr>
        <w:t xml:space="preserve">Explicit conversion requirement:</w:t>
      </w:r>
      <w:r>
        <w:t xml:space="preserve"> </w:t>
      </w:r>
      <w:r>
        <w:t xml:space="preserve">Rule T-CONVERT is the only 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pPr>
        <w:numPr>
          <w:ilvl w:val="0"/>
          <w:numId w:val="1009"/>
        </w:numPr>
      </w:pPr>
      <w:r>
        <w:rPr>
          <w:b/>
          <w:bCs/>
        </w:rPr>
        <w:t xml:space="preserve">Implementation correspondence:</w:t>
      </w:r>
      <w:r>
        <w:t xml:space="preserve"> </w:t>
      </w:r>
      <w:r>
        <w:t xml:space="preserve">The type checker implements these rules via depth-first AST traversal. Method InferArithmeticType() implements T-ADD-AMT, T-SUB-AMT, T-MUL-SCALAR-R, T-MUL-SCALAR-L, and T-DIV-AMT-SCALAR. Method InferConvertType() implements T-CONVERT with explicit source currency verification. Type errors are reported via TypeError.MixedCurrencyArithmetic() before evaluation begins.</w:t>
      </w:r>
    </w:p>
    <w:p>
      <w:pPr>
        <w:pStyle w:val="FirstParagraph"/>
      </w:pPr>
      <w:r>
        <w:t xml:space="preserve">This establishes type soundness informally. A formal proof in the style of Wright and Felleisen [27] would require defining operational semantics and proving progress and preservation lemmas; we leave such endeavor to future work. The implementation test suite (260 tests, including 31 currency type safety tests) provides empirical validation that the type checker correctly rejects ill-typed programs and accepts well-typed ones.</w:t>
      </w:r>
    </w:p>
    <w:bookmarkEnd w:id="72"/>
    <w:bookmarkEnd w:id="73"/>
    <w:bookmarkStart w:id="79" w:name="completeness-analysis"/>
    <w:p>
      <w:pPr>
        <w:pStyle w:val="Heading3"/>
      </w:pPr>
      <w:r>
        <w:t xml:space="preserve">4.2 Completeness Analysis</w:t>
      </w:r>
    </w:p>
    <w:p>
      <w:pPr>
        <w:pStyle w:val="FirstParagraph"/>
      </w:pPr>
      <w:r>
        <w:t xml:space="preserve">IPFLang supports static analysis to determine whether fee computations produce defined outputs for all valid input combinations. The analysis operates in two modes:</w:t>
      </w:r>
      <w:r>
        <w:t xml:space="preserve"> </w:t>
      </w:r>
      <w:r>
        <w:rPr>
          <w:i/>
          <w:iCs/>
        </w:rPr>
        <w:t xml:space="preserve">exhaustive verification</w:t>
      </w:r>
      <w:r>
        <w:t xml:space="preserve"> </w:t>
      </w:r>
      <w:r>
        <w:t xml:space="preserve">for small domains and</w:t>
      </w:r>
      <w:r>
        <w:t xml:space="preserve"> </w:t>
      </w:r>
      <w:r>
        <w:rPr>
          <w:i/>
          <w:iCs/>
        </w:rPr>
        <w:t xml:space="preserve">boundary-based testing</w:t>
      </w:r>
      <w:r>
        <w:t xml:space="preserve"> </w:t>
      </w:r>
      <w:r>
        <w:t xml:space="preserve">for large domains.</w:t>
      </w:r>
    </w:p>
    <w:bookmarkStart w:id="74" w:name="formal-definitions"/>
    <w:p>
      <w:pPr>
        <w:pStyle w:val="Heading4"/>
      </w:pPr>
      <w:r>
        <w:t xml:space="preserve">4.2.1 Formal Definitions</w:t>
      </w:r>
    </w:p>
    <w:p>
      <w:pPr>
        <w:pStyle w:val="FirstParagraph"/>
      </w:pPr>
      <w:r>
        <w:rPr>
          <w:b/>
          <w:bCs/>
        </w:rPr>
        <w:t xml:space="preserve">Definition 1 (Input Domain).</w:t>
      </w:r>
      <w:r>
        <w:t xml:space="preserve"> </w:t>
      </w:r>
      <w:r>
        <w:t xml:space="preserve">Each input declaration defines a semantic domain: - NUMBER BETWEEN m AND M defines Dom = {n ∈ ℤ : m ≤ n ≤ M} - BOOLEAN defines Dom = {TRUE, FALSE} - LIST with choices {c₁, …, cₖ} defines Dom = {c₁, …, cₖ} - MULTILIST with choices {c₁, …, cₖ} defines Dom = P({c₁, …, cₖ})</w:t>
      </w:r>
    </w:p>
    <w:p>
      <w:pPr>
        <w:pStyle w:val="BodyText"/>
      </w:pPr>
      <w:r>
        <w:rPr>
          <w:b/>
          <w:bCs/>
        </w:rPr>
        <w:t xml:space="preserve">Definition 2 (Valuation Space).</w:t>
      </w:r>
      <w:r>
        <w:t xml:space="preserve"> </w:t>
      </w:r>
      <w:r>
        <w:t xml:space="preserve">The valuation space Σ is the Cartesian product of all input domains: Σ = Dom₁ × Dom₂ × … × Domₘ</w:t>
      </w:r>
    </w:p>
    <w:p>
      <w:pPr>
        <w:pStyle w:val="BodyText"/>
      </w:pPr>
      <w:r>
        <w:rPr>
          <w:b/>
          <w:bCs/>
        </w:rPr>
        <w:t xml:space="preserve">Definition 3 (Coverage).</w:t>
      </w:r>
      <w:r>
        <w:t xml:space="preserve"> </w:t>
      </w:r>
      <w:r>
        <w:t xml:space="preserve">For fee f with conditional yields guarded by conditions φ₁, …, φₙ, the coverage is:</w:t>
      </w:r>
    </w:p>
    <w:p>
      <w:pPr>
        <w:pStyle w:val="BodyText"/>
      </w:pPr>
      <w:r>
        <w:t xml:space="preserve">Cov(f) = {σ∈Σ:∃i.σ⊨φi}</w:t>
      </w:r>
    </w:p>
    <w:p>
      <w:pPr>
        <w:pStyle w:val="BodyText"/>
      </w:pPr>
      <w:r>
        <w:rPr>
          <w:b/>
          <w:bCs/>
        </w:rPr>
        <w:t xml:space="preserve">Definition 4 (Completeness).</w:t>
      </w:r>
      <w:r>
        <w:t xml:space="preserve"> </w:t>
      </w:r>
      <w:r>
        <w:t xml:space="preserve">Fee f is</w:t>
      </w:r>
      <w:r>
        <w:t xml:space="preserve"> </w:t>
      </w:r>
      <w:r>
        <w:rPr>
          <w:i/>
          <w:iCs/>
        </w:rPr>
        <w:t xml:space="preserve">complete</w:t>
      </w:r>
      <w:r>
        <w:t xml:space="preserve"> </w:t>
      </w:r>
      <w:r>
        <w:t xml:space="preserve">if Cov(f) = Σ, equivalently if φ₁ ∨ … ∨ φₙ is valid over Σ.</w:t>
      </w:r>
    </w:p>
    <w:bookmarkEnd w:id="74"/>
    <w:bookmarkStart w:id="75" w:name="analysis-algorithm"/>
    <w:p>
      <w:pPr>
        <w:pStyle w:val="Heading4"/>
      </w:pPr>
      <w:r>
        <w:t xml:space="preserve">4.2.2 Analysis Algorithm</w:t>
      </w:r>
    </w:p>
    <w:p>
      <w:pPr>
        <w:pStyle w:val="FirstParagraph"/>
      </w:pPr>
      <w:r>
        <w:t xml:space="preserve">The completeness analysis employs two strategies depending on domain size:</w:t>
      </w:r>
    </w:p>
    <w:p>
      <w:pPr>
        <w:pStyle w:val="SourceCode"/>
      </w:pPr>
      <w:r>
        <w:rPr>
          <w:rStyle w:val="VerbatimChar"/>
        </w:rPr>
        <w:t xml:space="preserve">Algorithm 1: Completeness Analysis</w:t>
      </w:r>
      <w:r>
        <w:br/>
      </w:r>
      <w:r>
        <w:rPr>
          <w:rStyle w:val="VerbatimChar"/>
        </w:rPr>
        <w:t xml:space="preserve">─────────────────────────────────────────────────────────────────────</w:t>
      </w:r>
      <w:r>
        <w:br/>
      </w:r>
      <w:r>
        <w:rPr>
          <w:rStyle w:val="VerbatimChar"/>
        </w:rPr>
        <w:t xml:space="preserve">Input:  Fee f with conditions Φ = {φ₁, ..., φₙ}</w:t>
      </w:r>
      <w:r>
        <w:br/>
      </w:r>
      <w:r>
        <w:rPr>
          <w:rStyle w:val="VerbatimChar"/>
        </w:rPr>
        <w:t xml:space="preserve">        Input domains D = {D₁, ..., Dₘ}</w:t>
      </w:r>
      <w:r>
        <w:br/>
      </w:r>
      <w:r>
        <w:rPr>
          <w:rStyle w:val="VerbatimChar"/>
        </w:rPr>
        <w:t xml:space="preserve">Output: (complete: Bool, gaps: Set⟨InputCombination⟩)</w:t>
      </w:r>
      <w:r>
        <w:br/>
      </w:r>
      <w:r>
        <w:br/>
      </w:r>
      <w:r>
        <w:rPr>
          <w:rStyle w:val="VerbatimChar"/>
        </w:rPr>
        <w:t xml:space="preserve"> 1: Σ ← D₁ × D₂ × ... × Dₘ                    // Valuation space</w:t>
      </w:r>
      <w:r>
        <w:br/>
      </w:r>
      <w:r>
        <w:rPr>
          <w:rStyle w:val="VerbatimChar"/>
        </w:rPr>
        <w:t xml:space="preserve"> 2: |Σ| ← ∏ᵢ |Dᵢ|                             // Domain size</w:t>
      </w:r>
      <w:r>
        <w:br/>
      </w:r>
      <w:r>
        <w:rPr>
          <w:rStyle w:val="VerbatimChar"/>
        </w:rPr>
        <w:t xml:space="preserve"> 3: gaps ← ∅</w:t>
      </w:r>
      <w:r>
        <w:br/>
      </w:r>
      <w:r>
        <w:rPr>
          <w:rStyle w:val="VerbatimChar"/>
        </w:rPr>
        <w:t xml:space="preserve"> 4:</w:t>
      </w:r>
      <w:r>
        <w:br/>
      </w:r>
      <w:r>
        <w:rPr>
          <w:rStyle w:val="VerbatimChar"/>
        </w:rPr>
        <w:t xml:space="preserve"> 5: if |Σ| ≤ EXHAUSTIVE_THRESHOLD then        // Default: 10⁶</w:t>
      </w:r>
      <w:r>
        <w:br/>
      </w:r>
      <w:r>
        <w:rPr>
          <w:rStyle w:val="VerbatimChar"/>
        </w:rPr>
        <w:t xml:space="preserve"> 6:     // EXHAUSTIVE VERIFICATION (provides formal guarantee)</w:t>
      </w:r>
      <w:r>
        <w:br/>
      </w:r>
      <w:r>
        <w:rPr>
          <w:rStyle w:val="VerbatimChar"/>
        </w:rPr>
        <w:t xml:space="preserve"> 7:     for each σ ∈ Σ do</w:t>
      </w:r>
      <w:r>
        <w:br/>
      </w:r>
      <w:r>
        <w:rPr>
          <w:rStyle w:val="VerbatimChar"/>
        </w:rPr>
        <w:t xml:space="preserve"> 8:         if ¬∃φᵢ ∈ Φ : σ ⊨ φᵢ then</w:t>
      </w:r>
      <w:r>
        <w:br/>
      </w:r>
      <w:r>
        <w:rPr>
          <w:rStyle w:val="VerbatimChar"/>
        </w:rPr>
        <w:t xml:space="preserve"> 9:             gaps ← gaps ∪ {σ}</w:t>
      </w:r>
      <w:r>
        <w:br/>
      </w:r>
      <w:r>
        <w:rPr>
          <w:rStyle w:val="VerbatimChar"/>
        </w:rPr>
        <w:t xml:space="preserve">10:             if |gaps| ≥ MAX_GAPS then break</w:t>
      </w:r>
      <w:r>
        <w:br/>
      </w:r>
      <w:r>
        <w:rPr>
          <w:rStyle w:val="VerbatimChar"/>
        </w:rPr>
        <w:t xml:space="preserve">11: else</w:t>
      </w:r>
      <w:r>
        <w:br/>
      </w:r>
      <w:r>
        <w:rPr>
          <w:rStyle w:val="VerbatimChar"/>
        </w:rPr>
        <w:t xml:space="preserve">12:     // BOUNDARY-BASED TESTING (heuristic, no formal guarantee)</w:t>
      </w:r>
      <w:r>
        <w:br/>
      </w:r>
      <w:r>
        <w:rPr>
          <w:rStyle w:val="VerbatimChar"/>
        </w:rPr>
        <w:t xml:space="preserve">13:     S ← SampleRepresentative(D)           // Boundary sampling</w:t>
      </w:r>
      <w:r>
        <w:br/>
      </w:r>
      <w:r>
        <w:rPr>
          <w:rStyle w:val="VerbatimChar"/>
        </w:rPr>
        <w:t xml:space="preserve">14:     for each σ ∈ S do</w:t>
      </w:r>
      <w:r>
        <w:br/>
      </w:r>
      <w:r>
        <w:rPr>
          <w:rStyle w:val="VerbatimChar"/>
        </w:rPr>
        <w:t xml:space="preserve">15:         if ¬∃φᵢ ∈ Φ : σ ⊨ φᵢ then</w:t>
      </w:r>
      <w:r>
        <w:br/>
      </w:r>
      <w:r>
        <w:rPr>
          <w:rStyle w:val="VerbatimChar"/>
        </w:rPr>
        <w:t xml:space="preserve">16:             gaps ← gaps ∪ {σ}</w:t>
      </w:r>
      <w:r>
        <w:br/>
      </w:r>
      <w:r>
        <w:rPr>
          <w:rStyle w:val="VerbatimChar"/>
        </w:rPr>
        <w:t xml:space="preserve">17:</w:t>
      </w:r>
      <w:r>
        <w:br/>
      </w:r>
      <w:r>
        <w:rPr>
          <w:rStyle w:val="VerbatimChar"/>
        </w:rPr>
        <w:t xml:space="preserve">18: return (gaps = ∅, gaps)</w:t>
      </w:r>
    </w:p>
    <w:bookmarkEnd w:id="75"/>
    <w:bookmarkStart w:id="76" w:name="complexity-analysis"/>
    <w:p>
      <w:pPr>
        <w:pStyle w:val="Heading4"/>
      </w:pPr>
      <w:r>
        <w:t xml:space="preserve">4.2.3 Complexity Analysis</w:t>
      </w:r>
    </w:p>
    <w:p>
      <w:pPr>
        <w:pStyle w:val="FirstParagraph"/>
      </w:pPr>
      <w:r>
        <w:rPr>
          <w:b/>
          <w:bCs/>
        </w:rPr>
        <w:t xml:space="preserve">Theorem 2 (Verification Complexity).</w:t>
      </w:r>
      <w:r>
        <w:t xml:space="preserve"> </w:t>
      </w:r>
      <w:r>
        <w:t xml:space="preserve">Let n = |Φ| (number of yield conditions), m = |D| (number of inputs), k = average condition evaluation cost (typically O(m) for conjunctive conditions), and N = |Σ| (domain size).</w:t>
      </w:r>
    </w:p>
    <w:p>
      <w:pPr>
        <w:pStyle w:val="Compact"/>
        <w:numPr>
          <w:ilvl w:val="0"/>
          <w:numId w:val="1010"/>
        </w:numPr>
      </w:pPr>
      <w:r>
        <w:rPr>
          <w:b/>
          <w:bCs/>
        </w:rPr>
        <w:t xml:space="preserve">Exhaustive verification</w:t>
      </w:r>
      <w:r>
        <w:t xml:space="preserve"> </w:t>
      </w:r>
      <w:r>
        <w:t xml:space="preserve">(N ≤ 10⁶): O(N · n · k) time, O(|gaps|) space. Provides formal guarantee.</w:t>
      </w:r>
    </w:p>
    <w:p>
      <w:pPr>
        <w:pStyle w:val="Compact"/>
        <w:numPr>
          <w:ilvl w:val="0"/>
          <w:numId w:val="1010"/>
        </w:numPr>
      </w:pPr>
      <w:r>
        <w:rPr>
          <w:b/>
          <w:bCs/>
        </w:rPr>
        <w:t xml:space="preserve">Boundary-based testing</w:t>
      </w:r>
      <w:r>
        <w:t xml:space="preserve"> </w:t>
      </w:r>
      <w:r>
        <w:t xml:space="preserve">(N &gt; 10⁶): O(S · n · k) time where S = O(5ᵐ) for boundary sampling with 5 representatives per domain. Provides heuristic assurance only.</w:t>
      </w:r>
    </w:p>
    <w:p>
      <w:pPr>
        <w:pStyle w:val="FirstParagraph"/>
      </w:pPr>
      <w:r>
        <w:t xml:space="preserve">For MULTILIST inputs, domain size grows exponentially: k choices yield 2</w:t>
      </w:r>
      <w:r>
        <w:rPr>
          <w:vertAlign w:val="superscript"/>
        </w:rPr>
        <w:t xml:space="preserve">k</w:t>
      </w:r>
      <w:r>
        <w:t xml:space="preserve"> </w:t>
      </w:r>
      <w:r>
        <w:t xml:space="preserve">possible selections. A single MULTILIST with 20 choices produces approximately 10</w:t>
      </w:r>
      <w:r>
        <w:rPr>
          <w:vertAlign w:val="superscript"/>
        </w:rPr>
        <w:t xml:space="preserve">6</w:t>
      </w:r>
      <w:r>
        <w:t xml:space="preserve"> </w:t>
      </w:r>
      <w:r>
        <w:t xml:space="preserve">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bookmarkEnd w:id="76"/>
    <w:bookmarkStart w:id="77" w:name="sampling-strategy"/>
    <w:p>
      <w:pPr>
        <w:pStyle w:val="Heading4"/>
      </w:pPr>
      <w:r>
        <w:t xml:space="preserve">4.2.4 Sampling Strategy</w:t>
      </w:r>
    </w:p>
    <w:p>
      <w:pPr>
        <w:pStyle w:val="FirstParagraph"/>
      </w:pPr>
      <w:r>
        <w:t xml:space="preserve">The SampleRepresentative function generates a representative subset of the valuation space:</w:t>
      </w:r>
    </w:p>
    <w:p>
      <w:pPr>
        <w:pStyle w:val="BodyText"/>
      </w:pPr>
      <w:r>
        <w:t xml:space="preserve">Function SampleRepresentative(D, Φ):</w:t>
      </w:r>
      <w:r>
        <w:br/>
      </w:r>
      <w:r>
        <w:t xml:space="preserve">Input: Domain specifications D = {D₁, ..., Dₘ}, conditions Φ</w:t>
      </w:r>
      <w:r>
        <w:br/>
      </w:r>
      <w:r>
        <w:t xml:space="preserve">Output: Representative sample S ⊆ D₁ × ... × Dₘ</w:t>
      </w:r>
    </w:p>
    <w:p>
      <w:pPr>
        <w:pStyle w:val="BodyText"/>
      </w:pPr>
      <w:r>
        <w:t xml:space="preserve">1: for i = 1 to m do</w:t>
      </w:r>
      <w:r>
        <w:br/>
      </w:r>
      <w:r>
        <w:t xml:space="preserve">2: case Dᵢ of</w:t>
      </w:r>
      <w:r>
        <w:br/>
      </w:r>
      <w:r>
        <w:t xml:space="preserve">3: NUMBER [min, max]:</w:t>
      </w:r>
      <w:r>
        <w:br/>
      </w:r>
      <w:r>
        <w:t xml:space="preserve">4: Sᵢ ← {min, min+1, ⌊(min+max)/2⌋, max-1, max}</w:t>
      </w:r>
      <w:r>
        <w:br/>
      </w:r>
      <w:r>
        <w:t xml:space="preserve">5: Sᵢ ← Sᵢ ∪ {t : t appears as threshold in Φ for variable i}</w:t>
      </w:r>
      <w:r>
        <w:br/>
      </w:r>
      <w:r>
        <w:t xml:space="preserve">6: BOOLEAN:</w:t>
      </w:r>
      <w:r>
        <w:br/>
      </w:r>
      <w:r>
        <w:t xml:space="preserve">7: Sᵢ ← {TRUE, FALSE}</w:t>
      </w:r>
      <w:r>
        <w:br/>
      </w:r>
      <w:r>
        <w:t xml:space="preserve">8: LIST {c₁, ..., cₖ}:</w:t>
      </w:r>
      <w:r>
        <w:br/>
      </w:r>
      <w:r>
        <w:t xml:space="preserve">9: Sᵢ ← {c₁, ..., cₖ}</w:t>
      </w:r>
      <w:r>
        <w:br/>
      </w:r>
      <w:r>
        <w:t xml:space="preserve">10: MULTILIST {c₁, ..., cₖ}:</w:t>
      </w:r>
      <w:r>
        <w:br/>
      </w:r>
      <w:r>
        <w:t xml:space="preserve">11: Sᵢ ← {∅} ∪ {{cⱼ} : j = 1..k} ∪ {{c₁, ..., cₖ}}</w:t>
      </w:r>
      <w:r>
        <w:br/>
      </w:r>
      <w:r>
        <w:t xml:space="preserve">12: return S₁ × S₂ × ... × Sₘ</w:t>
      </w:r>
    </w:p>
    <w:p>
      <w:pPr>
        <w:pStyle w:val="BodyText"/>
      </w:pPr>
      <w:r>
        <w:t xml:space="preserve">For numeric domains [min, max], the representative sampling selects boundary values (min and max), near-boundary values (min+1 and max-1), the midpoint ⌊(min+max)/2⌋, and threshold values extracted from conditions in Φ (e.g., the values 15 and 50 appearing in ClaimCount GT 15). For Boolean domains, both values are included exhaustively. For LIST domains, all choices are included. For MULTILIST domains, sampling includes the empty set, all singleton sets, and the full set - this captures boundary behavior while avoiding exponential enumeration.</w:t>
      </w:r>
    </w:p>
    <w:bookmarkEnd w:id="77"/>
    <w:bookmarkStart w:id="78" w:name="soundness-and-guarantees"/>
    <w:p>
      <w:pPr>
        <w:pStyle w:val="Heading4"/>
      </w:pPr>
      <w:r>
        <w:t xml:space="preserve">4.2.5 Soundness and Guarantees</w:t>
      </w:r>
    </w:p>
    <w:p>
      <w:pPr>
        <w:pStyle w:val="FirstParagraph"/>
      </w:pPr>
      <w:r>
        <w:rPr>
          <w:b/>
          <w:bCs/>
        </w:rPr>
        <w:t xml:space="preserve">Proposition 1 (Soundness of Exhaustive Mode).</w:t>
      </w:r>
      <w:r>
        <w:t xml:space="preserve"> </w:t>
      </w:r>
      <w:r>
        <w:t xml:space="preserve">If the exhaustive algorithm reports complete, the fee is genuinely complete.</w:t>
      </w:r>
    </w:p>
    <w:p>
      <w:pPr>
        <w:pStyle w:val="BodyText"/>
      </w:pPr>
      <w:r>
        <w:rPr>
          <w:i/>
          <w:iCs/>
        </w:rPr>
        <w:t xml:space="preserve">Proof.</w:t>
      </w:r>
      <w:r>
        <w:t xml:space="preserve"> </w:t>
      </w:r>
      <w:r>
        <w:t xml:space="preserve">The algorithm checks all σ ∈ Σ. If no gap is found, then ∀σ ∈ Σ. ∃φᵢ. σ ⊨ φᵢ, which is the definition of completeness.</w:t>
      </w:r>
    </w:p>
    <w:p>
      <w:pPr>
        <w:pStyle w:val="BodyText"/>
      </w:pPr>
      <w:r>
        <w:rPr>
          <w:b/>
          <w:bCs/>
        </w:rPr>
        <w:t xml:space="preserve">Proposition 2 (Completeness of Exhaustive Mode).</w:t>
      </w:r>
      <w:r>
        <w:t xml:space="preserve"> </w:t>
      </w:r>
      <w:r>
        <w:t xml:space="preserve">If a gap exists, the exhaustive algorithm will find it (up to MAX_GAPS reporting limit).</w:t>
      </w:r>
    </w:p>
    <w:p>
      <w:pPr>
        <w:pStyle w:val="BodyText"/>
      </w:pPr>
      <w:r>
        <w:rPr>
          <w:b/>
          <w:bCs/>
        </w:rPr>
        <w:t xml:space="preserve">Remark (Boundary-Based Testing Limitations).</w:t>
      </w:r>
      <w:r>
        <w:t xml:space="preserve"> </w:t>
      </w:r>
      <w:r>
        <w:t xml:space="preserve">The boundary-based testing mode may produce false negatives (miss gaps that fall between sampled points). It is designed to maximize gap detection for common fee patterns by prioritizing boundary values, threshold values extracted from conditions, and representative samples. This mode does not provide formal guarantees;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pPr>
        <w:pStyle w:val="BodyText"/>
      </w:pPr>
      <w:r>
        <w:rPr>
          <w:b/>
          <w:bCs/>
        </w:rPr>
        <w:t xml:space="preserve">Example - Gap Detection:</w:t>
      </w:r>
    </w:p>
    <w:p>
      <w:pPr>
        <w:pStyle w:val="SourceCode"/>
      </w:pPr>
      <w:r>
        <w:rPr>
          <w:rStyle w:val="VerbatimChar"/>
        </w:rPr>
        <w:t xml:space="preserve">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 xml:space="preserve">ENDCOMPUTE</w:t>
      </w:r>
      <w:r>
        <w:br/>
      </w:r>
      <w:r>
        <w:br/>
      </w:r>
      <w:r>
        <w:rPr>
          <w:rStyle w:val="VerbatimChar"/>
        </w:rPr>
        <w:t xml:space="preserve">VERIFY COMPLETE FEE ClaimFee</w:t>
      </w:r>
    </w:p>
    <w:p>
      <w:pPr>
        <w:pStyle w:val="FirstParagraph"/>
      </w:pPr>
      <w:r>
        <w:t xml:space="preserve">Output: “Gap: {EntityType=Micro}” and “Gap: {ClaimCount ≤ 20}”</w:t>
      </w:r>
    </w:p>
    <w:bookmarkEnd w:id="78"/>
    <w:bookmarkEnd w:id="79"/>
    <w:bookmarkStart w:id="82" w:name="monotonicity-verification"/>
    <w:p>
      <w:pPr>
        <w:pStyle w:val="Heading3"/>
      </w:pPr>
      <w:r>
        <w:t xml:space="preserve">4.3 Monotonicity Verification</w:t>
      </w:r>
    </w:p>
    <w:p>
      <w:pPr>
        <w:pStyle w:val="FirstParagraph"/>
      </w:pPr>
      <w:r>
        <w:t xml:space="preserve">Fee schedules should exhibit predictable behavior: increasing claim count should never decrease the fee.</w:t>
      </w:r>
    </w:p>
    <w:bookmarkStart w:id="80" w:name="formal-definition"/>
    <w:p>
      <w:pPr>
        <w:pStyle w:val="Heading4"/>
      </w:pPr>
      <w:r>
        <w:t xml:space="preserve">4.3.1 Formal Definition</w:t>
      </w:r>
    </w:p>
    <w:p>
      <w:pPr>
        <w:pStyle w:val="FirstParagraph"/>
      </w:pPr>
      <w:r>
        <w:rPr>
          <w:b/>
          <w:bCs/>
        </w:rPr>
        <w:t xml:space="preserve">Definition 5 (Monotonicity).</w:t>
      </w:r>
      <w:r>
        <w:t xml:space="preserve"> </w:t>
      </w:r>
      <w:r>
        <w:t xml:space="preserve">Let f: Σ → ℝ be a fee function, x ∈ Vars a numeric input, and σ₋ₓ a partial valuation excluding x. Fee f is</w:t>
      </w:r>
      <w:r>
        <w:t xml:space="preserve"> </w:t>
      </w:r>
      <w:r>
        <w:rPr>
          <w:i/>
          <w:iCs/>
        </w:rPr>
        <w:t xml:space="preserve">non-decreasing</w:t>
      </w:r>
      <w:r>
        <w:t xml:space="preserve"> </w:t>
      </w:r>
      <w:r>
        <w:t xml:space="preserve">with respect to x if:</w:t>
      </w:r>
    </w:p>
    <w:p>
      <w:pPr>
        <w:pStyle w:val="BodyText"/>
      </w:pPr>
      <w:r>
        <w:t xml:space="preserve">∀σ−x. ∀v1,v2∈Dom(x). v1&lt;v2 ⟹ f(σ−x[x↦v1]) ≤ f(σ−x[x↦v2])</w:t>
      </w:r>
    </w:p>
    <w:p>
      <w:pPr>
        <w:pStyle w:val="BodyText"/>
      </w:pPr>
      <w:r>
        <w:t xml:space="preserve">Analogously:</w:t>
      </w:r>
      <w:r>
        <w:t xml:space="preserve"> </w:t>
      </w:r>
      <w:r>
        <w:rPr>
          <w:i/>
          <w:iCs/>
        </w:rPr>
        <w:t xml:space="preserve">non-increasing</w:t>
      </w:r>
      <w:r>
        <w:t xml:space="preserve"> </w:t>
      </w:r>
      <w:r>
        <w:t xml:space="preserve">(≥),</w:t>
      </w:r>
      <w:r>
        <w:t xml:space="preserve"> </w:t>
      </w:r>
      <w:r>
        <w:rPr>
          <w:i/>
          <w:iCs/>
        </w:rPr>
        <w:t xml:space="preserve">strictly increasing</w:t>
      </w:r>
      <w:r>
        <w:t xml:space="preserve"> </w:t>
      </w:r>
      <w:r>
        <w:t xml:space="preserve">(&gt;),</w:t>
      </w:r>
      <w:r>
        <w:t xml:space="preserve"> </w:t>
      </w:r>
      <w:r>
        <w:rPr>
          <w:i/>
          <w:iCs/>
        </w:rPr>
        <w:t xml:space="preserve">strictly decreasing</w:t>
      </w:r>
      <w:r>
        <w:t xml:space="preserve"> </w:t>
      </w:r>
      <w:r>
        <w:t xml:space="preserve">(&lt;).</w:t>
      </w:r>
    </w:p>
    <w:bookmarkEnd w:id="80"/>
    <w:bookmarkStart w:id="81" w:name="verification-algorithm"/>
    <w:p>
      <w:pPr>
        <w:pStyle w:val="Heading4"/>
      </w:pPr>
      <w:r>
        <w:t xml:space="preserve">4.3.2 Verification Algorithm</w:t>
      </w:r>
    </w:p>
    <w:p>
      <w:pPr>
        <w:pStyle w:val="SourceCode"/>
      </w:pPr>
      <w:r>
        <w:rPr>
          <w:rStyle w:val="VerbatimChar"/>
        </w:rPr>
        <w:t xml:space="preserve">Algorithm 2: Monotonicity Verification</w:t>
      </w:r>
      <w:r>
        <w:br/>
      </w:r>
      <w:r>
        <w:rPr>
          <w:rStyle w:val="VerbatimChar"/>
        </w:rPr>
        <w:t xml:space="preserve">─────────────────────────────────────────────────────────────────────</w:t>
      </w:r>
      <w:r>
        <w:br/>
      </w:r>
      <w:r>
        <w:rPr>
          <w:rStyle w:val="VerbatimChar"/>
        </w:rPr>
        <w:t xml:space="preserve">Input:  Fee f, numeric input x with domain Dₓ = [min, max]</w:t>
      </w:r>
      <w:r>
        <w:br/>
      </w:r>
      <w:r>
        <w:rPr>
          <w:rStyle w:val="VerbatimChar"/>
        </w:rPr>
        <w:t xml:space="preserve">        Other domains D₋ₓ, expected direction d</w:t>
      </w:r>
      <w:r>
        <w:br/>
      </w:r>
      <w:r>
        <w:rPr>
          <w:rStyle w:val="VerbatimChar"/>
        </w:rPr>
        <w:t xml:space="preserve">Output: (monotonic: Bool, violations: List⟨Violation⟩)</w:t>
      </w:r>
      <w:r>
        <w:br/>
      </w:r>
      <w:r>
        <w:br/>
      </w:r>
      <w:r>
        <w:rPr>
          <w:rStyle w:val="VerbatimChar"/>
        </w:rPr>
        <w:t xml:space="preserve"> 1: violations ← []</w:t>
      </w:r>
      <w:r>
        <w:br/>
      </w:r>
      <w:r>
        <w:rPr>
          <w:rStyle w:val="VerbatimChar"/>
        </w:rPr>
        <w:t xml:space="preserve"> 2: for each σ₋ₓ ∈ SampleRepresentative(D₋ₓ) do   // Context sampling</w:t>
      </w:r>
      <w:r>
        <w:br/>
      </w:r>
      <w:r>
        <w:rPr>
          <w:rStyle w:val="VerbatimChar"/>
        </w:rPr>
        <w:t xml:space="preserve"> 3:     V ← SampleMonotonic(Dₓ, 20)               // 20 ordered values</w:t>
      </w:r>
      <w:r>
        <w:br/>
      </w:r>
      <w:r>
        <w:rPr>
          <w:rStyle w:val="VerbatimChar"/>
        </w:rPr>
        <w:t xml:space="preserve"> 4:     prev_fee ← ⊥</w:t>
      </w:r>
      <w:r>
        <w:br/>
      </w:r>
      <w:r>
        <w:rPr>
          <w:rStyle w:val="VerbatimChar"/>
        </w:rPr>
        <w:t xml:space="preserve"> 5:     for each v ∈ sort(V) do</w:t>
      </w:r>
      <w:r>
        <w:br/>
      </w:r>
      <w:r>
        <w:rPr>
          <w:rStyle w:val="VerbatimChar"/>
        </w:rPr>
        <w:t xml:space="preserve"> 6:         curr_fee ← Evaluate(f, σ₋ₓ[x ↦ v])</w:t>
      </w:r>
      <w:r>
        <w:br/>
      </w:r>
      <w:r>
        <w:rPr>
          <w:rStyle w:val="VerbatimChar"/>
        </w:rPr>
        <w:t xml:space="preserve"> 7:         if prev_fee ≠ ⊥ then</w:t>
      </w:r>
      <w:r>
        <w:br/>
      </w:r>
      <w:r>
        <w:rPr>
          <w:rStyle w:val="VerbatimChar"/>
        </w:rPr>
        <w:t xml:space="preserve"> 8:             if Violates(prev_fee, curr_fee, d) then</w:t>
      </w:r>
      <w:r>
        <w:br/>
      </w:r>
      <w:r>
        <w:rPr>
          <w:rStyle w:val="VerbatimChar"/>
        </w:rPr>
        <w:t xml:space="preserve"> 9:                 violations.append((σ₋ₓ, prev_v, prev_fee, v, curr_fee))</w:t>
      </w:r>
      <w:r>
        <w:br/>
      </w:r>
      <w:r>
        <w:rPr>
          <w:rStyle w:val="VerbatimChar"/>
        </w:rPr>
        <w:t xml:space="preserve">10:         prev_fee ← curr_fee; prev_v ← v</w:t>
      </w:r>
      <w:r>
        <w:br/>
      </w:r>
      <w:r>
        <w:rPr>
          <w:rStyle w:val="VerbatimChar"/>
        </w:rPr>
        <w:t xml:space="preserve">11: return (violations = [], violations)</w:t>
      </w:r>
    </w:p>
    <w:p>
      <w:pPr>
        <w:pStyle w:val="FirstParagraph"/>
      </w:pPr>
      <w:r>
        <w:t xml:space="preserve">where Violates(p, c, d) returns true if and only if: d = NonDecreasing and c &lt; p; d = NonIncreasing and c &gt; p; d = StrictlyIncreasing and c ≤ p; or d = StrictlyDecreasing and c ≥ p.</w:t>
      </w:r>
    </w:p>
    <w:p>
      <w:pPr>
        <w:pStyle w:val="BodyText"/>
      </w:pPr>
      <w:r>
        <w:t xml:space="preserve">The sample size of 20 ordered values in line 3 provides coverage of typical fee schedule thresholds (commonly at intervals of 5, 10, 15, 20 items) while maintaining efficient verification. This parameter is currently fixed in the implementation, and future versions may expose this as a configurable parameter.</w:t>
      </w:r>
    </w:p>
    <w:p>
      <w:pPr>
        <w:pStyle w:val="BodyText"/>
      </w:pPr>
      <w:r>
        <w:t xml:space="preserve">Algorithm 2 employs sampling and may miss violations occurring at unsampled points within the domain. Exhaustive monotonicity checking (iterating over all adjacent value pairs) is identified as future work for domains within the exhaustive threshold.</w:t>
      </w:r>
    </w:p>
    <w:p>
      <w:pPr>
        <w:pStyle w:val="BodyText"/>
      </w:pPr>
      <w:r>
        <w:rPr>
          <w:b/>
          <w:bCs/>
        </w:rPr>
        <w:t xml:space="preserve">Example:</w:t>
      </w:r>
    </w:p>
    <w:p>
      <w:pPr>
        <w:pStyle w:val="SourceCode"/>
      </w:pPr>
      <w:r>
        <w:rPr>
          <w:rStyle w:val="VerbatimChar"/>
        </w:rPr>
        <w:t xml:space="preserve">VERIFY MONOTONIC FEE ExcessClaimsFee WITH RESPECT TO ClaimCount</w:t>
      </w:r>
      <w:r>
        <w:br/>
      </w:r>
      <w:r>
        <w:rPr>
          <w:rStyle w:val="VerbatimChar"/>
        </w:rPr>
        <w:t xml:space="preserve">VERIFY MONOTONIC FEE DiscountFee WITH RESPECT TO YearsInProgram DIRECTION NonIncreasing</w:t>
      </w:r>
    </w:p>
    <w:bookmarkEnd w:id="81"/>
    <w:bookmarkEnd w:id="82"/>
    <w:bookmarkEnd w:id="83"/>
    <w:bookmarkStart w:id="88" w:name="provenance-and-auditability"/>
    <w:p>
      <w:pPr>
        <w:pStyle w:val="Heading1"/>
      </w:pPr>
      <w:r>
        <w:t xml:space="preserve">5. Provenance and Auditability</w:t>
      </w:r>
    </w:p>
    <w:bookmarkStart w:id="84" w:name="foundations-of-computational-provenance"/>
    <w:p>
      <w:pPr>
        <w:pStyle w:val="Heading3"/>
      </w:pPr>
      <w:r>
        <w:t xml:space="preserve">5.1 Foundations of Computational Provenance</w:t>
      </w:r>
    </w:p>
    <w:p>
      <w:pPr>
        <w:pStyle w:val="FirstParagraph"/>
      </w:pPr>
      <w:r>
        <w:t xml:space="preserve">Provenance - the complete documentation of the process that led to an output - 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pPr>
        <w:pStyle w:val="BodyText"/>
      </w:pPr>
      <w:r>
        <w:t xml:space="preserve">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pPr>
        <w:pStyle w:val="BodyText"/>
      </w:pPr>
      <w:r>
        <w:t xml:space="preserve">IPFLang's provenance model draws on these principles while addressing domain-specific requirements. Unlike general-purpose provenance systems designed for complex machine learning pipelines, IPFLang's declarative semantics enable complete, deterministic provenance capture: every fee computation produces an identical trace for identical inputs, and the trace fully explains the derivation path from input parameters through intermediate calculations to final amounts.</w:t>
      </w:r>
    </w:p>
    <w:bookmarkEnd w:id="84"/>
    <w:bookmarkStart w:id="85" w:name="execution-tracing-in-ipflang"/>
    <w:p>
      <w:pPr>
        <w:pStyle w:val="Heading3"/>
      </w:pPr>
      <w:r>
        <w:t xml:space="preserve">5.2 Execution Tracing in IPFLang</w:t>
      </w:r>
    </w:p>
    <w:p>
      <w:pPr>
        <w:pStyle w:val="FirstParagraph"/>
      </w:pPr>
      <w:r>
        <w:t xml:space="preserve">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pPr>
        <w:pStyle w:val="BodyText"/>
      </w:pPr>
      <w:r>
        <w:t xml:space="preserve">This trace enables practitioners to verify calculations against official schedules and assists in dispute resolution.</w:t>
      </w:r>
    </w:p>
    <w:bookmarkEnd w:id="85"/>
    <w:bookmarkStart w:id="86" w:name="auditability-for-regulatory-compliance"/>
    <w:p>
      <w:pPr>
        <w:pStyle w:val="Heading3"/>
      </w:pPr>
      <w:r>
        <w:t xml:space="preserve">5.3 Auditability for Regulatory Compliance</w:t>
      </w:r>
    </w:p>
    <w:p>
      <w:pPr>
        <w:pStyle w:val="FirstParagraph"/>
      </w:pPr>
      <w:r>
        <w:t xml:space="preserve">Auditability extends provenance by structuring trace information for systematic review and verification. While provenance answers</w:t>
      </w:r>
      <w:r>
        <w:t xml:space="preserve"> </w:t>
      </w:r>
      <w:r>
        <w:rPr>
          <w:i/>
          <w:iCs/>
        </w:rPr>
        <w:t xml:space="preserve">"how was this value computed?"</w:t>
      </w:r>
      <w:r>
        <w:t xml:space="preserve">, auditability addresses</w:t>
      </w:r>
      <w:r>
        <w:t xml:space="preserve"> </w:t>
      </w:r>
      <w:r>
        <w:rPr>
          <w:i/>
          <w:iCs/>
        </w:rPr>
        <w:t xml:space="preserve">"can an independent reviewer verify computation correctness against authoritative sources?"</w:t>
      </w:r>
      <w:r>
        <w:t xml:space="preserve"> </w:t>
      </w:r>
      <w:r>
        <w:t xml:space="preserve">This distinction is important in regulated domains where fee calculations must be defensible to patent offices, clients, and potentially courts.</w:t>
      </w:r>
    </w:p>
    <w:p>
      <w:pPr>
        <w:pStyle w:val="BodyText"/>
      </w:pPr>
      <w:r>
        <w:t xml:space="preserve">IPFLang's audit trail design reflects emerging best practices in algorithmic accountability. Raji et al. [29] propose a framework for assurance audits of algorithmic systems that emphasizes documentation completeness, reproducibility, and stakeholder accessibility. IPFLang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pPr>
        <w:pStyle w:val="BodyText"/>
      </w:pPr>
      <w:r>
        <w:t xml:space="preserve">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pPr>
        <w:pStyle w:val="BodyText"/>
      </w:pPr>
      <w:r>
        <w:t xml:space="preserve">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 - regardless of complexity - produce equally comprehensive audit trails.</w:t>
      </w:r>
    </w:p>
    <w:bookmarkEnd w:id="86"/>
    <w:bookmarkStart w:id="87" w:name="counterfactual-analysis"/>
    <w:p>
      <w:pPr>
        <w:pStyle w:val="Heading3"/>
      </w:pPr>
      <w:r>
        <w:t xml:space="preserve">5.4 Counterfactual Analysis</w:t>
      </w:r>
    </w:p>
    <w:p>
      <w:pPr>
        <w:pStyle w:val="FirstParagraph"/>
      </w:pPr>
      <w:r>
        <w:t xml:space="preserve">Counterfactual analysis addresses a fundamental question in regulatory decision-making:</w:t>
      </w:r>
      <w:r>
        <w:t xml:space="preserve"> </w:t>
      </w:r>
      <w:r>
        <w:rPr>
          <w:i/>
          <w:iCs/>
        </w:rPr>
        <w:t xml:space="preserve">What would the outcome have been under different conditions?</w:t>
      </w:r>
      <w:r>
        <w:t xml:space="preserve"> </w:t>
      </w:r>
      <w:r>
        <w:t xml:space="preserve">In fee calculation contexts, this manifests as:</w:t>
      </w:r>
    </w:p>
    <w:p>
      <w:pPr>
        <w:numPr>
          <w:ilvl w:val="0"/>
          <w:numId w:val="1011"/>
        </w:numPr>
      </w:pPr>
      <w:r>
        <w:t xml:space="preserve">Sensitivity analysis -</w:t>
      </w:r>
      <w:r>
        <w:t xml:space="preserve"> </w:t>
      </w:r>
      <w:r>
        <w:rPr>
          <w:i/>
          <w:iCs/>
        </w:rPr>
        <w:t xml:space="preserve">How much would the total change if we filed as a small entity?</w:t>
      </w:r>
    </w:p>
    <w:p>
      <w:pPr>
        <w:numPr>
          <w:ilvl w:val="0"/>
          <w:numId w:val="1011"/>
        </w:numPr>
      </w:pPr>
      <w:r>
        <w:t xml:space="preserve">Budget planning -</w:t>
      </w:r>
      <w:r>
        <w:t xml:space="preserve"> </w:t>
      </w:r>
      <w:r>
        <w:rPr>
          <w:i/>
          <w:iCs/>
        </w:rPr>
        <w:t xml:space="preserve">What is the fee impact of adding five more claims?</w:t>
      </w:r>
    </w:p>
    <w:p>
      <w:pPr>
        <w:numPr>
          <w:ilvl w:val="0"/>
          <w:numId w:val="1011"/>
        </w:numPr>
      </w:pPr>
      <w:r>
        <w:t xml:space="preserve">Regulatory impact assessment -</w:t>
      </w:r>
      <w:r>
        <w:t xml:space="preserve"> </w:t>
      </w:r>
      <w:r>
        <w:rPr>
          <w:i/>
          <w:iCs/>
        </w:rPr>
        <w:t xml:space="preserve">How do the new fee schedule rates affect our portfolio costs?</w:t>
      </w:r>
    </w:p>
    <w:p>
      <w:pPr>
        <w:pStyle w:val="FirstParagraph"/>
      </w:pPr>
      <w:r>
        <w:t xml:space="preserve">Wachter et al. [30] establish counterfactual explanations as a legally and ethically appropriate mechanism for explaining automated decisions under frameworks like GDPR. Their formulation - "the smallest change to the world that would obtain a desirable outcome" - maps directly to IPFLang's counterfactual engine: given a baseline calculation, the system systematically varies each input parameter to identify which changes would most significantly affect the fee total.</w:t>
      </w:r>
    </w:p>
    <w:p>
      <w:pPr>
        <w:pStyle w:val="BodyText"/>
      </w:pPr>
      <w:r>
        <w:t xml:space="preserve">Recent advances in counterfactual explanation systems inform IPFLang's design. VanNostrand et al. [31] demonstrate that counterfactual presentations significantly affect user comprehension and decision-making. The soid tool from Yale [32] provides rigorously proven answers to factual and counterfactual queries about automated decision systems using SMT-based reasoning. IPFLang's counterfactual engine adopts a simpler but more accessible approach: direct re-evaluation of fee computations with modified inputs, producing concrete alternative scenarios rather than logical proofs.</w:t>
      </w:r>
    </w:p>
    <w:p>
      <w:pPr>
        <w:pStyle w:val="BodyText"/>
      </w:pPr>
      <w:r>
        <w:t xml:space="preserve">The counterfactual analysis capability supports three primary use cases. Client advisory enables practitioners to present fee optimization strategies:</w:t>
      </w:r>
      <w:r>
        <w:t xml:space="preserve"> </w:t>
      </w:r>
      <w:r>
        <w:rPr>
          <w:i/>
          <w:iCs/>
        </w:rPr>
        <w:t xml:space="preserve">Filing as a small entity would reduce your total fees by EUR 910.</w:t>
      </w:r>
      <w:r>
        <w:t xml:space="preserve"> </w:t>
      </w:r>
      <w:r>
        <w:t xml:space="preserve">Budget forecasting supports portfolio cost modeling:</w:t>
      </w:r>
      <w:r>
        <w:t xml:space="preserve"> </w:t>
      </w:r>
      <w:r>
        <w:rPr>
          <w:i/>
          <w:iCs/>
        </w:rPr>
        <w:t xml:space="preserve">Adding claims 16-20 would increase excess claims fees by EUR 1,325.</w:t>
      </w:r>
      <w:r>
        <w:t xml:space="preserve"> </w:t>
      </w:r>
      <w:r>
        <w:t xml:space="preserve">Regulatory monitoring enables automated detection of fee schedule changes that materially impact client portfolios:</w:t>
      </w:r>
      <w:r>
        <w:t xml:space="preserve"> </w:t>
      </w:r>
      <w:r>
        <w:rPr>
          <w:i/>
          <w:iCs/>
        </w:rPr>
        <w:t xml:space="preserve">The 2025 EPO fee schedule increases your annual maintenance costs by 3.2%.</w:t>
      </w:r>
    </w:p>
    <w:bookmarkEnd w:id="87"/>
    <w:bookmarkEnd w:id="88"/>
    <w:bookmarkStart w:id="96" w:name="reference-implementation"/>
    <w:p>
      <w:pPr>
        <w:pStyle w:val="Heading1"/>
      </w:pPr>
      <w:r>
        <w:t xml:space="preserve">6. Reference Implementation</w:t>
      </w:r>
    </w:p>
    <w:bookmarkStart w:id="92" w:name="architecture-overview"/>
    <w:p>
      <w:pPr>
        <w:pStyle w:val="Heading3"/>
      </w:pPr>
      <w:r>
        <w:t xml:space="preserve">6.1 Architecture Overview</w:t>
      </w:r>
    </w:p>
    <w:p>
      <w:pPr>
        <w:pStyle w:val="FirstParagraph"/>
      </w:pPr>
      <w:r>
        <w:t xml:space="preserve">The IPFLang reference implementation comprises approximately 15,000 lines of C# targeting .NET 10.0, organized into modular subsystems:</w:t>
      </w:r>
    </w:p>
    <w:p>
      <w:pPr>
        <w:numPr>
          <w:ilvl w:val="0"/>
          <w:numId w:val="1012"/>
        </w:numPr>
      </w:pPr>
      <w:r>
        <w:rPr>
          <w:b/>
          <w:bCs/>
        </w:rPr>
        <w:t xml:space="preserve">Parser Module:</w:t>
      </w:r>
      <w:r>
        <w:t xml:space="preserve"> </w:t>
      </w:r>
      <w:r>
        <w:t xml:space="preserve">Lexical analysis, recursive descent parsing [17], and AST construction with comprehensive error reporting including line numbers and expected tokens.</w:t>
      </w:r>
    </w:p>
    <w:p>
      <w:pPr>
        <w:numPr>
          <w:ilvl w:val="0"/>
          <w:numId w:val="1012"/>
        </w:numPr>
      </w:pPr>
      <w:r>
        <w:rPr>
          <w:b/>
          <w:bCs/>
        </w:rPr>
        <w:t xml:space="preserve">Semantic Checker:</w:t>
      </w:r>
      <w:r>
        <w:t xml:space="preserve"> </w:t>
      </w:r>
      <w:r>
        <w:t xml:space="preserve">Type validation ensuring identifier resolution, type compatibility, constraint validation, and circular dependency detection in LET statements.</w:t>
      </w:r>
    </w:p>
    <w:p>
      <w:pPr>
        <w:numPr>
          <w:ilvl w:val="0"/>
          <w:numId w:val="1012"/>
        </w:numPr>
      </w:pPr>
      <w:r>
        <w:rPr>
          <w:b/>
          <w:bCs/>
        </w:rPr>
        <w:t xml:space="preserve">Type System:</w:t>
      </w:r>
      <w:r>
        <w:t xml:space="preserve"> </w:t>
      </w:r>
      <w:r>
        <w:t xml:space="preserve">Currency-aware type checking with 161 ISO 4217 currencies, polymorphic type support, and detailed type error reporting.</w:t>
      </w:r>
    </w:p>
    <w:p>
      <w:pPr>
        <w:numPr>
          <w:ilvl w:val="0"/>
          <w:numId w:val="1012"/>
        </w:numPr>
      </w:pPr>
      <w:r>
        <w:rPr>
          <w:b/>
          <w:bCs/>
        </w:rPr>
        <w:t xml:space="preserve">Evaluator:</w:t>
      </w:r>
      <w:r>
        <w:t xml:space="preserve"> </w:t>
      </w:r>
      <w:r>
        <w:t xml:space="preserve">Depth-first AST traversal with environment binding for expression evaluation.</w:t>
      </w:r>
    </w:p>
    <w:p>
      <w:pPr>
        <w:numPr>
          <w:ilvl w:val="0"/>
          <w:numId w:val="1012"/>
        </w:numPr>
      </w:pPr>
      <w:r>
        <w:rPr>
          <w:b/>
          <w:bCs/>
        </w:rPr>
        <w:t xml:space="preserve">Analysis Module:</w:t>
      </w:r>
      <w:r>
        <w:t xml:space="preserve"> </w:t>
      </w:r>
      <w:r>
        <w:t xml:space="preserve">Completeness checker with exhaustive and sampling modes, monotonicity checker with four direction types, domain analyzer, and condition extractor.</w:t>
      </w:r>
    </w:p>
    <w:p>
      <w:pPr>
        <w:numPr>
          <w:ilvl w:val="0"/>
          <w:numId w:val="1012"/>
        </w:numPr>
      </w:pPr>
      <w:r>
        <w:rPr>
          <w:b/>
          <w:bCs/>
        </w:rPr>
        <w:t xml:space="preserve">Provenance Module:</w:t>
      </w:r>
      <w:r>
        <w:t xml:space="preserve"> </w:t>
      </w:r>
      <w:r>
        <w:t xml:space="preserve">Audit trail recording, counterfactual engine for what-if analysis, and provenance export formatting.</w:t>
      </w:r>
    </w:p>
    <w:p>
      <w:pPr>
        <w:numPr>
          <w:ilvl w:val="0"/>
          <w:numId w:val="1012"/>
        </w:numPr>
      </w:pPr>
      <w:r>
        <w:rPr>
          <w:b/>
          <w:bCs/>
        </w:rPr>
        <w:t xml:space="preserve">Versioning Module:</w:t>
      </w:r>
      <w:r>
        <w:t xml:space="preserve"> </w:t>
      </w:r>
      <w:r>
        <w:t xml:space="preserve">Version metadata management, diff engine for version comparison, impact analyzer, and temporal query support.</w:t>
      </w:r>
    </w:p>
    <w:p>
      <w:pPr>
        <w:numPr>
          <w:ilvl w:val="0"/>
          <w:numId w:val="1012"/>
        </w:numPr>
      </w:pPr>
      <w:r>
        <w:rPr>
          <w:b/>
          <w:bCs/>
        </w:rPr>
        <w:t xml:space="preserve">Composition Module:</w:t>
      </w:r>
      <w:r>
        <w:t xml:space="preserve"> </w:t>
      </w:r>
      <w:r>
        <w:t xml:space="preserve">Jurisdiction inheritance with input/fee merging, override detection, and inheritance analysis reporting.</w:t>
      </w:r>
    </w:p>
    <w:p>
      <w:pPr>
        <w:pStyle w:val="CaptionedFigure"/>
      </w:pPr>
      <w:r>
        <w:drawing>
          <wp:inline>
            <wp:extent cx="4930588" cy="4347948"/>
            <wp:effectExtent b="0" l="0" r="0" t="0"/>
            <wp:docPr descr="" title="" id="90" name="Picture"/>
            <a:graphic>
              <a:graphicData uri="http://schemas.openxmlformats.org/drawingml/2006/picture">
                <pic:pic>
                  <pic:nvPicPr>
                    <pic:cNvPr descr="media/image14.png" id="91" name="Picture"/>
                    <pic:cNvPicPr>
                      <a:picLocks noChangeArrowheads="1" noChangeAspect="1"/>
                    </pic:cNvPicPr>
                  </pic:nvPicPr>
                  <pic:blipFill>
                    <a:blip r:embed="rId89"/>
                    <a:stretch>
                      <a:fillRect/>
                    </a:stretch>
                  </pic:blipFill>
                  <pic:spPr bwMode="auto">
                    <a:xfrm>
                      <a:off x="0" y="0"/>
                      <a:ext cx="4930588" cy="4347948"/>
                    </a:xfrm>
                    <a:prstGeom prst="rect">
                      <a:avLst/>
                    </a:prstGeom>
                    <a:noFill/>
                    <a:ln w="9525">
                      <a:noFill/>
                      <a:headEnd/>
                      <a:tailEnd/>
                    </a:ln>
                  </pic:spPr>
                </pic:pic>
              </a:graphicData>
            </a:graphic>
          </wp:inline>
        </w:drawing>
      </w:r>
    </w:p>
    <w:p>
      <w:pPr>
        <w:pStyle w:val="ImageCaption"/>
      </w:pPr>
      <w:r>
        <w:t xml:space="preserve">– IPFLang engine architecture</w:t>
      </w:r>
    </w:p>
    <w:bookmarkEnd w:id="92"/>
    <w:bookmarkStart w:id="93" w:name="command-line-interface"/>
    <w:p>
      <w:pPr>
        <w:pStyle w:val="Heading3"/>
      </w:pPr>
      <w:r>
        <w:t xml:space="preserve">6.2 Command-Line Interface</w:t>
      </w:r>
    </w:p>
    <w:p>
      <w:pPr>
        <w:pStyle w:val="FirstParagraph"/>
      </w:pPr>
      <w:r>
        <w:t xml:space="preserve">The CLI provides five commands:</w:t>
      </w:r>
    </w:p>
    <w:p>
      <w:pPr>
        <w:numPr>
          <w:ilvl w:val="0"/>
          <w:numId w:val="1013"/>
        </w:numPr>
      </w:pPr>
      <w:r>
        <w:rPr>
          <w:b/>
          <w:bCs/>
        </w:rPr>
        <w:t xml:space="preserve">parse</w:t>
      </w:r>
      <w:r>
        <w:t xml:space="preserve"> </w:t>
      </w:r>
      <w:r>
        <w:t xml:space="preserve">- Validate syntax and types:</w:t>
      </w:r>
    </w:p>
    <w:p>
      <w:pPr>
        <w:pStyle w:val="SourceCode"/>
      </w:pPr>
      <w:r>
        <w:rPr>
          <w:rStyle w:val="VerbatimChar"/>
        </w:rPr>
        <w:t xml:space="preserve">ipflang parse filing.ipf</w:t>
      </w:r>
    </w:p>
    <w:p>
      <w:pPr>
        <w:numPr>
          <w:ilvl w:val="0"/>
          <w:numId w:val="1014"/>
        </w:numPr>
      </w:pPr>
      <w:r>
        <w:rPr>
          <w:b/>
          <w:bCs/>
        </w:rPr>
        <w:t xml:space="preserve">run</w:t>
      </w:r>
      <w:r>
        <w:t xml:space="preserve"> </w:t>
      </w:r>
      <w:r>
        <w:t xml:space="preserve">- Execute fee calculation:</w:t>
      </w:r>
    </w:p>
    <w:p>
      <w:pPr>
        <w:pStyle w:val="SourceCode"/>
      </w:pPr>
      <w:r>
        <w:rPr>
          <w:rStyle w:val="VerbatimChar"/>
        </w:rPr>
        <w:t xml:space="preserve">ipflang run filing.ipf --inputs params.json [--provenance] [--counterfactuals]</w:t>
      </w:r>
    </w:p>
    <w:p>
      <w:pPr>
        <w:numPr>
          <w:ilvl w:val="0"/>
          <w:numId w:val="1015"/>
        </w:numPr>
      </w:pPr>
      <w:r>
        <w:rPr>
          <w:b/>
          <w:bCs/>
        </w:rPr>
        <w:t xml:space="preserve">verify</w:t>
      </w:r>
      <w:r>
        <w:t xml:space="preserve"> </w:t>
      </w:r>
      <w:r>
        <w:t xml:space="preserve">- Run verification directives:</w:t>
      </w:r>
    </w:p>
    <w:p>
      <w:pPr>
        <w:pStyle w:val="SourceCode"/>
      </w:pPr>
      <w:r>
        <w:rPr>
          <w:rStyle w:val="VerbatimChar"/>
        </w:rPr>
        <w:t xml:space="preserve">ipflang verify filing.ipf</w:t>
      </w:r>
    </w:p>
    <w:p>
      <w:pPr>
        <w:numPr>
          <w:ilvl w:val="0"/>
          <w:numId w:val="1016"/>
        </w:numPr>
      </w:pPr>
      <w:r>
        <w:rPr>
          <w:b/>
          <w:bCs/>
        </w:rPr>
        <w:t xml:space="preserve">info</w:t>
      </w:r>
      <w:r>
        <w:t xml:space="preserve"> </w:t>
      </w:r>
      <w:r>
        <w:t xml:space="preserve">- Display script metadata:</w:t>
      </w:r>
    </w:p>
    <w:p>
      <w:pPr>
        <w:pStyle w:val="SourceCode"/>
      </w:pPr>
      <w:r>
        <w:rPr>
          <w:rStyle w:val="VerbatimChar"/>
        </w:rPr>
        <w:t xml:space="preserve">ipflang info filing.ipf</w:t>
      </w:r>
    </w:p>
    <w:p>
      <w:pPr>
        <w:numPr>
          <w:ilvl w:val="0"/>
          <w:numId w:val="1017"/>
        </w:numPr>
      </w:pPr>
      <w:r>
        <w:rPr>
          <w:b/>
          <w:bCs/>
        </w:rPr>
        <w:t xml:space="preserve">compose</w:t>
      </w:r>
      <w:r>
        <w:t xml:space="preserve"> </w:t>
      </w:r>
      <w:r>
        <w:t xml:space="preserve">- Combine jurisdictions:</w:t>
      </w:r>
    </w:p>
    <w:p>
      <w:pPr>
        <w:pStyle w:val="SourceCode"/>
      </w:pPr>
      <w:r>
        <w:rPr>
          <w:rStyle w:val="VerbatimChar"/>
        </w:rPr>
        <w:t xml:space="preserve">ipflang compose base.ipf national.ipf [--analysis]</w:t>
      </w:r>
    </w:p>
    <w:bookmarkEnd w:id="93"/>
    <w:bookmarkStart w:id="94" w:name="inputoutput-formats"/>
    <w:p>
      <w:pPr>
        <w:pStyle w:val="Heading3"/>
      </w:pPr>
      <w:r>
        <w:t xml:space="preserve">6.3 Input/Output Formats</w:t>
      </w:r>
    </w:p>
    <w:p>
      <w:pPr>
        <w:pStyle w:val="FirstParagraph"/>
      </w:pPr>
      <w:r>
        <w:rPr>
          <w:b/>
          <w:bCs/>
        </w:rPr>
        <w:t xml:space="preserve">Input (JSON):</w:t>
      </w:r>
    </w:p>
    <w:p>
      <w:pPr>
        <w:pStyle w:val="SourceCode"/>
      </w:pPr>
      <w:r>
        <w:rPr>
          <w:rStyle w:val="VerbatimChar"/>
        </w:rPr>
        <w:t xml:space="preserve">{</w:t>
      </w:r>
      <w:r>
        <w:br/>
      </w:r>
      <w:r>
        <w:rPr>
          <w:rStyle w:val="VerbatimChar"/>
        </w:rPr>
        <w:t xml:space="preserve">  "EntityType": "SmallEntity",</w:t>
      </w:r>
      <w:r>
        <w:br/>
      </w:r>
      <w:r>
        <w:rPr>
          <w:rStyle w:val="VerbatimChar"/>
        </w:rPr>
        <w:t xml:space="preserve">  "ClaimCount": 25,</w:t>
      </w:r>
      <w:r>
        <w:br/>
      </w:r>
      <w:r>
        <w:rPr>
          <w:rStyle w:val="VerbatimChar"/>
        </w:rPr>
        <w:t xml:space="preserve">  "RequestsExamination": true,</w:t>
      </w:r>
      <w:r>
        <w:br/>
      </w:r>
      <w:r>
        <w:rPr>
          <w:rStyle w:val="VerbatimChar"/>
        </w:rPr>
        <w:t xml:space="preserve">  "FilingDate": "2024-01-15"</w:t>
      </w:r>
      <w:r>
        <w:br/>
      </w:r>
      <w:r>
        <w:rPr>
          <w:rStyle w:val="VerbatimChar"/>
        </w:rPr>
        <w:t xml:space="preserve">}</w:t>
      </w:r>
    </w:p>
    <w:p>
      <w:pPr>
        <w:pStyle w:val="FirstParagraph"/>
      </w:pPr>
      <w:r>
        <w:rPr>
          <w:b/>
          <w:bCs/>
        </w:rPr>
        <w:t xml:space="preserve">Output:</w:t>
      </w:r>
    </w:p>
    <w:p>
      <w:pPr>
        <w:pStyle w:val="SourceCode"/>
      </w:pPr>
      <w:r>
        <w:rPr>
          <w:rStyle w:val="VerbatimChar"/>
        </w:rPr>
        <w:t xml:space="preserve">Fee Calculation Results</w:t>
      </w:r>
      <w:r>
        <w:br/>
      </w:r>
      <w:r>
        <w:rPr>
          <w:rStyle w:val="VerbatimChar"/>
        </w:rPr>
        <w:t xml:space="preserve">=======================</w:t>
      </w:r>
      <w:r>
        <w:br/>
      </w:r>
      <w:r>
        <w:rPr>
          <w:rStyle w:val="VerbatimChar"/>
        </w:rPr>
        <w:t xml:space="preserve">Filing Fee:        EUR 135.00</w:t>
      </w:r>
      <w:r>
        <w:br/>
      </w:r>
      <w:r>
        <w:rPr>
          <w:rStyle w:val="VerbatimChar"/>
        </w:rPr>
        <w:t xml:space="preserve">Designation Fee:   EUR 660.00</w:t>
      </w:r>
      <w:r>
        <w:br/>
      </w:r>
      <w:r>
        <w:rPr>
          <w:rStyle w:val="VerbatimChar"/>
        </w:rPr>
        <w:t xml:space="preserve">Excess Claims Fee: EUR 2,650.00</w:t>
      </w:r>
      <w:r>
        <w:br/>
      </w:r>
      <w:r>
        <w:rPr>
          <w:rStyle w:val="VerbatimChar"/>
        </w:rPr>
        <w:t xml:space="preserve">Search Fee:        EUR 1,460.00</w:t>
      </w:r>
      <w:r>
        <w:br/>
      </w:r>
      <w:r>
        <w:rPr>
          <w:rStyle w:val="VerbatimChar"/>
        </w:rPr>
        <w:t xml:space="preserve">----------------------------</w:t>
      </w:r>
      <w:r>
        <w:br/>
      </w:r>
      <w:r>
        <w:rPr>
          <w:rStyle w:val="VerbatimChar"/>
        </w:rPr>
        <w:t xml:space="preserve">Total:             EUR 4,905.00</w:t>
      </w:r>
    </w:p>
    <w:bookmarkEnd w:id="94"/>
    <w:bookmarkStart w:id="95" w:name="source-code-availability"/>
    <w:p>
      <w:pPr>
        <w:pStyle w:val="Heading3"/>
      </w:pPr>
      <w:r>
        <w:t xml:space="preserve">6.4 Source Code Availability</w:t>
      </w:r>
    </w:p>
    <w:p>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w:t>
      </w:r>
      <w:r>
        <w:t xml:space="preserve"> </w:t>
      </w:r>
      <w:r>
        <w:rPr>
          <w:rStyle w:val="VerbatimChar"/>
        </w:rPr>
        <w:t xml:space="preserve">examples/</w:t>
      </w:r>
      <w:r>
        <w:t xml:space="preserve"> </w:t>
      </w:r>
      <w:r>
        <w:t xml:space="preserve">directory (approximately 1,700 lines of DSL code) demonstrating language features, 118 production jurisdiction files plus 4 regional base files in the</w:t>
      </w:r>
      <w:r>
        <w:t xml:space="preserve"> </w:t>
      </w:r>
      <w:r>
        <w:rPr>
          <w:rStyle w:val="VerbatimChar"/>
        </w:rPr>
        <w:t xml:space="preserve">jurisdictions/</w:t>
      </w:r>
      <w:r>
        <w:t xml:space="preserve"> </w:t>
      </w:r>
      <w:r>
        <w:t xml:space="preserve">directory covering PCT national/regional phase entry fees (approximately 21,800 lines of DSL code), and documentation with syntax reference.</w:t>
      </w:r>
    </w:p>
    <w:bookmarkEnd w:id="95"/>
    <w:bookmarkEnd w:id="96"/>
    <w:bookmarkStart w:id="101" w:name="evaluation"/>
    <w:p>
      <w:pPr>
        <w:pStyle w:val="Heading1"/>
      </w:pPr>
      <w:r>
        <w:t xml:space="preserve">7. Evaluation</w:t>
      </w:r>
    </w:p>
    <w:bookmarkStart w:id="97" w:name="representative-examples"/>
    <w:p>
      <w:pPr>
        <w:pStyle w:val="Heading3"/>
      </w:pPr>
      <w:r>
        <w:t xml:space="preserve">7.1 Representative Examples</w:t>
      </w:r>
    </w:p>
    <w:p>
      <w:pPr>
        <w:pStyle w:val="FirstParagraph"/>
      </w:pPr>
      <w:r>
        <w:t xml:space="preserve">– PCT National/Regional Phase Jurisdiction Coverage</w:t>
      </w:r>
    </w:p>
    <w:p>
      <w:pPr>
        <w:pStyle w:val="BodyText"/>
      </w:pPr>
      <w:r>
        <w:t xml:space="preserve">The implementation includes 20 IPFLang example files in the</w:t>
      </w:r>
      <w:r>
        <w:t xml:space="preserve"> </w:t>
      </w:r>
      <w:r>
        <w:rPr>
          <w:rStyle w:val="VerbatimChar"/>
        </w:rPr>
        <w:t xml:space="preserve">examples/</w:t>
      </w:r>
      <w:r>
        <w:t xml:space="preserve"> </w:t>
      </w:r>
      <w:r>
        <w:t xml:space="preserve">directory demonstrating language expressiveness across diverse fee structure patterns, plus 118 production-ready jurisdiction files in the</w:t>
      </w:r>
      <w:r>
        <w:t xml:space="preserve"> </w:t>
      </w:r>
      <w:r>
        <w:rPr>
          <w:rStyle w:val="VerbatimChar"/>
        </w:rPr>
        <w:t xml:space="preserve">jurisdictions/</w:t>
      </w:r>
      <w:r>
        <w:t xml:space="preserve"> </w:t>
      </w:r>
      <w:r>
        <w:t xml:space="preserve">directory covering PCT national/regional phase entry fees for all major patent offices worldwide.</w:t>
      </w:r>
    </w:p>
    <w:p>
      <w:pPr>
        <w:pStyle w:val="BodyText"/>
      </w:pPr>
      <w:r>
        <w:t xml:space="preserve">Real-world fee schedules are represented by EPO filing fees with multi-tiered claim pricing and ISA-dependent search fees, as well as a USPTO complete fee calculator with entity-based discounts and excess claim calculations.</w:t>
      </w:r>
    </w:p>
    <w:p>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pPr>
        <w:pStyle w:val="BodyText"/>
      </w:pPr>
      <w:r>
        <w:t xml:space="preserve">Error detection examples cover mixed currency arithmetic (EUR + USD), incomplete fee coverage, non-monotonic fee behavior, invalid currency codes, and undefined variable references.</w:t>
      </w:r>
    </w:p>
    <w:p>
      <w:pPr>
        <w:pStyle w:val="BodyText"/>
      </w:pPr>
      <w:r>
        <w:t xml:space="preserve">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bookmarkEnd w:id="97"/>
    <w:bookmarkStart w:id="98" w:name="jurisdiction-file-validation"/>
    <w:p>
      <w:pPr>
        <w:pStyle w:val="Heading3"/>
      </w:pPr>
      <w:r>
        <w:t xml:space="preserve">7.2 Jurisdiction File Validation</w:t>
      </w:r>
    </w:p>
    <w:p>
      <w:pPr>
        <w:pStyle w:val="FirstParagraph"/>
      </w:pPr>
      <w:r>
        <w:t xml:space="preserve">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pPr>
        <w:pStyle w:val="BodyText"/>
      </w:pPr>
      <w:r>
        <w:t xml:space="preserve">The jurisdiction files are organized hierarchically with 4 regional base files defining common fee structures: -</w:t>
      </w:r>
      <w:r>
        <w:t xml:space="preserve"> </w:t>
      </w:r>
      <w:r>
        <w:rPr>
          <w:b/>
          <w:bCs/>
        </w:rPr>
        <w:t xml:space="preserve">base_ep.ipf</w:t>
      </w:r>
      <w:r>
        <w:t xml:space="preserve">: European Patent Convention member states (38 countries) -</w:t>
      </w:r>
      <w:r>
        <w:t xml:space="preserve"> </w:t>
      </w:r>
      <w:r>
        <w:rPr>
          <w:b/>
          <w:bCs/>
        </w:rPr>
        <w:t xml:space="preserve">base_ea.ipf</w:t>
      </w:r>
      <w:r>
        <w:t xml:space="preserve">: Eurasian Patent Organization member states (9 countries)</w:t>
      </w:r>
      <w:r>
        <w:br/>
      </w:r>
      <w:r>
        <w:t xml:space="preserve">-</w:t>
      </w:r>
      <w:r>
        <w:t xml:space="preserve"> </w:t>
      </w:r>
      <w:r>
        <w:rPr>
          <w:b/>
          <w:bCs/>
        </w:rPr>
        <w:t xml:space="preserve">base_ap.ipf</w:t>
      </w:r>
      <w:r>
        <w:t xml:space="preserve">: African Regional Intellectual Property Organization (ARIPO) member states (19 countries) -</w:t>
      </w:r>
      <w:r>
        <w:t xml:space="preserve"> </w:t>
      </w:r>
      <w:r>
        <w:rPr>
          <w:b/>
          <w:bCs/>
        </w:rPr>
        <w:t xml:space="preserve">base_oa.ipf</w:t>
      </w:r>
      <w:r>
        <w:t xml:space="preserve">: African Intellectual Property Organization (OAPI) member states (17 countries)</w:t>
      </w:r>
    </w:p>
    <w:p>
      <w:pPr>
        <w:pStyle w:val="BodyText"/>
      </w:pPr>
      <w:r>
        <w:t xml:space="preserve">Individual jurisdiction files either stand alone or inherit from and extend their regional base using the COMPOSE directive.</w:t>
      </w:r>
    </w:p>
    <w:p>
      <w:pPr>
        <w:pStyle w:val="BodyText"/>
      </w:pPr>
      <w:r>
        <w:t xml:space="preserve">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bookmarkEnd w:id="98"/>
    <w:bookmarkStart w:id="99" w:name="test-suite"/>
    <w:p>
      <w:pPr>
        <w:pStyle w:val="Heading3"/>
      </w:pPr>
      <w:r>
        <w:t xml:space="preserve">7.3 Test Suite</w:t>
      </w:r>
    </w:p>
    <w:p>
      <w:pPr>
        <w:pStyle w:val="FirstParagraph"/>
      </w:pPr>
      <w:r>
        <w:t xml:space="preserve">The test suite comprises 260 test methods across 18 test categories covering:</w:t>
      </w:r>
    </w:p>
    <w:tbl>
      <w:tblPr>
        <w:tblStyle w:val="Table"/>
        <w:tblW w:type="pct" w:w="3915"/>
        <w:tblLayout w:type="fixed"/>
        <w:tblLook w:firstRow="1" w:lastRow="0" w:firstColumn="0" w:lastColumn="0" w:noHBand="0" w:noVBand="0" w:val="0020"/>
      </w:tblPr>
      <w:tblGrid>
        <w:gridCol w:w="2588"/>
        <w:gridCol w:w="676"/>
        <w:gridCol w:w="2936"/>
      </w:tblGrid>
      <w:tr>
        <w:trPr>
          <w:tblHeader w:val="on"/>
        </w:trPr>
        <w:tc>
          <w:tcPr/>
          <w:p>
            <w:pPr>
              <w:pStyle w:val="Compact"/>
            </w:pPr>
            <w:r>
              <w:t xml:space="preserve">Category</w:t>
            </w:r>
          </w:p>
        </w:tc>
        <w:tc>
          <w:tcPr/>
          <w:p>
            <w:pPr>
              <w:pStyle w:val="Compact"/>
            </w:pPr>
            <w:r>
              <w:t xml:space="preserve">Tests</w:t>
            </w:r>
          </w:p>
        </w:tc>
        <w:tc>
          <w:tcPr/>
          <w:p>
            <w:pPr>
              <w:pStyle w:val="Compact"/>
            </w:pPr>
            <w:r>
              <w:t xml:space="preserve">Coverage</w:t>
            </w:r>
          </w:p>
        </w:tc>
      </w:tr>
      <w:tr>
        <w:tc>
          <w:tcPr/>
          <w:p>
            <w:pPr>
              <w:pStyle w:val="Compact"/>
            </w:pPr>
            <w:r>
              <w:t xml:space="preserve">Calculator operations</w:t>
            </w:r>
          </w:p>
        </w:tc>
        <w:tc>
          <w:tcPr/>
          <w:p>
            <w:pPr>
              <w:pStyle w:val="Compact"/>
            </w:pPr>
            <w:r>
              <w:t xml:space="preserve">15</w:t>
            </w:r>
          </w:p>
        </w:tc>
        <w:tc>
          <w:tcPr/>
          <w:p>
            <w:pPr>
              <w:pStyle w:val="Compact"/>
            </w:pPr>
            <w:r>
              <w:t xml:space="preserve">Basic fee computation</w:t>
            </w:r>
          </w:p>
        </w:tc>
      </w:tr>
      <w:tr>
        <w:tc>
          <w:tcPr/>
          <w:p>
            <w:pPr>
              <w:pStyle w:val="Compact"/>
            </w:pPr>
            <w:r>
              <w:t xml:space="preserve">Currency type safety</w:t>
            </w:r>
          </w:p>
        </w:tc>
        <w:tc>
          <w:tcPr/>
          <w:p>
            <w:pPr>
              <w:pStyle w:val="Compact"/>
            </w:pPr>
            <w:r>
              <w:t xml:space="preserve">31</w:t>
            </w:r>
          </w:p>
        </w:tc>
        <w:tc>
          <w:tcPr/>
          <w:p>
            <w:pPr>
              <w:pStyle w:val="Compact"/>
            </w:pPr>
            <w:r>
              <w:t xml:space="preserve">Type checking, 161 currencies</w:t>
            </w:r>
          </w:p>
        </w:tc>
      </w:tr>
      <w:tr>
        <w:tc>
          <w:tcPr/>
          <w:p>
            <w:pPr>
              <w:pStyle w:val="Compact"/>
            </w:pPr>
            <w:r>
              <w:t xml:space="preserve">Completeness verification</w:t>
            </w:r>
          </w:p>
        </w:tc>
        <w:tc>
          <w:tcPr/>
          <w:p>
            <w:pPr>
              <w:pStyle w:val="Compact"/>
            </w:pPr>
            <w:r>
              <w:t xml:space="preserve">25</w:t>
            </w:r>
          </w:p>
        </w:tc>
        <w:tc>
          <w:tcPr/>
          <w:p>
            <w:pPr>
              <w:pStyle w:val="Compact"/>
            </w:pPr>
            <w:r>
              <w:t xml:space="preserve">Gap detection, sampling</w:t>
            </w:r>
          </w:p>
        </w:tc>
      </w:tr>
      <w:tr>
        <w:tc>
          <w:tcPr/>
          <w:p>
            <w:pPr>
              <w:pStyle w:val="Compact"/>
            </w:pPr>
            <w:r>
              <w:t xml:space="preserve">Monotonicity verification</w:t>
            </w:r>
          </w:p>
        </w:tc>
        <w:tc>
          <w:tcPr/>
          <w:p>
            <w:pPr>
              <w:pStyle w:val="Compact"/>
            </w:pPr>
            <w:r>
              <w:t xml:space="preserve">4</w:t>
            </w:r>
          </w:p>
        </w:tc>
        <w:tc>
          <w:tcPr/>
          <w:p>
            <w:pPr>
              <w:pStyle w:val="Compact"/>
            </w:pPr>
            <w:r>
              <w:t xml:space="preserve">Direction enforcement</w:t>
            </w:r>
          </w:p>
        </w:tc>
      </w:tr>
      <w:tr>
        <w:tc>
          <w:tcPr/>
          <w:p>
            <w:pPr>
              <w:pStyle w:val="Compact"/>
            </w:pPr>
            <w:r>
              <w:t xml:space="preserve">Temporal operations</w:t>
            </w:r>
          </w:p>
        </w:tc>
        <w:tc>
          <w:tcPr/>
          <w:p>
            <w:pPr>
              <w:pStyle w:val="Compact"/>
            </w:pPr>
            <w:r>
              <w:t xml:space="preserve">54</w:t>
            </w:r>
          </w:p>
        </w:tc>
        <w:tc>
          <w:tcPr/>
          <w:p>
            <w:pPr>
              <w:pStyle w:val="Compact"/>
            </w:pPr>
            <w:r>
              <w:t xml:space="preserve">Date calculations</w:t>
            </w:r>
          </w:p>
        </w:tc>
      </w:tr>
      <w:tr>
        <w:tc>
          <w:tcPr/>
          <w:p>
            <w:pPr>
              <w:pStyle w:val="Compact"/>
            </w:pPr>
            <w:r>
              <w:t xml:space="preserve">Provenance tracking</w:t>
            </w:r>
          </w:p>
        </w:tc>
        <w:tc>
          <w:tcPr/>
          <w:p>
            <w:pPr>
              <w:pStyle w:val="Compact"/>
            </w:pPr>
            <w:r>
              <w:t xml:space="preserve">20</w:t>
            </w:r>
          </w:p>
        </w:tc>
        <w:tc>
          <w:tcPr/>
          <w:p>
            <w:pPr>
              <w:pStyle w:val="Compact"/>
            </w:pPr>
            <w:r>
              <w:t xml:space="preserve">Audit trails</w:t>
            </w:r>
          </w:p>
        </w:tc>
      </w:tr>
      <w:tr>
        <w:tc>
          <w:tcPr/>
          <w:p>
            <w:pPr>
              <w:pStyle w:val="Compact"/>
            </w:pPr>
            <w:r>
              <w:t xml:space="preserve">Jurisdiction composition</w:t>
            </w:r>
          </w:p>
        </w:tc>
        <w:tc>
          <w:tcPr/>
          <w:p>
            <w:pPr>
              <w:pStyle w:val="Compact"/>
            </w:pPr>
            <w:r>
              <w:t xml:space="preserve">19</w:t>
            </w:r>
          </w:p>
        </w:tc>
        <w:tc>
          <w:tcPr/>
          <w:p>
            <w:pPr>
              <w:pStyle w:val="Compact"/>
            </w:pPr>
            <w:r>
              <w:t xml:space="preserve">Inheritance, overrides</w:t>
            </w:r>
          </w:p>
        </w:tc>
      </w:tr>
      <w:tr>
        <w:tc>
          <w:tcPr/>
          <w:p>
            <w:pPr>
              <w:pStyle w:val="Compact"/>
            </w:pPr>
            <w:r>
              <w:t xml:space="preserve">Versioning</w:t>
            </w:r>
          </w:p>
        </w:tc>
        <w:tc>
          <w:tcPr/>
          <w:p>
            <w:pPr>
              <w:pStyle w:val="Compact"/>
            </w:pPr>
            <w:r>
              <w:t xml:space="preserve">21</w:t>
            </w:r>
          </w:p>
        </w:tc>
        <w:tc>
          <w:tcPr/>
          <w:p>
            <w:pPr>
              <w:pStyle w:val="Compact"/>
            </w:pPr>
            <w:r>
              <w:t xml:space="preserve">Diff, impact analysis</w:t>
            </w:r>
          </w:p>
        </w:tc>
      </w:tr>
      <w:tr>
        <w:tc>
          <w:tcPr/>
          <w:p>
            <w:pPr>
              <w:pStyle w:val="Compact"/>
            </w:pPr>
            <w:r>
              <w:t xml:space="preserve">Other</w:t>
            </w:r>
          </w:p>
        </w:tc>
        <w:tc>
          <w:tcPr/>
          <w:p>
            <w:pPr>
              <w:pStyle w:val="Compact"/>
            </w:pPr>
            <w:r>
              <w:t xml:space="preserve">77</w:t>
            </w:r>
          </w:p>
        </w:tc>
        <w:tc>
          <w:tcPr/>
          <w:p>
            <w:pPr>
              <w:pStyle w:val="Compact"/>
            </w:pPr>
            <w:r>
              <w:t xml:space="preserve">Semantics, parsing, logic</w:t>
            </w:r>
          </w:p>
        </w:tc>
      </w:tr>
    </w:tbl>
    <w:p>
      <w:pPr>
        <w:pStyle w:val="BodyText"/>
      </w:pPr>
      <w:r>
        <w:t xml:space="preserve">All 260 tests pass with 100% success rate. Test execution completes in sub-millisecond time per test, confirming that DSL interpretation imposes negligible overhead.</w:t>
      </w:r>
    </w:p>
    <w:bookmarkEnd w:id="99"/>
    <w:bookmarkStart w:id="100" w:name="threats-to-validity"/>
    <w:p>
      <w:pPr>
        <w:pStyle w:val="Heading3"/>
      </w:pPr>
      <w:r>
        <w:t xml:space="preserve">7.4 Threats to Validity</w:t>
      </w:r>
    </w:p>
    <w:p>
      <w:pPr>
        <w:pStyle w:val="FirstParagraph"/>
      </w:pPr>
      <w:r>
        <w:rPr>
          <w:b/>
          <w:bCs/>
        </w:rPr>
        <w:t xml:space="preserve">Internal Validity.</w:t>
      </w:r>
      <w:r>
        <w:t xml:space="preserve"> </w:t>
      </w:r>
      <w:r>
        <w:t xml:space="preserve">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pPr>
        <w:pStyle w:val="BodyText"/>
      </w:pPr>
      <w:r>
        <w:rPr>
          <w:b/>
          <w:bCs/>
        </w:rPr>
        <w:t xml:space="preserve">External Validity.</w:t>
      </w:r>
      <w:r>
        <w:t xml:space="preserve"> </w:t>
      </w:r>
      <w:r>
        <w:t xml:space="preserve">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pPr>
        <w:pStyle w:val="BodyText"/>
      </w:pPr>
      <w:r>
        <w:rPr>
          <w:b/>
          <w:bCs/>
        </w:rPr>
        <w:t xml:space="preserve">Construct Validity.</w:t>
      </w:r>
      <w:r>
        <w:t xml:space="preserve"> </w:t>
      </w:r>
      <w:r>
        <w:t xml:space="preserve">Performance measurements reflect test execution time, not isolated component performance. Claims about syntax readability for practitioners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these design hypotheses have not been validated through controlled experiments with practitioners. This limitation should be considered when evaluating claims about the language’s accessibility.</w:t>
      </w:r>
    </w:p>
    <w:p>
      <w:pPr>
        <w:pStyle w:val="BodyText"/>
      </w:pPr>
      <w:r>
        <w:rPr>
          <w:b/>
          <w:bCs/>
        </w:rPr>
        <w:t xml:space="preserve">Reliability.</w:t>
      </w:r>
      <w:r>
        <w:t xml:space="preserve"> </w:t>
      </w:r>
      <w:r>
        <w:t xml:space="preserve">Results are reproducible via the open-source implementation. The validation test cases can be independently verified against official fee schedule documents. Exchange rate-dependent calculations (not present in the current examples) would introduce temporal variation.</w:t>
      </w:r>
    </w:p>
    <w:bookmarkEnd w:id="100"/>
    <w:bookmarkEnd w:id="101"/>
    <w:bookmarkStart w:id="105" w:name="discussion"/>
    <w:p>
      <w:pPr>
        <w:pStyle w:val="Heading1"/>
      </w:pPr>
      <w:r>
        <w:t xml:space="preserve">8. Discussion</w:t>
      </w:r>
    </w:p>
    <w:bookmarkStart w:id="102" w:name="X4751bc7d735a50ea620a2fcf89a198e11d52395"/>
    <w:p>
      <w:pPr>
        <w:pStyle w:val="Heading3"/>
      </w:pPr>
      <w:r>
        <w:t xml:space="preserve">8.1 Advantages of DSL-Based Formal Specification</w:t>
      </w:r>
    </w:p>
    <w:p>
      <w:pPr>
        <w:pStyle w:val="FirstParagraph"/>
      </w:pPr>
      <w:r>
        <w:rPr>
          <w:b/>
          <w:bCs/>
        </w:rPr>
        <w:t xml:space="preserve">Transparency and auditability.</w:t>
      </w:r>
      <w:r>
        <w:t xml:space="preserve"> </w:t>
      </w:r>
      <w:r>
        <w:t xml:space="preserve">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pPr>
        <w:pStyle w:val="BodyText"/>
      </w:pPr>
      <w:r>
        <w:rPr>
          <w:b/>
          <w:bCs/>
        </w:rPr>
        <w:t xml:space="preserve">Formal verification.</w:t>
      </w:r>
      <w:r>
        <w:t xml:space="preserve"> </w:t>
      </w:r>
      <w:r>
        <w:t xml:space="preserve">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pPr>
        <w:pStyle w:val="BodyText"/>
      </w:pPr>
      <w:r>
        <w:rPr>
          <w:b/>
          <w:bCs/>
        </w:rPr>
        <w:t xml:space="preserve">Vendor independence.</w:t>
      </w:r>
      <w:r>
        <w:t xml:space="preserve"> </w:t>
      </w:r>
      <w:r>
        <w:t xml:space="preserve">IPFLang-based calculations are vendor-neutral: any conforming interpreter can execute scripts. Multiple tools can compete on user experience while using a shared, open calculation engine.</w:t>
      </w:r>
    </w:p>
    <w:p>
      <w:pPr>
        <w:pStyle w:val="BodyText"/>
      </w:pPr>
      <w:r>
        <w:rPr>
          <w:b/>
          <w:bCs/>
        </w:rPr>
        <w:t xml:space="preserve">Rapid adaptation.</w:t>
      </w:r>
      <w:r>
        <w:t xml:space="preserve"> </w:t>
      </w:r>
      <w:r>
        <w:t xml:space="preserve">Government fee schedules change frequently. IPFLang enables updates through script editing and verification, compared to longer cycles for traditional software development.</w:t>
      </w:r>
    </w:p>
    <w:p>
      <w:pPr>
        <w:pStyle w:val="BodyText"/>
      </w:pPr>
      <w:r>
        <w:rPr>
          <w:b/>
          <w:bCs/>
        </w:rPr>
        <w:t xml:space="preserve">Predictability over AI alternatives.</w:t>
      </w:r>
      <w:r>
        <w:t xml:space="preserve"> </w:t>
      </w:r>
      <w:r>
        <w:t xml:space="preserve">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IP practitioners to verify correctness directly against authoritative fee schedules.</w:t>
      </w:r>
    </w:p>
    <w:bookmarkEnd w:id="102"/>
    <w:bookmarkStart w:id="103" w:name="cross-domain-applicability"/>
    <w:p>
      <w:pPr>
        <w:pStyle w:val="Heading3"/>
      </w:pPr>
      <w:r>
        <w:t xml:space="preserve">8.2 Cross-Domain Applicability</w:t>
      </w:r>
    </w:p>
    <w:p>
      <w:pPr>
        <w:pStyle w:val="FirstParagraph"/>
      </w:pPr>
      <w:r>
        <w:t xml:space="preserve">IPFLang’s design patterns address common regulatory calculation structures beyond intellectual property.</w:t>
      </w:r>
    </w:p>
    <w:p>
      <w:pPr>
        <w:pStyle w:val="BodyText"/>
      </w:pPr>
      <w:r>
        <w:rPr>
          <w:b/>
          <w:bCs/>
        </w:rPr>
        <w:t xml:space="preserve">Entity-based pricing tiers</w:t>
      </w:r>
      <w:r>
        <w:t xml:space="preserve"> </w:t>
      </w:r>
      <w:r>
        <w:t xml:space="preserve">apply different fees based on entity characteristics. In IP, USPTO discounts of 60% (small) and 80% (micro) exemplify this pattern. Cross-domain applications include SME tax rates, tiered professional licensing, and asset-based regulatory fees.</w:t>
      </w:r>
    </w:p>
    <w:p>
      <w:pPr>
        <w:pStyle w:val="BodyText"/>
      </w:pPr>
      <w:r>
        <w:rPr>
          <w:b/>
          <w:bCs/>
        </w:rPr>
        <w:t xml:space="preserve">Volume-based progressive pricing</w:t>
      </w:r>
      <w:r>
        <w:t xml:space="preserve"> </w:t>
      </w:r>
      <w:r>
        <w:t xml:space="preserve">uses marginal pricing where unit cost changes at thresholds. In IP, claim fees charge one rate for claims 1-15, another for 16-50, and higher for 51+. Cross-domain applications include import duties, tiered utility pricing, and bulk discount structures.</w:t>
      </w:r>
    </w:p>
    <w:p>
      <w:pPr>
        <w:pStyle w:val="BodyText"/>
      </w:pPr>
      <w:r>
        <w:rPr>
          <w:b/>
          <w:bCs/>
        </w:rPr>
        <w:t xml:space="preserve">Temporal dependencies</w:t>
      </w:r>
      <w:r>
        <w:t xml:space="preserve"> </w:t>
      </w:r>
      <w:r>
        <w:t xml:space="preserve">involve fees varying based on elapsed time. In IP, maintenance fees are due at specific intervals after grant. Cross-domain applications include late payment penalties, license renewals, and filing deadline calculations.</w:t>
      </w:r>
    </w:p>
    <w:p>
      <w:pPr>
        <w:pStyle w:val="BodyText"/>
      </w:pPr>
      <w:r>
        <w:rPr>
          <w:b/>
          <w:bCs/>
        </w:rPr>
        <w:t xml:space="preserve">Multi-component additive fees</w:t>
      </w:r>
      <w:r>
        <w:t xml:space="preserve"> </w:t>
      </w:r>
      <w:r>
        <w:t xml:space="preserve">calculate totals as sums of independent components. In IP, totals combine filing, search, examination, and claim fees. Cross-domain applications include building permits, vehicle registration, and business licensing with endorsements.</w:t>
      </w:r>
    </w:p>
    <w:p>
      <w:pPr>
        <w:pStyle w:val="BodyText"/>
      </w:pPr>
      <w:r>
        <w:t xml:space="preserve">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bookmarkEnd w:id="103"/>
    <w:bookmarkStart w:id="104" w:name="limitations"/>
    <w:p>
      <w:pPr>
        <w:pStyle w:val="Heading3"/>
      </w:pPr>
      <w:r>
        <w:t xml:space="preserve">8.3 Limitations</w:t>
      </w:r>
    </w:p>
    <w:p>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pPr>
        <w:pStyle w:val="BodyText"/>
      </w:pPr>
      <w:r>
        <w:t xml:space="preserve">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pPr>
        <w:pStyle w:val="BodyText"/>
      </w:pPr>
      <w:r>
        <w:t xml:space="preserve">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bookmarkEnd w:id="104"/>
    <w:bookmarkEnd w:id="105"/>
    <w:bookmarkStart w:id="106" w:name="conclusions-and-future-work"/>
    <w:p>
      <w:pPr>
        <w:pStyle w:val="Heading1"/>
      </w:pPr>
      <w:r>
        <w:t xml:space="preserve">9. Conclusions and Future Work</w:t>
      </w:r>
    </w:p>
    <w:p>
      <w:pPr>
        <w:pStyle w:val="FirstParagraph"/>
      </w:pPr>
      <w:r>
        <w:t xml:space="preserve">This paper introduced IPFLang, a domain-specific language for formally specifying intellectual property fee calculations. The key contributions are:</w:t>
      </w:r>
    </w:p>
    <w:p>
      <w:pPr>
        <w:numPr>
          <w:ilvl w:val="0"/>
          <w:numId w:val="1018"/>
        </w:numPr>
      </w:pPr>
      <w:r>
        <w:rPr>
          <w:b/>
          <w:bCs/>
        </w:rPr>
        <w:t xml:space="preserve">Language specification</w:t>
      </w:r>
      <w:r>
        <w:t xml:space="preserve"> </w:t>
      </w:r>
      <w:r>
        <w:t xml:space="preserve">with declarative syntax designed for readability, featuring keyword-based operators (EQ, GT, AND) rather than symbolic notation, explicit block delimiters, and domain-specific primitives for currency and temporal operations.</w:t>
      </w:r>
    </w:p>
    <w:p>
      <w:pPr>
        <w:numPr>
          <w:ilvl w:val="0"/>
          <w:numId w:val="1018"/>
        </w:numPr>
      </w:pPr>
      <w:r>
        <w:rPr>
          <w:b/>
          <w:bCs/>
        </w:rPr>
        <w:t xml:space="preserve">Currency-aware type system</w:t>
      </w:r>
      <w:r>
        <w:t xml:space="preserve"> </w:t>
      </w:r>
      <w:r>
        <w:t xml:space="preserve">supporting 161 ISO 4217 currencies with compile-time prevention of cross-currency arithmetic errors, formalized through typing rules with proven soundness properties.</w:t>
      </w:r>
    </w:p>
    <w:p>
      <w:pPr>
        <w:numPr>
          <w:ilvl w:val="0"/>
          <w:numId w:val="1018"/>
        </w:numPr>
      </w:pPr>
      <w:r>
        <w:rPr>
          <w:b/>
          <w:bCs/>
        </w:rPr>
        <w:t xml:space="preserve">Static analysis algorithms</w:t>
      </w:r>
      <w:r>
        <w:t xml:space="preserve"> </w:t>
      </w:r>
      <w:r>
        <w:t xml:space="preserve">for completeness checking (exhaustive verification for domains ≤10⁶ providing formal guarantees, boundary-based testing for larger domains) and monotonicity verification (ensuring fees behave predictably with respect to numeric inputs).</w:t>
      </w:r>
    </w:p>
    <w:p>
      <w:pPr>
        <w:numPr>
          <w:ilvl w:val="0"/>
          <w:numId w:val="1018"/>
        </w:numPr>
      </w:pPr>
      <w:r>
        <w:rPr>
          <w:b/>
          <w:bCs/>
        </w:rPr>
        <w:t xml:space="preserve">Provenance tracking</w:t>
      </w:r>
      <w:r>
        <w:t xml:space="preserve"> </w:t>
      </w:r>
      <w:r>
        <w:t xml:space="preserve">with counterfactual analysis supporting auditability requirements for regulatory compliance and dispute resolution.</w:t>
      </w:r>
    </w:p>
    <w:p>
      <w:pPr>
        <w:numPr>
          <w:ilvl w:val="0"/>
          <w:numId w:val="1018"/>
        </w:numPr>
      </w:pPr>
      <w:r>
        <w:rPr>
          <w:b/>
          <w:bCs/>
        </w:rPr>
        <w:t xml:space="preserve">Reference implementation</w:t>
      </w:r>
      <w:r>
        <w:t xml:space="preserve"> </w:t>
      </w:r>
      <w:r>
        <w:t xml:space="preserve">validated through 260 passing tests, verification against official EPO and USPTO fee schedules, and 118 production jurisdiction files covering PCT national/regional phase entry.</w:t>
      </w:r>
    </w:p>
    <w:p>
      <w:pPr>
        <w:pStyle w:val="FirstParagraph"/>
      </w:pPr>
      <w:r>
        <w:t xml:space="preserve">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pPr>
        <w:pStyle w:val="BodyText"/>
      </w:pPr>
      <w:r>
        <w:t xml:space="preserve">Several directions merit future investigation. On the implementation front, a REST API conforming to OpenAPI standards would enable enterprise integration, while community contributions could expand jurisdiction coverage beyond the current 118 files. Cross-domain pilots - particularly in tax calculations and customs duties - would test IPFLang's broader applicability. From a theoretical perspective, mechanizing the type soundness 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bookmarkEnd w:id="106"/>
    <w:bookmarkStart w:id="132" w:name="references"/>
    <w:p>
      <w:pPr>
        <w:pStyle w:val="Heading1"/>
      </w:pPr>
      <w:r>
        <w:t xml:space="preserve">References</w:t>
      </w:r>
    </w:p>
    <w:p>
      <w:pPr>
        <w:pStyle w:val="FirstParagraph"/>
      </w:pPr>
      <w:r>
        <w:t xml:space="preserve">[1] United States Patent and Trademark Office, 2025. USPTO Fee Schedule.</w:t>
      </w:r>
      <w:r>
        <w:t xml:space="preserve"> </w:t>
      </w:r>
      <w:hyperlink r:id="rId107">
        <w:r>
          <w:rPr>
            <w:rStyle w:val="Hyperlink"/>
          </w:rPr>
          <w:t xml:space="preserve">https://www.uspto.gov/learning-and-resources/fees-and-payment/uspto-fee-schedule</w:t>
        </w:r>
      </w:hyperlink>
      <w:r>
        <w:t xml:space="preserve"> </w:t>
      </w:r>
      <w:r>
        <w:t xml:space="preserve">(accessed 15 December 2025).</w:t>
      </w:r>
    </w:p>
    <w:p>
      <w:pPr>
        <w:pStyle w:val="BodyText"/>
      </w:pPr>
      <w:r>
        <w:t xml:space="preserve">[2] European Patent Office, 2024. EPO Schedule of Fees.</w:t>
      </w:r>
      <w:r>
        <w:t xml:space="preserve"> </w:t>
      </w:r>
      <w:hyperlink r:id="rId108">
        <w:r>
          <w:rPr>
            <w:rStyle w:val="Hyperlink"/>
          </w:rPr>
          <w:t xml:space="preserve">https://my.epoline.org/epoline-portal/classic/epoline.Scheduleoffees</w:t>
        </w:r>
      </w:hyperlink>
      <w:r>
        <w:t xml:space="preserve"> </w:t>
      </w:r>
      <w:r>
        <w:t xml:space="preserve">(accessed 15 December 2025).</w:t>
      </w:r>
    </w:p>
    <w:p>
      <w:pPr>
        <w:pStyle w:val="BodyText"/>
      </w:pPr>
      <w:r>
        <w:t xml:space="preserve">[3] Japan Patent Office, 2024. JPO Fee Information.</w:t>
      </w:r>
      <w:r>
        <w:t xml:space="preserve"> </w:t>
      </w:r>
      <w:hyperlink r:id="rId109">
        <w:r>
          <w:rPr>
            <w:rStyle w:val="Hyperlink"/>
          </w:rPr>
          <w:t xml:space="preserve">https://www.jpo.go.jp/</w:t>
        </w:r>
      </w:hyperlink>
      <w:r>
        <w:t xml:space="preserve"> </w:t>
      </w:r>
      <w:r>
        <w:t xml:space="preserve">(accessed 15 December 2025).</w:t>
      </w:r>
    </w:p>
    <w:p>
      <w:pPr>
        <w:pStyle w:val="BodyText"/>
      </w:pPr>
      <w:r>
        <w:t xml:space="preserve">[4] World Intellectual Property Organization, 2024. WIPO PCT Fee Tables.</w:t>
      </w:r>
      <w:r>
        <w:t xml:space="preserve"> </w:t>
      </w:r>
      <w:hyperlink r:id="rId110">
        <w:r>
          <w:rPr>
            <w:rStyle w:val="Hyperlink"/>
          </w:rPr>
          <w:t xml:space="preserve">https://www.wipo.int/</w:t>
        </w:r>
      </w:hyperlink>
      <w:r>
        <w:t xml:space="preserve"> </w:t>
      </w:r>
      <w:r>
        <w:t xml:space="preserve">(accessed 15 December 2025).</w:t>
      </w:r>
    </w:p>
    <w:p>
      <w:pPr>
        <w:pStyle w:val="BodyText"/>
      </w:pPr>
      <w:r>
        <w:t xml:space="preserve">[5] CPA Global (Clarivate), 2024. IP Management Solutions.</w:t>
      </w:r>
      <w:r>
        <w:t xml:space="preserve"> </w:t>
      </w:r>
      <w:hyperlink r:id="rId111">
        <w:r>
          <w:rPr>
            <w:rStyle w:val="Hyperlink"/>
          </w:rPr>
          <w:t xml:space="preserve">https://www.cpaglobal.com/</w:t>
        </w:r>
      </w:hyperlink>
      <w:r>
        <w:t xml:space="preserve"> </w:t>
      </w:r>
      <w:r>
        <w:t xml:space="preserve">(accessed 15 December 2025).</w:t>
      </w:r>
    </w:p>
    <w:p>
      <w:pPr>
        <w:pStyle w:val="BodyText"/>
      </w:pPr>
      <w:r>
        <w:t xml:space="preserve">[6] T. Athan, H. Boley, G. Governatori, M. Palmirani, A. Paschke, A. Wyner, LegalRuleML: Design Principles and Foundations, in: Reasoning Web. Web Logic Rules, Springer, Cham, 2015, pp. 151–188.</w:t>
      </w:r>
      <w:r>
        <w:t xml:space="preserve"> </w:t>
      </w:r>
      <w:hyperlink r:id="rId112">
        <w:r>
          <w:rPr>
            <w:rStyle w:val="Hyperlink"/>
          </w:rPr>
          <w:t xml:space="preserve">https://doi.org/10.1007/978-3-319-21768-0_6</w:t>
        </w:r>
      </w:hyperlink>
      <w:r>
        <w:t xml:space="preserve">.</w:t>
      </w:r>
    </w:p>
    <w:p>
      <w:pPr>
        <w:pStyle w:val="BodyText"/>
      </w:pPr>
      <w:r>
        <w:t xml:space="preserve">[7] D. Merigoux, N. Chataing, J. Protzenko, Catala: A Programming Language for the Law, Proc. ACM Program. Lang. 5 (ICFP) (2021) Article 77.</w:t>
      </w:r>
      <w:r>
        <w:t xml:space="preserve"> </w:t>
      </w:r>
      <w:hyperlink r:id="rId113">
        <w:r>
          <w:rPr>
            <w:rStyle w:val="Hyperlink"/>
          </w:rPr>
          <w:t xml:space="preserve">https://doi.org/10.1145/3473582</w:t>
        </w:r>
      </w:hyperlink>
      <w:r>
        <w:t xml:space="preserve">.</w:t>
      </w:r>
    </w:p>
    <w:p>
      <w:pPr>
        <w:pStyle w:val="BodyText"/>
      </w:pPr>
      <w:r>
        <w:t xml:space="preserve">[8] World Intellectual Property Organization, 2023. WIPO ST.96 - Processing of IP Information using XML.</w:t>
      </w:r>
      <w:r>
        <w:t xml:space="preserve"> </w:t>
      </w:r>
      <w:hyperlink r:id="rId114">
        <w:r>
          <w:rPr>
            <w:rStyle w:val="Hyperlink"/>
          </w:rPr>
          <w:t xml:space="preserve">https://www.wipo.int/standards/en/st96.html</w:t>
        </w:r>
      </w:hyperlink>
      <w:r>
        <w:t xml:space="preserve"> </w:t>
      </w:r>
      <w:r>
        <w:t xml:space="preserve">(accessed 15 December 2025).</w:t>
      </w:r>
    </w:p>
    <w:p>
      <w:pPr>
        <w:pStyle w:val="BodyText"/>
      </w:pPr>
      <w:r>
        <w:t xml:space="preserve">[9] European Patent Office, 2024. EPO Open Patent Services (OPS) API.</w:t>
      </w:r>
      <w:r>
        <w:t xml:space="preserve"> </w:t>
      </w:r>
      <w:hyperlink r:id="rId115">
        <w:r>
          <w:rPr>
            <w:rStyle w:val="Hyperlink"/>
          </w:rPr>
          <w:t xml:space="preserve">https://www.epo.org/searching-for-patents/data/web-services/ops.html</w:t>
        </w:r>
      </w:hyperlink>
      <w:r>
        <w:t xml:space="preserve"> </w:t>
      </w:r>
      <w:r>
        <w:t xml:space="preserve">(accessed 15 December 2025).</w:t>
      </w:r>
    </w:p>
    <w:p>
      <w:pPr>
        <w:pStyle w:val="BodyText"/>
      </w:pPr>
      <w:r>
        <w:t xml:space="preserve">[10] T. Hvitved, Contract Formalisation and Modular Implementation of Domain-Specific Languages, PhD Thesis, University of Copenhagen, Denmark, 2011.</w:t>
      </w:r>
    </w:p>
    <w:p>
      <w:pPr>
        <w:pStyle w:val="BodyText"/>
      </w:pPr>
      <w:r>
        <w:t xml:space="preserve">[11] A. Kennedy, Types for Units-of-Measure: Theory and Practice, in: Central European Functional Programming School (CEFP 2009), Springer, 2010, pp. 268–305.</w:t>
      </w:r>
      <w:r>
        <w:t xml:space="preserve"> </w:t>
      </w:r>
      <w:hyperlink r:id="rId116">
        <w:r>
          <w:rPr>
            <w:rStyle w:val="Hyperlink"/>
          </w:rPr>
          <w:t xml:space="preserve">https://doi.org/10.1007/978-3-642-17685-2_8</w:t>
        </w:r>
      </w:hyperlink>
      <w:r>
        <w:t xml:space="preserve">.</w:t>
      </w:r>
    </w:p>
    <w:p>
      <w:pPr>
        <w:pStyle w:val="BodyText"/>
      </w:pPr>
      <w:r>
        <w:t xml:space="preserve">[12] OpenFisca Contributors, 2024. OpenFisca: Open-source platform for tax-benefit microsimulation.</w:t>
      </w:r>
      <w:r>
        <w:t xml:space="preserve"> </w:t>
      </w:r>
      <w:hyperlink r:id="rId117">
        <w:r>
          <w:rPr>
            <w:rStyle w:val="Hyperlink"/>
          </w:rPr>
          <w:t xml:space="preserve">https://openfisca.org/</w:t>
        </w:r>
      </w:hyperlink>
      <w:r>
        <w:t xml:space="preserve"> </w:t>
      </w:r>
      <w:r>
        <w:t xml:space="preserve">(accessed 15 December 2025).</w:t>
      </w:r>
    </w:p>
    <w:p>
      <w:pPr>
        <w:pStyle w:val="BodyText"/>
      </w:pPr>
      <w:r>
        <w:t xml:space="preserve">[13] Red Hat, 2024. Drools Business Rules Management System.</w:t>
      </w:r>
      <w:r>
        <w:t xml:space="preserve"> </w:t>
      </w:r>
      <w:hyperlink r:id="rId118">
        <w:r>
          <w:rPr>
            <w:rStyle w:val="Hyperlink"/>
          </w:rPr>
          <w:t xml:space="preserve">https://www.drools.org/</w:t>
        </w:r>
      </w:hyperlink>
      <w:r>
        <w:t xml:space="preserve"> </w:t>
      </w:r>
      <w:r>
        <w:t xml:space="preserve">(accessed 15 December 2025).</w:t>
      </w:r>
    </w:p>
    <w:p>
      <w:pPr>
        <w:pStyle w:val="BodyText"/>
      </w:pPr>
      <w:r>
        <w:t xml:space="preserve">[14] New Zealand Government, 2018. Better Rules for Government Discovery Report.</w:t>
      </w:r>
      <w:r>
        <w:t xml:space="preserve"> </w:t>
      </w:r>
      <w:hyperlink r:id="rId119">
        <w:r>
          <w:rPr>
            <w:rStyle w:val="Hyperlink"/>
          </w:rPr>
          <w:t xml:space="preserve">https://www.digital.govt.nz/dmsdocument/95-better-rules-for-government-discovery-report/html</w:t>
        </w:r>
      </w:hyperlink>
      <w:r>
        <w:t xml:space="preserve"> </w:t>
      </w:r>
      <w:r>
        <w:t xml:space="preserve">(accessed 15 December 2025).</w:t>
      </w:r>
    </w:p>
    <w:p>
      <w:pPr>
        <w:pStyle w:val="BodyText"/>
      </w:pPr>
      <w:r>
        <w:t xml:space="preserve">[15] M. Waddington, Rules as Code, IEEE IT Prof. 22 (3) (2020) 14–19.</w:t>
      </w:r>
    </w:p>
    <w:p>
      <w:pPr>
        <w:pStyle w:val="BodyText"/>
      </w:pPr>
      <w:r>
        <w:t xml:space="preserve">[16] M. Fowler, Domain-Specific Languages, Addison-Wesley, Boston, 2010.</w:t>
      </w:r>
    </w:p>
    <w:p>
      <w:pPr>
        <w:pStyle w:val="BodyText"/>
      </w:pPr>
      <w:r>
        <w:t xml:space="preserve">[17] A.V. Aho, M.S. Lam, R. Sethi, J.D. Ullman, Compilers: Principles, Techniques, and Tools, second ed., Addison-Wesley, Boston, 2006.</w:t>
      </w:r>
    </w:p>
    <w:p>
      <w:pPr>
        <w:pStyle w:val="BodyText"/>
      </w:pPr>
      <w:r>
        <w:t xml:space="preserve">[18] C.V. Chien, Holding Up and Holding Out, Michigan Telecommunications and Technology Law Review 21 (1) (2014) 1–44.</w:t>
      </w:r>
    </w:p>
    <w:p>
      <w:pPr>
        <w:pStyle w:val="BodyText"/>
      </w:pPr>
      <w:r>
        <w:t xml:space="preserve">[19] R. Bekkers, A. Updegrove, A Study of IPR Policies and Practices of a Representative Group of Standards Setting Organizations Worldwide, in: Proc. National Academies Symposium on Intellectual Property Rights, National Research Council, Washington, DC, 2012.</w:t>
      </w:r>
    </w:p>
    <w:p>
      <w:pPr>
        <w:pStyle w:val="BodyText"/>
      </w:pPr>
      <w:r>
        <w:t xml:space="preserve">[20] D. Orchard, V.-B. Liepelt, H. Eades III, Quantitative Program Reasoning with Graded Modal Types, Proc. ACM Program. Lang. 3 (ICFP) (2019) Article 110.</w:t>
      </w:r>
      <w:r>
        <w:t xml:space="preserve"> </w:t>
      </w:r>
      <w:hyperlink r:id="rId120">
        <w:r>
          <w:rPr>
            <w:rStyle w:val="Hyperlink"/>
          </w:rPr>
          <w:t xml:space="preserve">https://doi.org/10.1145/3341714</w:t>
        </w:r>
      </w:hyperlink>
      <w:r>
        <w:t xml:space="preserve">.</w:t>
      </w:r>
    </w:p>
    <w:p>
      <w:pPr>
        <w:pStyle w:val="BodyText"/>
      </w:pPr>
      <w:r>
        <w:t xml:space="preserve">[21] J. Mohun, A. Roberts, Cracking the Code: Rulemaking for Humans and Machines, OECD Working Papers on Public Governance, No. 42, OECD Publishing, Paris, 2020.</w:t>
      </w:r>
      <w:r>
        <w:t xml:space="preserve"> </w:t>
      </w:r>
      <w:hyperlink r:id="rId121">
        <w:r>
          <w:rPr>
            <w:rStyle w:val="Hyperlink"/>
          </w:rPr>
          <w:t xml:space="preserve">https://doi.org/10.1787/3afe6ba5-en</w:t>
        </w:r>
      </w:hyperlink>
      <w:r>
        <w:t xml:space="preserve">.</w:t>
      </w:r>
    </w:p>
    <w:p>
      <w:pPr>
        <w:pStyle w:val="BodyText"/>
      </w:pPr>
      <w:r>
        <w:t xml:space="preserve">[22] D. Rapson, J. Sheridan, J. Mohun, A. Roberts, Rules as Code for a More Transparent and Efficient Global Economy, Centre for International Governance Innovation (CIGI), Policy Brief No. 187, 2023.</w:t>
      </w:r>
    </w:p>
    <w:p>
      <w:pPr>
        <w:pStyle w:val="BodyText"/>
      </w:pPr>
      <w:r>
        <w:t xml:space="preserve">[23] M. Mernik, J. Heering, A.M. Sloane, When and How to Develop Domain-Specific Languages, ACM Comput. Surv. 37 (4) (2005) 316–344.</w:t>
      </w:r>
      <w:r>
        <w:t xml:space="preserve"> </w:t>
      </w:r>
      <w:hyperlink r:id="rId122">
        <w:r>
          <w:rPr>
            <w:rStyle w:val="Hyperlink"/>
          </w:rPr>
          <w:t xml:space="preserve">https://doi.org/10.1145/1118890.1118892</w:t>
        </w:r>
      </w:hyperlink>
      <w:r>
        <w:t xml:space="preserve">.</w:t>
      </w:r>
    </w:p>
    <w:p>
      <w:pPr>
        <w:pStyle w:val="BodyText"/>
      </w:pPr>
      <w:r>
        <w:t xml:space="preserve">[24] Java Community Process, JSR 354: Money and Currency API, Java Specification Request, 2015.</w:t>
      </w:r>
      <w:r>
        <w:t xml:space="preserve"> </w:t>
      </w:r>
      <w:hyperlink r:id="rId123">
        <w:r>
          <w:rPr>
            <w:rStyle w:val="Hyperlink"/>
          </w:rPr>
          <w:t xml:space="preserve">https://jcp.org/en/jsr/detail?id=354</w:t>
        </w:r>
      </w:hyperlink>
      <w:r>
        <w:t xml:space="preserve"> </w:t>
      </w:r>
      <w:r>
        <w:t xml:space="preserve">(accessed 15 December 2025).</w:t>
      </w:r>
    </w:p>
    <w:p>
      <w:pPr>
        <w:pStyle w:val="BodyText"/>
      </w:pPr>
      <w:r>
        <w:t xml:space="preserve">[25] P. Cousot, R. Cousot, Abstract Interpretation: A Unified Lattice Model for Static Analysis of Programs by Construction or Approximation of Fixpoints, in: Proc. 4th ACM SIGACT-SIGPLAN Symposium on Principles of Programming Languages (POPL), ACM, 1977, pp. 238–252.</w:t>
      </w:r>
      <w:r>
        <w:t xml:space="preserve"> </w:t>
      </w:r>
      <w:hyperlink r:id="rId124">
        <w:r>
          <w:rPr>
            <w:rStyle w:val="Hyperlink"/>
          </w:rPr>
          <w:t xml:space="preserve">https://doi.org/10.1145/512950.512973</w:t>
        </w:r>
      </w:hyperlink>
      <w:r>
        <w:t xml:space="preserve">.</w:t>
      </w:r>
    </w:p>
    <w:p>
      <w:pPr>
        <w:pStyle w:val="BodyText"/>
      </w:pPr>
      <w:r>
        <w:t xml:space="preserve">[26] T. Dardinier, G. Parthasarathy, P. Müller, Verification-Preserving Inlining in Automatic Separation Logic Verifiers, Proc. ACM Program. Lang. 7 (OOPSLA1) (2023) Article 80.</w:t>
      </w:r>
      <w:r>
        <w:t xml:space="preserve"> </w:t>
      </w:r>
      <w:hyperlink r:id="rId125">
        <w:r>
          <w:rPr>
            <w:rStyle w:val="Hyperlink"/>
          </w:rPr>
          <w:t xml:space="preserve">https://doi.org/10.1145/3586054</w:t>
        </w:r>
      </w:hyperlink>
      <w:r>
        <w:t xml:space="preserve">.</w:t>
      </w:r>
    </w:p>
    <w:p>
      <w:pPr>
        <w:pStyle w:val="BodyText"/>
      </w:pPr>
      <w:r>
        <w:t xml:space="preserve">[27] A.K. Wright, M. Felleisen, A Syntactic Approach to Type Soundness, Information and Computation 115 (1) (1994) 38-94.</w:t>
      </w:r>
      <w:r>
        <w:t xml:space="preserve"> </w:t>
      </w:r>
      <w:hyperlink r:id="rId126">
        <w:r>
          <w:rPr>
            <w:rStyle w:val="Hyperlink"/>
          </w:rPr>
          <w:t xml:space="preserve">https://doi.org/10.1006/inco.1994.1093</w:t>
        </w:r>
      </w:hyperlink>
      <w:r>
        <w:t xml:space="preserve">.</w:t>
      </w:r>
    </w:p>
    <w:p>
      <w:pPr>
        <w:pStyle w:val="BodyText"/>
      </w:pPr>
      <w:r>
        <w:t xml:space="preserve">[28] M. Herschel, R. Diestelkämper, H. Ben Lahmar, A survey on provenance: What for? What form? What from?, The VLDB Journal 26 (6) (2017) 881–906.</w:t>
      </w:r>
      <w:r>
        <w:t xml:space="preserve"> </w:t>
      </w:r>
      <w:hyperlink r:id="rId127">
        <w:r>
          <w:rPr>
            <w:rStyle w:val="Hyperlink"/>
          </w:rPr>
          <w:t xml:space="preserve">https://doi.org/10.1007/s00778-017-0486-1</w:t>
        </w:r>
      </w:hyperlink>
      <w:r>
        <w:t xml:space="preserve">.</w:t>
      </w:r>
    </w:p>
    <w:p>
      <w:pPr>
        <w:pStyle w:val="BodyText"/>
      </w:pPr>
      <w:r>
        <w:t xml:space="preserve">[29] I.D. Raji, A. Smart, R.N. White, M. Mitchell, T. Gebru, B. Hutchinson, J. Smith-Loud, D. Theron, P. Barnes, Closing the AI accountability gap: Defining an end-to-end framework for internal algorithmic auditing, in: Proc. 2020 ACM Conference on Fairness, Accountability, and Transparency (FAccT '20), ACM, New York, 2020, pp. 33–44.</w:t>
      </w:r>
      <w:r>
        <w:t xml:space="preserve"> </w:t>
      </w:r>
      <w:hyperlink r:id="rId128">
        <w:r>
          <w:rPr>
            <w:rStyle w:val="Hyperlink"/>
          </w:rPr>
          <w:t xml:space="preserve">https://doi.org/10.1145/3351095.3372873</w:t>
        </w:r>
      </w:hyperlink>
      <w:r>
        <w:t xml:space="preserve">.</w:t>
      </w:r>
    </w:p>
    <w:p>
      <w:pPr>
        <w:pStyle w:val="BodyText"/>
      </w:pPr>
      <w:r>
        <w:t xml:space="preserve">[30] S. Wachter, B. Mittelstadt, C. Russell, Counterfactual explanations without opening the black box: Automated decisions and the GDPR, Harvard Journal of Law &amp; Technology 31 (2) (2018) 841–887. Available at SSRN:</w:t>
      </w:r>
      <w:r>
        <w:t xml:space="preserve"> </w:t>
      </w:r>
      <w:hyperlink r:id="rId129">
        <w:r>
          <w:rPr>
            <w:rStyle w:val="Hyperlink"/>
          </w:rPr>
          <w:t xml:space="preserve">https://doi.org/10.2139/ssrn.3063289</w:t>
        </w:r>
      </w:hyperlink>
      <w:r>
        <w:t xml:space="preserve">.</w:t>
      </w:r>
    </w:p>
    <w:p>
      <w:pPr>
        <w:pStyle w:val="BodyText"/>
      </w:pPr>
      <w:r>
        <w:t xml:space="preserve">[31] P.M. VanNostrand, D.M. Hofmann, L. Ma, E.A. Rundensteiner, Actionable recourse for automated decisions: Examining the effects of counterfactual explanation type and presentation on lay user understanding, in: Proc. 2024 ACM Conference on Fairness, Accountability, and Transparency (FAccT '24), ACM, New York, 2024, pp. 1–12.</w:t>
      </w:r>
      <w:r>
        <w:t xml:space="preserve"> </w:t>
      </w:r>
      <w:hyperlink r:id="rId130">
        <w:r>
          <w:rPr>
            <w:rStyle w:val="Hyperlink"/>
          </w:rPr>
          <w:t xml:space="preserve">https://doi.org/10.1145/3630106.3658997</w:t>
        </w:r>
      </w:hyperlink>
      <w:r>
        <w:t xml:space="preserve">.</w:t>
      </w:r>
    </w:p>
    <w:p>
      <w:pPr>
        <w:pStyle w:val="BodyText"/>
      </w:pPr>
      <w:r>
        <w:t xml:space="preserve">[32] T. Antonopoulos, K. Makarychev, M. Gliga, S. Park, D. Giannakopoulou, et al., soid: A tool for legal accountability for automated decision making, in: Proc. 36</w:t>
      </w:r>
      <w:r>
        <w:rPr>
          <w:vertAlign w:val="superscript"/>
        </w:rPr>
        <w:t xml:space="preserve">th</w:t>
      </w:r>
      <w:r>
        <w:t xml:space="preserve"> </w:t>
      </w:r>
      <w:r>
        <w:t xml:space="preserve">International Conference on Computer Aided Verification (CAV 2024), LNCS, vol. 14682, Springer, Cham, 2024, pp. 235–248.</w:t>
      </w:r>
      <w:r>
        <w:t xml:space="preserve"> </w:t>
      </w:r>
      <w:hyperlink r:id="rId131">
        <w:r>
          <w:rPr>
            <w:rStyle w:val="Hyperlink"/>
          </w:rPr>
          <w:t xml:space="preserve">https://doi.org/10.1007/978-3-031-65630-9_12</w:t>
        </w:r>
      </w:hyperlink>
      <w:r>
        <w:t xml:space="preserve">.</w:t>
      </w:r>
    </w:p>
    <w:bookmarkEnd w:id="132"/>
    <w:bookmarkStart w:id="133" w:name="author-biography"/>
    <w:p>
      <w:pPr>
        <w:pStyle w:val="Heading1"/>
      </w:pPr>
      <w:r>
        <w:t xml:space="preserve">Author Biography</w:t>
      </w:r>
    </w:p>
    <w:p>
      <w:pPr>
        <w:pStyle w:val="FirstParagraph"/>
      </w:pPr>
      <w:r>
        <w:rPr>
          <w:b/>
          <w:bCs/>
        </w:rPr>
        <w:t xml:space="preserve">Valer Bocan, PhD, CSSLP</w:t>
      </w:r>
      <w:r>
        <w:t xml:space="preserve"> </w:t>
      </w:r>
      <w:r>
        <w:t xml:space="preserve">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bookmarkEnd w:id="133"/>
    <w:bookmarkStart w:id="134" w:name="acknowledgments"/>
    <w:p>
      <w:pPr>
        <w:pStyle w:val="Heading1"/>
      </w:pPr>
      <w:r>
        <w:t xml:space="preserve">Acknowledgments</w:t>
      </w:r>
    </w:p>
    <w:p>
      <w:pPr>
        <w:pStyle w:val="FirstParagraph"/>
      </w:pPr>
      <w:r>
        <w:t xml:space="preserve">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bookmarkEnd w:id="134"/>
    <w:bookmarkStart w:id="136" w:name="data-availability-statement"/>
    <w:p>
      <w:pPr>
        <w:pStyle w:val="Heading1"/>
      </w:pPr>
      <w:r>
        <w:t xml:space="preserve">Data Availability Statement</w:t>
      </w:r>
    </w:p>
    <w:p>
      <w:pPr>
        <w:pStyle w:val="FirstParagraph"/>
      </w:pPr>
      <w:r>
        <w:t xml:space="preserve">The IPFLang reference implementation, including all example files and test suite, is available under GPLv3 at</w:t>
      </w:r>
      <w:r>
        <w:t xml:space="preserve"> </w:t>
      </w:r>
      <w:hyperlink r:id="rId135">
        <w:r>
          <w:rPr>
            <w:rStyle w:val="Hyperlink"/>
          </w:rPr>
          <w:t xml:space="preserve">https://github.com/vbocan/IPFLang</w:t>
        </w:r>
      </w:hyperlink>
      <w:r>
        <w:t xml:space="preserve">.</w:t>
      </w:r>
    </w:p>
    <w:bookmarkEnd w:id="136"/>
    <w:bookmarkStart w:id="13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7"/>
    <w:bookmarkStart w:id="138" w:name="credit-author-contribution-statement"/>
    <w:p>
      <w:pPr>
        <w:pStyle w:val="Heading1"/>
      </w:pPr>
      <w:r>
        <w:t xml:space="preserve">CRediT Author Contribution Statement</w:t>
      </w:r>
    </w:p>
    <w:p>
      <w:pPr>
        <w:pStyle w:val="FirstParagraph"/>
      </w:pPr>
      <w:r>
        <w:rPr>
          <w:b/>
          <w:bCs/>
        </w:rPr>
        <w:t xml:space="preserve">Valer Bocan:</w:t>
      </w:r>
      <w:r>
        <w:t xml:space="preserve"> </w:t>
      </w:r>
      <w:r>
        <w:t xml:space="preserve">Conceptualization, Methodology, Software, Validation, Formal analysis, Investigation, Resources, Data curation, Writing - original draft, Writing - review &amp; editing, Visualization, Supervision, Project administration.</w:t>
      </w:r>
    </w:p>
    <w:bookmarkEnd w:id="138"/>
    <w:bookmarkStart w:id="139"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improve the language and readability of the manuscript. After using these tools, the author reviewed and edited the content as needed and takes full responsibility for the content of the publication.</w:t>
      </w:r>
    </w:p>
    <w:bookmarkEnd w:id="139"/>
    <w:bookmarkStart w:id="140" w:name="declaration-of-competing-interests"/>
    <w:p>
      <w:pPr>
        <w:pStyle w:val="Heading1"/>
      </w:pPr>
      <w:r>
        <w:t xml:space="preserve">Declaration of Competing Interests</w:t>
      </w:r>
    </w:p>
    <w:p>
      <w:pPr>
        <w:pStyle w:val="FirstParagraph"/>
      </w:pPr>
      <w:r>
        <w:t xml:space="preserve">The author declares no competing interests. IPFLang is released as open-source software with no commercial affiliations.</w:t>
      </w:r>
    </w:p>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89" Target="media/rId89.png" /><Relationship Type="http://schemas.openxmlformats.org/officeDocument/2006/relationships/hyperlink" Id="rId126" Target="https://doi.org/10.1006/inco.1994.1093" TargetMode="External" /><Relationship Type="http://schemas.openxmlformats.org/officeDocument/2006/relationships/hyperlink" Id="rId131" Target="https://doi.org/10.1007/978-3-031-65630-9_12" TargetMode="External" /><Relationship Type="http://schemas.openxmlformats.org/officeDocument/2006/relationships/hyperlink" Id="rId112" Target="https://doi.org/10.1007/978-3-319-21768-0_6" TargetMode="External" /><Relationship Type="http://schemas.openxmlformats.org/officeDocument/2006/relationships/hyperlink" Id="rId116" Target="https://doi.org/10.1007/978-3-642-17685-2_8" TargetMode="External" /><Relationship Type="http://schemas.openxmlformats.org/officeDocument/2006/relationships/hyperlink" Id="rId127" Target="https://doi.org/10.1007/s00778-017-0486-1" TargetMode="External" /><Relationship Type="http://schemas.openxmlformats.org/officeDocument/2006/relationships/hyperlink" Id="rId122" Target="https://doi.org/10.1145/1118890.1118892" TargetMode="External" /><Relationship Type="http://schemas.openxmlformats.org/officeDocument/2006/relationships/hyperlink" Id="rId120" Target="https://doi.org/10.1145/3341714" TargetMode="External" /><Relationship Type="http://schemas.openxmlformats.org/officeDocument/2006/relationships/hyperlink" Id="rId128" Target="https://doi.org/10.1145/3351095.3372873" TargetMode="External" /><Relationship Type="http://schemas.openxmlformats.org/officeDocument/2006/relationships/hyperlink" Id="rId113" Target="https://doi.org/10.1145/3473582" TargetMode="External" /><Relationship Type="http://schemas.openxmlformats.org/officeDocument/2006/relationships/hyperlink" Id="rId125" Target="https://doi.org/10.1145/3586054" TargetMode="External" /><Relationship Type="http://schemas.openxmlformats.org/officeDocument/2006/relationships/hyperlink" Id="rId130" Target="https://doi.org/10.1145/3630106.3658997" TargetMode="External" /><Relationship Type="http://schemas.openxmlformats.org/officeDocument/2006/relationships/hyperlink" Id="rId124" Target="https://doi.org/10.1145/512950.512973" TargetMode="External" /><Relationship Type="http://schemas.openxmlformats.org/officeDocument/2006/relationships/hyperlink" Id="rId121" Target="https://doi.org/10.1787/3afe6ba5-en" TargetMode="External" /><Relationship Type="http://schemas.openxmlformats.org/officeDocument/2006/relationships/hyperlink" Id="rId129" Target="https://doi.org/10.2139/ssrn.3063289" TargetMode="External" /><Relationship Type="http://schemas.openxmlformats.org/officeDocument/2006/relationships/hyperlink" Id="rId135" Target="https://github.com/vbocan/IPFLang" TargetMode="External" /><Relationship Type="http://schemas.openxmlformats.org/officeDocument/2006/relationships/hyperlink" Id="rId123" Target="https://jcp.org/en/jsr/detail?id=354" TargetMode="External" /><Relationship Type="http://schemas.openxmlformats.org/officeDocument/2006/relationships/hyperlink" Id="rId108" Target="https://my.epoline.org/epoline-portal/classic/epoline.Scheduleoffees" TargetMode="External" /><Relationship Type="http://schemas.openxmlformats.org/officeDocument/2006/relationships/hyperlink" Id="rId117" Target="https://openfisca.org/" TargetMode="External" /><Relationship Type="http://schemas.openxmlformats.org/officeDocument/2006/relationships/hyperlink" Id="rId111" Target="https://www.cpaglobal.com/" TargetMode="External" /><Relationship Type="http://schemas.openxmlformats.org/officeDocument/2006/relationships/hyperlink" Id="rId119" Target="https://www.digital.govt.nz/dmsdocument/95-better-rules-for-government-discovery-report/html" TargetMode="External" /><Relationship Type="http://schemas.openxmlformats.org/officeDocument/2006/relationships/hyperlink" Id="rId118" Target="https://www.drools.org/" TargetMode="External" /><Relationship Type="http://schemas.openxmlformats.org/officeDocument/2006/relationships/hyperlink" Id="rId115" Target="https://www.epo.org/searching-for-patents/data/web-services/ops.html" TargetMode="External" /><Relationship Type="http://schemas.openxmlformats.org/officeDocument/2006/relationships/hyperlink" Id="rId109" Target="https://www.jpo.go.jp/" TargetMode="External" /><Relationship Type="http://schemas.openxmlformats.org/officeDocument/2006/relationships/hyperlink" Id="rId107" Target="https://www.uspto.gov/learning-and-resources/fees-and-payment/uspto-fee-schedule" TargetMode="External" /><Relationship Type="http://schemas.openxmlformats.org/officeDocument/2006/relationships/hyperlink" Id="rId110" Target="https://www.wipo.int/" TargetMode="External" /><Relationship Type="http://schemas.openxmlformats.org/officeDocument/2006/relationships/hyperlink" Id="rId114" Target="https://www.wipo.int/standards/en/st96.html" TargetMode="External" /><Relationship Type="http://schemas.openxmlformats.org/officeDocument/2006/relationships/hyperlink" Id="rId10" Target="mailto:valer.bocan@upt.ro"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6/inco.1994.1093" TargetMode="External" /><Relationship Type="http://schemas.openxmlformats.org/officeDocument/2006/relationships/hyperlink" Id="rId131" Target="https://doi.org/10.1007/978-3-031-65630-9_12" TargetMode="External" /><Relationship Type="http://schemas.openxmlformats.org/officeDocument/2006/relationships/hyperlink" Id="rId112" Target="https://doi.org/10.1007/978-3-319-21768-0_6" TargetMode="External" /><Relationship Type="http://schemas.openxmlformats.org/officeDocument/2006/relationships/hyperlink" Id="rId116" Target="https://doi.org/10.1007/978-3-642-17685-2_8" TargetMode="External" /><Relationship Type="http://schemas.openxmlformats.org/officeDocument/2006/relationships/hyperlink" Id="rId127" Target="https://doi.org/10.1007/s00778-017-0486-1" TargetMode="External" /><Relationship Type="http://schemas.openxmlformats.org/officeDocument/2006/relationships/hyperlink" Id="rId122" Target="https://doi.org/10.1145/1118890.1118892" TargetMode="External" /><Relationship Type="http://schemas.openxmlformats.org/officeDocument/2006/relationships/hyperlink" Id="rId120" Target="https://doi.org/10.1145/3341714" TargetMode="External" /><Relationship Type="http://schemas.openxmlformats.org/officeDocument/2006/relationships/hyperlink" Id="rId128" Target="https://doi.org/10.1145/3351095.3372873" TargetMode="External" /><Relationship Type="http://schemas.openxmlformats.org/officeDocument/2006/relationships/hyperlink" Id="rId113" Target="https://doi.org/10.1145/3473582" TargetMode="External" /><Relationship Type="http://schemas.openxmlformats.org/officeDocument/2006/relationships/hyperlink" Id="rId125" Target="https://doi.org/10.1145/3586054" TargetMode="External" /><Relationship Type="http://schemas.openxmlformats.org/officeDocument/2006/relationships/hyperlink" Id="rId130" Target="https://doi.org/10.1145/3630106.3658997" TargetMode="External" /><Relationship Type="http://schemas.openxmlformats.org/officeDocument/2006/relationships/hyperlink" Id="rId124" Target="https://doi.org/10.1145/512950.512973" TargetMode="External" /><Relationship Type="http://schemas.openxmlformats.org/officeDocument/2006/relationships/hyperlink" Id="rId121" Target="https://doi.org/10.1787/3afe6ba5-en" TargetMode="External" /><Relationship Type="http://schemas.openxmlformats.org/officeDocument/2006/relationships/hyperlink" Id="rId129" Target="https://doi.org/10.2139/ssrn.3063289" TargetMode="External" /><Relationship Type="http://schemas.openxmlformats.org/officeDocument/2006/relationships/hyperlink" Id="rId135" Target="https://github.com/vbocan/IPFLang" TargetMode="External" /><Relationship Type="http://schemas.openxmlformats.org/officeDocument/2006/relationships/hyperlink" Id="rId123" Target="https://jcp.org/en/jsr/detail?id=354" TargetMode="External" /><Relationship Type="http://schemas.openxmlformats.org/officeDocument/2006/relationships/hyperlink" Id="rId108" Target="https://my.epoline.org/epoline-portal/classic/epoline.Scheduleoffees" TargetMode="External" /><Relationship Type="http://schemas.openxmlformats.org/officeDocument/2006/relationships/hyperlink" Id="rId117" Target="https://openfisca.org/" TargetMode="External" /><Relationship Type="http://schemas.openxmlformats.org/officeDocument/2006/relationships/hyperlink" Id="rId111" Target="https://www.cpaglobal.com/" TargetMode="External" /><Relationship Type="http://schemas.openxmlformats.org/officeDocument/2006/relationships/hyperlink" Id="rId119" Target="https://www.digital.govt.nz/dmsdocument/95-better-rules-for-government-discovery-report/html" TargetMode="External" /><Relationship Type="http://schemas.openxmlformats.org/officeDocument/2006/relationships/hyperlink" Id="rId118" Target="https://www.drools.org/" TargetMode="External" /><Relationship Type="http://schemas.openxmlformats.org/officeDocument/2006/relationships/hyperlink" Id="rId115" Target="https://www.epo.org/searching-for-patents/data/web-services/ops.html" TargetMode="External" /><Relationship Type="http://schemas.openxmlformats.org/officeDocument/2006/relationships/hyperlink" Id="rId109" Target="https://www.jpo.go.jp/" TargetMode="External" /><Relationship Type="http://schemas.openxmlformats.org/officeDocument/2006/relationships/hyperlink" Id="rId107" Target="https://www.uspto.gov/learning-and-resources/fees-and-payment/uspto-fee-schedule" TargetMode="External" /><Relationship Type="http://schemas.openxmlformats.org/officeDocument/2006/relationships/hyperlink" Id="rId110" Target="https://www.wipo.int/" TargetMode="External" /><Relationship Type="http://schemas.openxmlformats.org/officeDocument/2006/relationships/hyperlink" Id="rId114" Target="https://www.wipo.int/standards/en/st96.html" TargetMode="External" /><Relationship Type="http://schemas.openxmlformats.org/officeDocument/2006/relationships/hyperlink" Id="rId10" Target="mailto:valer.bocan@upt.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IPFLang: A Domain-Specific Language with Currency-Safe Types and Static Verification for Regulatory Fee Calculations</dc:title>
  <dc:creator/>
  <cp:keywords/>
  <dcterms:created xsi:type="dcterms:W3CDTF">2025-12-26T07:31:33Z</dcterms:created>
  <dcterms:modified xsi:type="dcterms:W3CDTF">2025-12-26T07:31:33Z</dcterms:modified>
</cp:coreProperties>
</file>

<file path=docProps/custom.xml><?xml version="1.0" encoding="utf-8"?>
<Properties xmlns="http://schemas.openxmlformats.org/officeDocument/2006/custom-properties" xmlns:vt="http://schemas.openxmlformats.org/officeDocument/2006/docPropsVTypes"/>
</file>