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50be76f9b3a415c913262e4ecf0fd9dd701aadc"/>
    <w:p>
      <w:pPr>
        <w:pStyle w:val="Heading1"/>
      </w:pPr>
      <w:r>
        <w:t xml:space="preserve">Образложение за пријава на магистерски труд</w:t>
      </w:r>
    </w:p>
    <w:p>
      <w:pPr>
        <w:pStyle w:val="FirstParagraph"/>
      </w:pPr>
      <w:r>
        <w:rPr>
          <w:b/>
          <w:bCs/>
        </w:rPr>
        <w:t xml:space="preserve">Развој на мобилна P2P платежна апликација за македонскиот пазар: Интеграција на отворено банкарство и социјални функционалности</w:t>
      </w:r>
    </w:p>
    <w:p>
      <w:pPr>
        <w:pStyle w:val="BodyText"/>
      </w:pPr>
      <w:r>
        <w:rPr>
          <w:b/>
          <w:bCs/>
        </w:rPr>
        <w:t xml:space="preserve">Владимир Бојаџи</w:t>
      </w:r>
    </w:p>
    <w:p>
      <w:r>
        <w:pict>
          <v:rect style="width:0;height:1.5pt" o:hralign="center" o:hrstd="t" o:hr="t"/>
        </w:pict>
      </w:r>
    </w:p>
    <w:bookmarkStart w:id="14" w:name="X3ebe5a88a53d2fa834b4ebfd48bb77107889fd8"/>
    <w:p>
      <w:pPr>
        <w:pStyle w:val="Heading2"/>
      </w:pPr>
      <w:r>
        <w:t xml:space="preserve">1. Образложение на проблемот и дефинирање на истражувањето</w:t>
      </w:r>
    </w:p>
    <w:bookmarkStart w:id="9" w:name="опис-на-проблемот"/>
    <w:p>
      <w:pPr>
        <w:pStyle w:val="Heading3"/>
      </w:pPr>
      <w:r>
        <w:t xml:space="preserve">1.1 Опис на проблемот</w:t>
      </w:r>
    </w:p>
    <w:p>
      <w:pPr>
        <w:pStyle w:val="FirstParagraph"/>
      </w:pPr>
      <w:r>
        <w:t xml:space="preserve">Во современиот дигитален екосистем, мобилните платежни решенија претставуваат клучна компонента на секојдневното финансиско однесување на граѓаните. Македонскиот банкарски сектор, иако технолошки напреден во однос на европските стандарди, се соочува со значителни предизвици во областа на меѓубанкарските трансфери и P2P (peer-to-peer) плаќањата.</w:t>
      </w:r>
    </w:p>
    <w:p>
      <w:pPr>
        <w:pStyle w:val="BodyText"/>
      </w:pPr>
      <w:r>
        <w:t xml:space="preserve">Тековните решенија за преносот на средства меѓу различни банки во Република Македонија се карактеризираат со:</w:t>
      </w:r>
    </w:p>
    <w:p>
      <w:pPr>
        <w:pStyle w:val="Compact"/>
        <w:numPr>
          <w:ilvl w:val="0"/>
          <w:numId w:val="1001"/>
        </w:numPr>
      </w:pPr>
      <w:r>
        <w:rPr>
          <w:b/>
          <w:bCs/>
        </w:rPr>
        <w:t xml:space="preserve">Високи трошоци за трансфери</w:t>
      </w:r>
      <w:r>
        <w:t xml:space="preserve">: Постоечките банкарски услуги за меѓубанкарски трансфери наплаќаат такси од 50 до 150 денари по трансакција, што претставува значителен трошок за крајните корисници</w:t>
      </w:r>
    </w:p>
    <w:p>
      <w:pPr>
        <w:pStyle w:val="Compact"/>
        <w:numPr>
          <w:ilvl w:val="0"/>
          <w:numId w:val="1001"/>
        </w:numPr>
      </w:pPr>
      <w:r>
        <w:rPr>
          <w:b/>
          <w:bCs/>
        </w:rPr>
        <w:t xml:space="preserve">Комплексни процедури</w:t>
      </w:r>
      <w:r>
        <w:t xml:space="preserve">: Традиционалните банкарски канали бараат познавање на детални банкарски информации (број на сметка, банкарски код) што ги прави трансферите нефлексибилни</w:t>
      </w:r>
    </w:p>
    <w:p>
      <w:pPr>
        <w:pStyle w:val="Compact"/>
        <w:numPr>
          <w:ilvl w:val="0"/>
          <w:numId w:val="1001"/>
        </w:numPr>
      </w:pPr>
      <w:r>
        <w:rPr>
          <w:b/>
          <w:bCs/>
        </w:rPr>
        <w:t xml:space="preserve">Недостаток од социјални функционалности</w:t>
      </w:r>
      <w:r>
        <w:t xml:space="preserve">: Постоечките решенија не овозможуваат интеграција со социјалните мрежи или контакти од телефонскиот именик</w:t>
      </w:r>
    </w:p>
    <w:p>
      <w:pPr>
        <w:pStyle w:val="Compact"/>
        <w:numPr>
          <w:ilvl w:val="0"/>
          <w:numId w:val="1001"/>
        </w:numPr>
      </w:pPr>
      <w:r>
        <w:rPr>
          <w:b/>
          <w:bCs/>
        </w:rPr>
        <w:t xml:space="preserve">Ограничена интероперабилност</w:t>
      </w:r>
      <w:r>
        <w:t xml:space="preserve">: Различните банки користат различни дигитални платформи што отежнува интегрираниот пристап</w:t>
      </w:r>
    </w:p>
    <w:bookmarkEnd w:id="9"/>
    <w:bookmarkStart w:id="10" w:name="теоретски-основи"/>
    <w:p>
      <w:pPr>
        <w:pStyle w:val="Heading3"/>
      </w:pPr>
      <w:r>
        <w:t xml:space="preserve">1.2 Теоретски основи</w:t>
      </w:r>
    </w:p>
    <w:p>
      <w:pPr>
        <w:pStyle w:val="FirstParagraph"/>
      </w:pPr>
      <w:r>
        <w:t xml:space="preserve">Развојот на мобилни платежни решенија се базира на неколку клучни теоретски концепти:</w:t>
      </w:r>
    </w:p>
    <w:p>
      <w:pPr>
        <w:pStyle w:val="BodyText"/>
      </w:pPr>
      <w:r>
        <w:rPr>
          <w:b/>
          <w:bCs/>
        </w:rPr>
        <w:t xml:space="preserve">API-прва архитектура (API-First Architecture)</w:t>
      </w:r>
      <w:r>
        <w:t xml:space="preserve">: Модерните финтек решенија се градат околу принципот на API-прва архитектура, каде што сите функционалности се изложени преку стандардизирани програмски интерфејси. Овој пристап овозможува полесна интеграција со надворешни системи и подобра скалабилност на решенијата.</w:t>
      </w:r>
    </w:p>
    <w:p>
      <w:pPr>
        <w:pStyle w:val="BodyText"/>
      </w:pPr>
      <w:r>
        <w:rPr>
          <w:b/>
          <w:bCs/>
        </w:rPr>
        <w:t xml:space="preserve">Отворено банкарство (Open Banking)</w:t>
      </w:r>
      <w:r>
        <w:t xml:space="preserve">: Директивата PSD2 (Payment Services Directive 2) на Европската Унија, која е транспонирана и во македонското законодавство, овозможува на лиценцирани трети страни (Third Party Providers - TPP) да пристапуваат до банкарските сметки на корисниците преку стандардизирани API интерфејси. Ова создава основа за развој на иновативни платежни решенија.</w:t>
      </w:r>
    </w:p>
    <w:p>
      <w:pPr>
        <w:pStyle w:val="BodyText"/>
      </w:pPr>
      <w:r>
        <w:rPr>
          <w:b/>
          <w:bCs/>
        </w:rPr>
        <w:t xml:space="preserve">Микросервисна архитектура</w:t>
      </w:r>
      <w:r>
        <w:t xml:space="preserve">: Современите финтек апликации се градат користејќи микросервисна архитектура која овозможува модуларност, независен deployment и подобра отпорност на грешки.</w:t>
      </w:r>
    </w:p>
    <w:p>
      <w:pPr>
        <w:pStyle w:val="BodyText"/>
      </w:pPr>
      <w:r>
        <w:rPr>
          <w:b/>
          <w:bCs/>
        </w:rPr>
        <w:t xml:space="preserve">UX дизајн за финансиски апликации</w:t>
      </w:r>
      <w:r>
        <w:t xml:space="preserve">: Корисничкото искуство во финансиските апликации се базира на принципите на едноставност, безбедност и транспарентност. Студии покажуваат дека корисниците преферираат интуитивни интерфејси кои минимизираат број на чекори за извршување на трансакции.</w:t>
      </w:r>
    </w:p>
    <w:bookmarkEnd w:id="10"/>
    <w:bookmarkStart w:id="11" w:name="преглед-на-достигања-во-областа"/>
    <w:p>
      <w:pPr>
        <w:pStyle w:val="Heading3"/>
      </w:pPr>
      <w:r>
        <w:t xml:space="preserve">1.3 Преглед на достигања во областа</w:t>
      </w:r>
    </w:p>
    <w:p>
      <w:pPr>
        <w:pStyle w:val="FirstParagraph"/>
      </w:pPr>
      <w:r>
        <w:rPr>
          <w:b/>
          <w:bCs/>
        </w:rPr>
        <w:t xml:space="preserve">Глобални трендови</w:t>
      </w:r>
      <w:r>
        <w:t xml:space="preserve">: На глобално ниво, P2P платежните апликации како Venmo, PayPal, Cash App, и Zelle се покажаа како изузетно успешни решенија. Venmo, на пример, обработуваше над $230 милијарди во трансакции во 2021 година. Овие апликации се карактеризираат со:</w:t>
      </w:r>
      <w:r>
        <w:t xml:space="preserve"> </w:t>
      </w:r>
      <w:r>
        <w:t xml:space="preserve">- Интеграција со социјални мрежи</w:t>
      </w:r>
      <w:r>
        <w:t xml:space="preserve"> </w:t>
      </w:r>
      <w:r>
        <w:t xml:space="preserve">- Едноставни корисничи интерфејси</w:t>
      </w:r>
      <w:r>
        <w:t xml:space="preserve"> </w:t>
      </w:r>
      <w:r>
        <w:t xml:space="preserve">- Моментални трансфери</w:t>
      </w:r>
      <w:r>
        <w:t xml:space="preserve"> </w:t>
      </w:r>
      <w:r>
        <w:t xml:space="preserve">- Ниски или отсутни такси</w:t>
      </w:r>
    </w:p>
    <w:p>
      <w:pPr>
        <w:pStyle w:val="BodyText"/>
      </w:pPr>
      <w:r>
        <w:rPr>
          <w:b/>
          <w:bCs/>
        </w:rPr>
        <w:t xml:space="preserve">Европски пазар</w:t>
      </w:r>
      <w:r>
        <w:t xml:space="preserve">: Во Европа, апликации како Revolut, N26, и locални решенија како Swish (Шведска) и MobilePay (Данска) покажаа дека локализираните решенија можат успешно да конкурираат со глобалните играчи.</w:t>
      </w:r>
    </w:p>
    <w:p>
      <w:pPr>
        <w:pStyle w:val="BodyText"/>
      </w:pPr>
      <w:r>
        <w:rPr>
          <w:b/>
          <w:bCs/>
        </w:rPr>
        <w:t xml:space="preserve">Регионални иницијативи</w:t>
      </w:r>
      <w:r>
        <w:t xml:space="preserve">: На Балканот, постојат неколку иницијативи за развој на регионални платежни решенија, но повеќето се фокусираат на B2B пазарот или се ограничени на одделни банки.</w:t>
      </w:r>
    </w:p>
    <w:bookmarkEnd w:id="11"/>
    <w:bookmarkStart w:id="12" w:name="значење-на-истражувањата"/>
    <w:p>
      <w:pPr>
        <w:pStyle w:val="Heading3"/>
      </w:pPr>
      <w:r>
        <w:t xml:space="preserve">1.4 Значење на истражувањата</w:t>
      </w:r>
    </w:p>
    <w:p>
      <w:pPr>
        <w:pStyle w:val="FirstParagraph"/>
      </w:pPr>
      <w:r>
        <w:t xml:space="preserve">Развојот на локализирано P2P платежно решение за македонскиот пазар има неколку димензии на значајност:</w:t>
      </w:r>
    </w:p>
    <w:p>
      <w:pPr>
        <w:pStyle w:val="BodyText"/>
      </w:pPr>
      <w:r>
        <w:rPr>
          <w:b/>
          <w:bCs/>
        </w:rPr>
        <w:t xml:space="preserve">Економско значење</w:t>
      </w:r>
      <w:r>
        <w:t xml:space="preserve">: Намалувањето на трошоците за меѓубанкарски трансфери од 50-150 на 20-30 денари може да резултира со вкупни заштеди од милиони денари годишно за македонската економија.</w:t>
      </w:r>
    </w:p>
    <w:p>
      <w:pPr>
        <w:pStyle w:val="BodyText"/>
      </w:pPr>
      <w:r>
        <w:rPr>
          <w:b/>
          <w:bCs/>
        </w:rPr>
        <w:t xml:space="preserve">Технолошка иновација</w:t>
      </w:r>
      <w:r>
        <w:t xml:space="preserve">: Имплементацијата на отворено банкарство во практична апликација ќе создаде precedent за понатамошни иновации во финтек секторот.</w:t>
      </w:r>
    </w:p>
    <w:p>
      <w:pPr>
        <w:pStyle w:val="BodyText"/>
      </w:pPr>
      <w:r>
        <w:rPr>
          <w:b/>
          <w:bCs/>
        </w:rPr>
        <w:t xml:space="preserve">Социјално влијание</w:t>
      </w:r>
      <w:r>
        <w:t xml:space="preserve">: Зголемувањето на финансиската инклузија преку полесни и поевтини платежни решенија.</w:t>
      </w:r>
    </w:p>
    <w:p>
      <w:pPr>
        <w:pStyle w:val="BodyText"/>
      </w:pPr>
      <w:r>
        <w:rPr>
          <w:b/>
          <w:bCs/>
        </w:rPr>
        <w:t xml:space="preserve">Академско значење</w:t>
      </w:r>
      <w:r>
        <w:t xml:space="preserve">: Истражувањето ќе придонесе кон разбирањето на спецификите на локалните финтек пазари и предизвиците при имплементација на европските регулативи.</w:t>
      </w:r>
    </w:p>
    <w:bookmarkEnd w:id="12"/>
    <w:bookmarkStart w:id="13" w:name="цели-и-мотивација"/>
    <w:p>
      <w:pPr>
        <w:pStyle w:val="Heading3"/>
      </w:pPr>
      <w:r>
        <w:t xml:space="preserve">1.5 Цели и мотивација</w:t>
      </w:r>
    </w:p>
    <w:p>
      <w:pPr>
        <w:pStyle w:val="FirstParagraph"/>
      </w:pPr>
      <w:r>
        <w:rPr>
          <w:b/>
          <w:bCs/>
        </w:rPr>
        <w:t xml:space="preserve">Примарни цели</w:t>
      </w:r>
      <w:r>
        <w:t xml:space="preserve">:</w:t>
      </w:r>
      <w:r>
        <w:t xml:space="preserve"> </w:t>
      </w:r>
      <w:r>
        <w:t xml:space="preserve">1. Развој на функционална мобилна P2P платежна апликација</w:t>
      </w:r>
      <w:r>
        <w:t xml:space="preserve"> </w:t>
      </w:r>
      <w:r>
        <w:t xml:space="preserve">2. Интеграција со македонскиот банкарски систем преку Open Banking API-ја</w:t>
      </w:r>
      <w:r>
        <w:t xml:space="preserve"> </w:t>
      </w:r>
      <w:r>
        <w:t xml:space="preserve">3. Имплементација на социјални функционалности инспирирани од Venmo</w:t>
      </w:r>
      <w:r>
        <w:t xml:space="preserve"> </w:t>
      </w:r>
      <w:r>
        <w:t xml:space="preserve">4. Евалуација на корисничкото искуство и прифатеност на решението</w:t>
      </w:r>
    </w:p>
    <w:p>
      <w:pPr>
        <w:pStyle w:val="BodyText"/>
      </w:pPr>
      <w:r>
        <w:rPr>
          <w:b/>
          <w:bCs/>
        </w:rPr>
        <w:t xml:space="preserve">Секундарни цели</w:t>
      </w:r>
      <w:r>
        <w:t xml:space="preserve">:</w:t>
      </w:r>
      <w:r>
        <w:t xml:space="preserve"> </w:t>
      </w:r>
      <w:r>
        <w:t xml:space="preserve">1. Анализа на техничките предизвици при интеграција со банкарски системи</w:t>
      </w:r>
      <w:r>
        <w:t xml:space="preserve"> </w:t>
      </w:r>
      <w:r>
        <w:t xml:space="preserve">2. Истражување на безбедносните аспекти на P2P трансакции</w:t>
      </w:r>
      <w:r>
        <w:t xml:space="preserve"> </w:t>
      </w:r>
      <w:r>
        <w:t xml:space="preserve">3. Проценка на економската виабилност на решението</w:t>
      </w:r>
    </w:p>
    <w:p>
      <w:pPr>
        <w:pStyle w:val="BodyText"/>
      </w:pPr>
      <w:r>
        <w:rPr>
          <w:b/>
          <w:bCs/>
        </w:rPr>
        <w:t xml:space="preserve">Мотивација</w:t>
      </w:r>
      <w:r>
        <w:t xml:space="preserve">: Личното искуство со фрустрираност од високите трошоци за банкарски трансфери, комбинирано со професионалниот интерес за финтек иновации, создава силна мотивација за развој на ова решение.</w:t>
      </w:r>
    </w:p>
    <w:p>
      <w:r>
        <w:pict>
          <v:rect style="width:0;height:1.5pt" o:hralign="center" o:hrstd="t" o:hr="t"/>
        </w:pict>
      </w:r>
    </w:p>
    <w:bookmarkEnd w:id="13"/>
    <w:bookmarkEnd w:id="14"/>
    <w:bookmarkStart w:id="17" w:name="план-на-работа-и-очекувани-резултати"/>
    <w:p>
      <w:pPr>
        <w:pStyle w:val="Heading2"/>
      </w:pPr>
      <w:r>
        <w:t xml:space="preserve">2. План на работа и очекувани резултати</w:t>
      </w:r>
    </w:p>
    <w:bookmarkStart w:id="15" w:name="фази-на-изработка"/>
    <w:p>
      <w:pPr>
        <w:pStyle w:val="Heading3"/>
      </w:pPr>
      <w:r>
        <w:t xml:space="preserve">2.1 Фази на изработка</w:t>
      </w:r>
    </w:p>
    <w:p>
      <w:pPr>
        <w:pStyle w:val="FirstParagraph"/>
      </w:pPr>
      <w:r>
        <w:rPr>
          <w:b/>
          <w:bCs/>
        </w:rPr>
        <w:t xml:space="preserve">Фаза 1: Истражување и анализа (2 недели)</w:t>
      </w:r>
      <w:r>
        <w:t xml:space="preserve"> </w:t>
      </w:r>
      <w:r>
        <w:t xml:space="preserve">- Детална анализа на македонскиот банкарски API екосистем</w:t>
      </w:r>
      <w:r>
        <w:t xml:space="preserve"> </w:t>
      </w:r>
      <w:r>
        <w:t xml:space="preserve">- Студија на постоечките P2P решенија на глобално и регионално ниво</w:t>
      </w:r>
      <w:r>
        <w:t xml:space="preserve"> </w:t>
      </w:r>
      <w:r>
        <w:t xml:space="preserve">- Истражување на регулативната рамка и compliance барања</w:t>
      </w:r>
      <w:r>
        <w:t xml:space="preserve"> </w:t>
      </w:r>
      <w:r>
        <w:t xml:space="preserve">- Дефинирање на функционални и нефункционални барања</w:t>
      </w:r>
    </w:p>
    <w:p>
      <w:pPr>
        <w:pStyle w:val="BodyText"/>
      </w:pPr>
      <w:r>
        <w:rPr>
          <w:b/>
          <w:bCs/>
        </w:rPr>
        <w:t xml:space="preserve">Фаза 2: Дизајн на архитектура (2 недели)</w:t>
      </w:r>
      <w:r>
        <w:t xml:space="preserve"> </w:t>
      </w:r>
      <w:r>
        <w:t xml:space="preserve">- Дизајн на system architecture користејќи микросервисен пристап</w:t>
      </w:r>
      <w:r>
        <w:t xml:space="preserve"> </w:t>
      </w:r>
      <w:r>
        <w:t xml:space="preserve">- Креирање на database schema за корисници, трансакции, и социјални функции</w:t>
      </w:r>
      <w:r>
        <w:t xml:space="preserve"> </w:t>
      </w:r>
      <w:r>
        <w:t xml:space="preserve">- Дефинирање на API спецификации</w:t>
      </w:r>
      <w:r>
        <w:t xml:space="preserve"> </w:t>
      </w:r>
      <w:r>
        <w:t xml:space="preserve">- UX/UI дизајн на мобилната апликација</w:t>
      </w:r>
    </w:p>
    <w:p>
      <w:pPr>
        <w:pStyle w:val="BodyText"/>
      </w:pPr>
      <w:r>
        <w:rPr>
          <w:b/>
          <w:bCs/>
        </w:rPr>
        <w:t xml:space="preserve">Фаза 3: Backend имплементација (4 недели)</w:t>
      </w:r>
      <w:r>
        <w:t xml:space="preserve"> </w:t>
      </w:r>
      <w:r>
        <w:t xml:space="preserve">- Развој на RESTful API користејќи Node.js/Express</w:t>
      </w:r>
      <w:r>
        <w:t xml:space="preserve"> </w:t>
      </w:r>
      <w:r>
        <w:t xml:space="preserve">- Интеграција со Open Banking API-ја на банки</w:t>
      </w:r>
      <w:r>
        <w:t xml:space="preserve"> </w:t>
      </w:r>
      <w:r>
        <w:t xml:space="preserve">- Имплементација на authentication и authorization механизми</w:t>
      </w:r>
      <w:r>
        <w:t xml:space="preserve"> </w:t>
      </w:r>
      <w:r>
        <w:t xml:space="preserve">- Развој на payment processing логика</w:t>
      </w:r>
    </w:p>
    <w:p>
      <w:pPr>
        <w:pStyle w:val="BodyText"/>
      </w:pPr>
      <w:r>
        <w:rPr>
          <w:b/>
          <w:bCs/>
        </w:rPr>
        <w:t xml:space="preserve">Фаза 4: Frontend развој (3 недели)</w:t>
      </w:r>
      <w:r>
        <w:t xml:space="preserve"> </w:t>
      </w:r>
      <w:r>
        <w:t xml:space="preserve">- Развој на React Native мобилна апликација</w:t>
      </w:r>
      <w:r>
        <w:t xml:space="preserve"> </w:t>
      </w:r>
      <w:r>
        <w:t xml:space="preserve">- Имплементација на корисничкиот интерфејс</w:t>
      </w:r>
      <w:r>
        <w:t xml:space="preserve"> </w:t>
      </w:r>
      <w:r>
        <w:t xml:space="preserve">- Интеграција со backend API</w:t>
      </w:r>
      <w:r>
        <w:t xml:space="preserve"> </w:t>
      </w:r>
      <w:r>
        <w:t xml:space="preserve">- Тестирање на различни мобилни платформи</w:t>
      </w:r>
    </w:p>
    <w:p>
      <w:pPr>
        <w:pStyle w:val="BodyText"/>
      </w:pPr>
      <w:r>
        <w:rPr>
          <w:b/>
          <w:bCs/>
        </w:rPr>
        <w:t xml:space="preserve">Фаза 5: Социјални функционалности (2 недели)</w:t>
      </w:r>
      <w:r>
        <w:t xml:space="preserve"> </w:t>
      </w:r>
      <w:r>
        <w:t xml:space="preserve">- Имплементација на friend system</w:t>
      </w:r>
      <w:r>
        <w:t xml:space="preserve"> </w:t>
      </w:r>
      <w:r>
        <w:t xml:space="preserve">- Contact synchronization</w:t>
      </w:r>
      <w:r>
        <w:t xml:space="preserve"> </w:t>
      </w:r>
      <w:r>
        <w:t xml:space="preserve">- Activity feed како во Venmo</w:t>
      </w:r>
      <w:r>
        <w:t xml:space="preserve"> </w:t>
      </w:r>
      <w:r>
        <w:t xml:space="preserve">- Push notifications систем</w:t>
      </w:r>
    </w:p>
    <w:p>
      <w:pPr>
        <w:pStyle w:val="BodyText"/>
      </w:pPr>
      <w:r>
        <w:rPr>
          <w:b/>
          <w:bCs/>
        </w:rPr>
        <w:t xml:space="preserve">Фаза 6: Безбедност и тестирање (2 недели)</w:t>
      </w:r>
      <w:r>
        <w:t xml:space="preserve"> </w:t>
      </w:r>
      <w:r>
        <w:t xml:space="preserve">- Security audit на апликацијата</w:t>
      </w:r>
      <w:r>
        <w:t xml:space="preserve"> </w:t>
      </w:r>
      <w:r>
        <w:t xml:space="preserve">- Penetration testing</w:t>
      </w:r>
      <w:r>
        <w:t xml:space="preserve"> </w:t>
      </w:r>
      <w:r>
        <w:t xml:space="preserve">- Load testing и performance optimization</w:t>
      </w:r>
      <w:r>
        <w:t xml:space="preserve"> </w:t>
      </w:r>
      <w:r>
        <w:t xml:space="preserve">- Unit и integration тестови</w:t>
      </w:r>
    </w:p>
    <w:p>
      <w:pPr>
        <w:pStyle w:val="BodyText"/>
      </w:pPr>
      <w:r>
        <w:rPr>
          <w:b/>
          <w:bCs/>
        </w:rPr>
        <w:t xml:space="preserve">Фаза 7: Пилот тестирање (2 недели)</w:t>
      </w:r>
      <w:r>
        <w:t xml:space="preserve"> </w:t>
      </w:r>
      <w:r>
        <w:t xml:space="preserve">- Beta тестирање со ограничена група корисници</w:t>
      </w:r>
      <w:r>
        <w:t xml:space="preserve"> </w:t>
      </w:r>
      <w:r>
        <w:t xml:space="preserve">- Собирање на feedback</w:t>
      </w:r>
      <w:r>
        <w:t xml:space="preserve"> </w:t>
      </w:r>
      <w:r>
        <w:t xml:space="preserve">- Performance monitoring</w:t>
      </w:r>
      <w:r>
        <w:t xml:space="preserve"> </w:t>
      </w:r>
      <w:r>
        <w:t xml:space="preserve">- Bug fixing</w:t>
      </w:r>
    </w:p>
    <w:p>
      <w:pPr>
        <w:pStyle w:val="BodyText"/>
      </w:pPr>
      <w:r>
        <w:rPr>
          <w:b/>
          <w:bCs/>
        </w:rPr>
        <w:t xml:space="preserve">Фаза 8: Евалуација и документација (1 недела)</w:t>
      </w:r>
      <w:r>
        <w:t xml:space="preserve"> </w:t>
      </w:r>
      <w:r>
        <w:t xml:space="preserve">- Анализа на резултати од тестирањето</w:t>
      </w:r>
      <w:r>
        <w:t xml:space="preserve"> </w:t>
      </w:r>
      <w:r>
        <w:t xml:space="preserve">- Документирање на техничките решенија</w:t>
      </w:r>
      <w:r>
        <w:t xml:space="preserve"> </w:t>
      </w:r>
      <w:r>
        <w:t xml:space="preserve">- Креирање на финален извештај</w:t>
      </w:r>
    </w:p>
    <w:bookmarkEnd w:id="15"/>
    <w:bookmarkStart w:id="16" w:name="очекувани-резултати"/>
    <w:p>
      <w:pPr>
        <w:pStyle w:val="Heading3"/>
      </w:pPr>
      <w:r>
        <w:t xml:space="preserve">2.2 Очекувани резултати</w:t>
      </w:r>
    </w:p>
    <w:p>
      <w:pPr>
        <w:pStyle w:val="FirstParagraph"/>
      </w:pPr>
      <w:r>
        <w:rPr>
          <w:b/>
          <w:bCs/>
        </w:rPr>
        <w:t xml:space="preserve">Технички резултати</w:t>
      </w:r>
      <w:r>
        <w:t xml:space="preserve">:</w:t>
      </w:r>
      <w:r>
        <w:t xml:space="preserve"> </w:t>
      </w:r>
      <w:r>
        <w:t xml:space="preserve">1. Функционална мобилна апликација за Android и iOS</w:t>
      </w:r>
      <w:r>
        <w:t xml:space="preserve"> </w:t>
      </w:r>
      <w:r>
        <w:t xml:space="preserve">2. Scalable backend систем со микросервисна архитектура</w:t>
      </w:r>
      <w:r>
        <w:t xml:space="preserve"> </w:t>
      </w:r>
      <w:r>
        <w:t xml:space="preserve">3. Успешна интеграција со најмалку една македонска банка</w:t>
      </w:r>
      <w:r>
        <w:t xml:space="preserve"> </w:t>
      </w:r>
      <w:r>
        <w:t xml:space="preserve">4. Comprehensive документација на архитектурата и API-јата</w:t>
      </w:r>
    </w:p>
    <w:p>
      <w:pPr>
        <w:pStyle w:val="BodyText"/>
      </w:pPr>
      <w:r>
        <w:rPr>
          <w:b/>
          <w:bCs/>
        </w:rPr>
        <w:t xml:space="preserve">Истражувачки резултати</w:t>
      </w:r>
      <w:r>
        <w:t xml:space="preserve">:</w:t>
      </w:r>
      <w:r>
        <w:t xml:space="preserve"> </w:t>
      </w:r>
      <w:r>
        <w:t xml:space="preserve">1. Детална анализа на предизвиците при Open Banking интеграција</w:t>
      </w:r>
      <w:r>
        <w:t xml:space="preserve"> </w:t>
      </w:r>
      <w:r>
        <w:t xml:space="preserve">2. Евалуација на корисничкото искуство во споредба со постоечки решенија</w:t>
      </w:r>
      <w:r>
        <w:t xml:space="preserve"> </w:t>
      </w:r>
      <w:r>
        <w:t xml:space="preserve">3. Анализа на безбедносните ризици и митигациски мерки</w:t>
      </w:r>
      <w:r>
        <w:t xml:space="preserve"> </w:t>
      </w:r>
      <w:r>
        <w:t xml:space="preserve">4. Препораки за понатамошен развој на финтек секторот во Македонија</w:t>
      </w:r>
    </w:p>
    <w:p>
      <w:pPr>
        <w:pStyle w:val="BodyText"/>
      </w:pPr>
      <w:r>
        <w:rPr>
          <w:b/>
          <w:bCs/>
        </w:rPr>
        <w:t xml:space="preserve">Бизнис резултати</w:t>
      </w:r>
      <w:r>
        <w:t xml:space="preserve">:</w:t>
      </w:r>
      <w:r>
        <w:t xml:space="preserve"> </w:t>
      </w:r>
      <w:r>
        <w:t xml:space="preserve">1. Проценка на економската виабилност на решението</w:t>
      </w:r>
      <w:r>
        <w:t xml:space="preserve"> </w:t>
      </w:r>
      <w:r>
        <w:t xml:space="preserve">2. Go-to-market стратегија за комерцијализација</w:t>
      </w:r>
      <w:r>
        <w:t xml:space="preserve"> </w:t>
      </w:r>
      <w:r>
        <w:t xml:space="preserve">3. Анализа на конкурентните предности</w:t>
      </w:r>
      <w:r>
        <w:t xml:space="preserve"> </w:t>
      </w:r>
      <w:r>
        <w:t xml:space="preserve">4. Препораки за скалирање на решението</w:t>
      </w:r>
    </w:p>
    <w:p>
      <w:r>
        <w:pict>
          <v:rect style="width:0;height:1.5pt" o:hralign="center" o:hrstd="t" o:hr="t"/>
        </w:pict>
      </w:r>
    </w:p>
    <w:bookmarkEnd w:id="16"/>
    <w:bookmarkEnd w:id="17"/>
    <w:bookmarkStart w:id="27" w:name="Xed2031261d95487c20797b34e7bf2a2315bd233"/>
    <w:p>
      <w:pPr>
        <w:pStyle w:val="Heading2"/>
      </w:pPr>
      <w:r>
        <w:t xml:space="preserve">3. Извадок од литература што се планира да се користи</w:t>
      </w:r>
    </w:p>
    <w:bookmarkStart w:id="18" w:name="академски-публикации"/>
    <w:p>
      <w:pPr>
        <w:pStyle w:val="Heading3"/>
      </w:pPr>
      <w:r>
        <w:t xml:space="preserve">3.1 Академски публикации</w:t>
      </w:r>
    </w:p>
    <w:p>
      <w:pPr>
        <w:pStyle w:val="Compact"/>
        <w:numPr>
          <w:ilvl w:val="0"/>
          <w:numId w:val="1002"/>
        </w:numPr>
      </w:pPr>
      <w:r>
        <w:rPr>
          <w:b/>
          <w:bCs/>
        </w:rPr>
        <w:t xml:space="preserve">Zavolokina, L., Dolata, M., &amp; Schwabe, G.</w:t>
      </w:r>
      <w:r>
        <w:t xml:space="preserve"> </w:t>
      </w:r>
      <w:r>
        <w:t xml:space="preserve">(2016). The FinTech phenomenon: antecedents of financial innovation perceived by the popular press.</w:t>
      </w:r>
      <w:r>
        <w:t xml:space="preserve"> </w:t>
      </w:r>
      <w:r>
        <w:rPr>
          <w:i/>
          <w:iCs/>
        </w:rPr>
        <w:t xml:space="preserve">Financial Innovation</w:t>
      </w:r>
      <w:r>
        <w:t xml:space="preserve">, 2(1), 16.</w:t>
      </w:r>
    </w:p>
    <w:p>
      <w:pPr>
        <w:pStyle w:val="Compact"/>
        <w:numPr>
          <w:ilvl w:val="1"/>
          <w:numId w:val="1003"/>
        </w:numPr>
      </w:pPr>
      <w:r>
        <w:t xml:space="preserve">Фундаментална студија за финтек иновациите и нивното влијание на финансискиот сектор.</w:t>
      </w:r>
    </w:p>
    <w:p>
      <w:pPr>
        <w:pStyle w:val="Compact"/>
        <w:numPr>
          <w:ilvl w:val="0"/>
          <w:numId w:val="1002"/>
        </w:numPr>
      </w:pPr>
      <w:r>
        <w:rPr>
          <w:b/>
          <w:bCs/>
        </w:rPr>
        <w:t xml:space="preserve">Gomber, P., Koch, J. A., &amp; Siering, M.</w:t>
      </w:r>
      <w:r>
        <w:t xml:space="preserve"> </w:t>
      </w:r>
      <w:r>
        <w:t xml:space="preserve">(2017). Digital Finance and FinTech: current research and future research directions.</w:t>
      </w:r>
      <w:r>
        <w:t xml:space="preserve"> </w:t>
      </w:r>
      <w:r>
        <w:rPr>
          <w:i/>
          <w:iCs/>
        </w:rPr>
        <w:t xml:space="preserve">Journal of Business Economics</w:t>
      </w:r>
      <w:r>
        <w:t xml:space="preserve">, 87(5), 537-580.</w:t>
      </w:r>
    </w:p>
    <w:p>
      <w:pPr>
        <w:pStyle w:val="Compact"/>
        <w:numPr>
          <w:ilvl w:val="1"/>
          <w:numId w:val="1004"/>
        </w:numPr>
      </w:pPr>
      <w:r>
        <w:t xml:space="preserve">Сеопфатен преглед на тековните истражувања во областа на дигитални финансии.</w:t>
      </w:r>
    </w:p>
    <w:p>
      <w:pPr>
        <w:pStyle w:val="Compact"/>
        <w:numPr>
          <w:ilvl w:val="0"/>
          <w:numId w:val="1002"/>
        </w:numPr>
      </w:pPr>
      <w:r>
        <w:rPr>
          <w:b/>
          <w:bCs/>
        </w:rPr>
        <w:t xml:space="preserve">Puschmann, T.</w:t>
      </w:r>
      <w:r>
        <w:t xml:space="preserve"> </w:t>
      </w:r>
      <w:r>
        <w:t xml:space="preserve">(2017). Fintech.</w:t>
      </w:r>
      <w:r>
        <w:t xml:space="preserve"> </w:t>
      </w:r>
      <w:r>
        <w:rPr>
          <w:i/>
          <w:iCs/>
        </w:rPr>
        <w:t xml:space="preserve">Business &amp; Information Systems Engineering</w:t>
      </w:r>
      <w:r>
        <w:t xml:space="preserve">, 59(1), 69-76.</w:t>
      </w:r>
    </w:p>
    <w:p>
      <w:pPr>
        <w:pStyle w:val="Compact"/>
        <w:numPr>
          <w:ilvl w:val="1"/>
          <w:numId w:val="1005"/>
        </w:numPr>
      </w:pPr>
      <w:r>
        <w:t xml:space="preserve">Дефинирање на финтек концептот и категоризација на финтек решенијата.</w:t>
      </w:r>
    </w:p>
    <w:p>
      <w:pPr>
        <w:pStyle w:val="Compact"/>
        <w:numPr>
          <w:ilvl w:val="0"/>
          <w:numId w:val="1002"/>
        </w:numPr>
      </w:pPr>
      <w:r>
        <w:rPr>
          <w:b/>
          <w:bCs/>
        </w:rPr>
        <w:t xml:space="preserve">Mention, A. L.</w:t>
      </w:r>
      <w:r>
        <w:t xml:space="preserve"> </w:t>
      </w:r>
      <w:r>
        <w:t xml:space="preserve">(2019). The future of fintech.</w:t>
      </w:r>
      <w:r>
        <w:t xml:space="preserve"> </w:t>
      </w:r>
      <w:r>
        <w:rPr>
          <w:i/>
          <w:iCs/>
        </w:rPr>
        <w:t xml:space="preserve">Research-Technology Management</w:t>
      </w:r>
      <w:r>
        <w:t xml:space="preserve">, 62(4), 59-63.</w:t>
      </w:r>
    </w:p>
    <w:p>
      <w:pPr>
        <w:pStyle w:val="Compact"/>
        <w:numPr>
          <w:ilvl w:val="1"/>
          <w:numId w:val="1006"/>
        </w:numPr>
      </w:pPr>
      <w:r>
        <w:t xml:space="preserve">Анализа на иднините трендови во финтек индустријата.</w:t>
      </w:r>
    </w:p>
    <w:bookmarkEnd w:id="18"/>
    <w:bookmarkStart w:id="19" w:name="техничка-литература"/>
    <w:p>
      <w:pPr>
        <w:pStyle w:val="Heading3"/>
      </w:pPr>
      <w:r>
        <w:t xml:space="preserve">3.2 Техничка литература</w:t>
      </w:r>
    </w:p>
    <w:p>
      <w:pPr>
        <w:pStyle w:val="Compact"/>
        <w:numPr>
          <w:ilvl w:val="0"/>
          <w:numId w:val="1007"/>
        </w:numPr>
      </w:pPr>
      <w:r>
        <w:rPr>
          <w:b/>
          <w:bCs/>
        </w:rPr>
        <w:t xml:space="preserve">Richardson, C.</w:t>
      </w:r>
      <w:r>
        <w:t xml:space="preserve"> </w:t>
      </w:r>
      <w:r>
        <w:t xml:space="preserve">(2018).</w:t>
      </w:r>
      <w:r>
        <w:t xml:space="preserve"> </w:t>
      </w:r>
      <w:r>
        <w:rPr>
          <w:i/>
          <w:iCs/>
        </w:rPr>
        <w:t xml:space="preserve">Microservices patterns: with examples in Java</w:t>
      </w:r>
      <w:r>
        <w:t xml:space="preserve">. Manning Publications.</w:t>
      </w:r>
    </w:p>
    <w:p>
      <w:pPr>
        <w:pStyle w:val="Compact"/>
        <w:numPr>
          <w:ilvl w:val="1"/>
          <w:numId w:val="1008"/>
        </w:numPr>
      </w:pPr>
      <w:r>
        <w:t xml:space="preserve">Авторитативен водич за микросервисни архитектури кој ќе се користи за дизајн на системот.</w:t>
      </w:r>
    </w:p>
    <w:p>
      <w:pPr>
        <w:pStyle w:val="Compact"/>
        <w:numPr>
          <w:ilvl w:val="0"/>
          <w:numId w:val="1007"/>
        </w:numPr>
      </w:pPr>
      <w:r>
        <w:rPr>
          <w:b/>
          <w:bCs/>
        </w:rPr>
        <w:t xml:space="preserve">Newman, S.</w:t>
      </w:r>
      <w:r>
        <w:t xml:space="preserve"> </w:t>
      </w:r>
      <w:r>
        <w:t xml:space="preserve">(2021).</w:t>
      </w:r>
      <w:r>
        <w:t xml:space="preserve"> </w:t>
      </w:r>
      <w:r>
        <w:rPr>
          <w:i/>
          <w:iCs/>
        </w:rPr>
        <w:t xml:space="preserve">Building Microservices: Designing Fine-Grained Systems</w:t>
      </w:r>
      <w:r>
        <w:t xml:space="preserve">. O’Reilly Media.</w:t>
      </w:r>
    </w:p>
    <w:p>
      <w:pPr>
        <w:pStyle w:val="Compact"/>
        <w:numPr>
          <w:ilvl w:val="1"/>
          <w:numId w:val="1009"/>
        </w:numPr>
      </w:pPr>
      <w:r>
        <w:t xml:space="preserve">Практичен пристап кон градење на микросервисни системи.</w:t>
      </w:r>
    </w:p>
    <w:p>
      <w:pPr>
        <w:pStyle w:val="Compact"/>
        <w:numPr>
          <w:ilvl w:val="0"/>
          <w:numId w:val="1007"/>
        </w:numPr>
      </w:pPr>
      <w:r>
        <w:rPr>
          <w:b/>
          <w:bCs/>
        </w:rPr>
        <w:t xml:space="preserve">Abbott, M. L., &amp; Fisher, M. T.</w:t>
      </w:r>
      <w:r>
        <w:t xml:space="preserve"> </w:t>
      </w:r>
      <w:r>
        <w:t xml:space="preserve">(2016).</w:t>
      </w:r>
      <w:r>
        <w:t xml:space="preserve"> </w:t>
      </w:r>
      <w:r>
        <w:rPr>
          <w:i/>
          <w:iCs/>
        </w:rPr>
        <w:t xml:space="preserve">The art of scalability: Scalable web architecture, processes, and organizations for the modern enterprise</w:t>
      </w:r>
      <w:r>
        <w:t xml:space="preserve">. Addison-Wesley Professional.</w:t>
      </w:r>
    </w:p>
    <w:p>
      <w:pPr>
        <w:pStyle w:val="Compact"/>
        <w:numPr>
          <w:ilvl w:val="1"/>
          <w:numId w:val="1010"/>
        </w:numPr>
      </w:pPr>
      <w:r>
        <w:t xml:space="preserve">Принципи за градење скалабилни веб системи.</w:t>
      </w:r>
    </w:p>
    <w:bookmarkEnd w:id="19"/>
    <w:bookmarkStart w:id="20" w:name="open-banking-и-psd2"/>
    <w:p>
      <w:pPr>
        <w:pStyle w:val="Heading3"/>
      </w:pPr>
      <w:r>
        <w:t xml:space="preserve">3.3 Open Banking и PSD2</w:t>
      </w:r>
    </w:p>
    <w:p>
      <w:pPr>
        <w:pStyle w:val="Compact"/>
        <w:numPr>
          <w:ilvl w:val="0"/>
          <w:numId w:val="1011"/>
        </w:numPr>
      </w:pPr>
      <w:r>
        <w:rPr>
          <w:b/>
          <w:bCs/>
        </w:rPr>
        <w:t xml:space="preserve">Broeders, H., &amp; Khanna, S.</w:t>
      </w:r>
      <w:r>
        <w:t xml:space="preserve"> </w:t>
      </w:r>
      <w:r>
        <w:t xml:space="preserve">(2015). Strategic choices for banks in the digital age.</w:t>
      </w:r>
      <w:r>
        <w:t xml:space="preserve"> </w:t>
      </w:r>
      <w:r>
        <w:rPr>
          <w:i/>
          <w:iCs/>
        </w:rPr>
        <w:t xml:space="preserve">McKinsey Global Institute</w:t>
      </w:r>
      <w:r>
        <w:t xml:space="preserve">.</w:t>
      </w:r>
    </w:p>
    <w:p>
      <w:pPr>
        <w:pStyle w:val="Compact"/>
        <w:numPr>
          <w:ilvl w:val="1"/>
          <w:numId w:val="1012"/>
        </w:numPr>
      </w:pPr>
      <w:r>
        <w:t xml:space="preserve">Стратешки пристап кон дигитална трансформација во банкарство.</w:t>
      </w:r>
    </w:p>
    <w:p>
      <w:pPr>
        <w:pStyle w:val="Compact"/>
        <w:numPr>
          <w:ilvl w:val="0"/>
          <w:numId w:val="1011"/>
        </w:numPr>
      </w:pPr>
      <w:r>
        <w:rPr>
          <w:b/>
          <w:bCs/>
        </w:rPr>
        <w:t xml:space="preserve">Deloitte.</w:t>
      </w:r>
      <w:r>
        <w:t xml:space="preserve"> </w:t>
      </w:r>
      <w:r>
        <w:t xml:space="preserve">(2019).</w:t>
      </w:r>
      <w:r>
        <w:t xml:space="preserve"> </w:t>
      </w:r>
      <w:r>
        <w:rPr>
          <w:i/>
          <w:iCs/>
        </w:rPr>
        <w:t xml:space="preserve">Open Banking: From Compliance to Competitive Advantage</w:t>
      </w:r>
      <w:r>
        <w:t xml:space="preserve">. Deloitte Insights.</w:t>
      </w:r>
    </w:p>
    <w:p>
      <w:pPr>
        <w:pStyle w:val="Compact"/>
        <w:numPr>
          <w:ilvl w:val="1"/>
          <w:numId w:val="1013"/>
        </w:numPr>
      </w:pPr>
      <w:r>
        <w:t xml:space="preserve">Практичен водич за имплементација на Open Banking.</w:t>
      </w:r>
    </w:p>
    <w:p>
      <w:pPr>
        <w:pStyle w:val="Compact"/>
        <w:numPr>
          <w:ilvl w:val="0"/>
          <w:numId w:val="1011"/>
        </w:numPr>
      </w:pPr>
      <w:r>
        <w:rPr>
          <w:b/>
          <w:bCs/>
        </w:rPr>
        <w:t xml:space="preserve">PwC.</w:t>
      </w:r>
      <w:r>
        <w:t xml:space="preserve"> </w:t>
      </w:r>
      <w:r>
        <w:t xml:space="preserve">(2020).</w:t>
      </w:r>
      <w:r>
        <w:t xml:space="preserve"> </w:t>
      </w:r>
      <w:r>
        <w:rPr>
          <w:i/>
          <w:iCs/>
        </w:rPr>
        <w:t xml:space="preserve">PSD2 in practice: European overview</w:t>
      </w:r>
      <w:r>
        <w:t xml:space="preserve">. PricewaterhouseCoopers.</w:t>
      </w:r>
    </w:p>
    <w:p>
      <w:pPr>
        <w:pStyle w:val="Compact"/>
        <w:numPr>
          <w:ilvl w:val="1"/>
          <w:numId w:val="1014"/>
        </w:numPr>
      </w:pPr>
      <w:r>
        <w:t xml:space="preserve">Сеопфатен преглед на PSD2 имплементацијата во Европа.</w:t>
      </w:r>
    </w:p>
    <w:bookmarkEnd w:id="20"/>
    <w:bookmarkStart w:id="21" w:name="uxui-дизајн"/>
    <w:p>
      <w:pPr>
        <w:pStyle w:val="Heading3"/>
      </w:pPr>
      <w:r>
        <w:t xml:space="preserve">3.4 UX/UI дизајн</w:t>
      </w:r>
    </w:p>
    <w:p>
      <w:pPr>
        <w:pStyle w:val="Compact"/>
        <w:numPr>
          <w:ilvl w:val="0"/>
          <w:numId w:val="1015"/>
        </w:numPr>
      </w:pPr>
      <w:r>
        <w:rPr>
          <w:b/>
          <w:bCs/>
        </w:rPr>
        <w:t xml:space="preserve">Norman, D.</w:t>
      </w:r>
      <w:r>
        <w:t xml:space="preserve"> </w:t>
      </w:r>
      <w:r>
        <w:t xml:space="preserve">(2013).</w:t>
      </w:r>
      <w:r>
        <w:t xml:space="preserve"> </w:t>
      </w:r>
      <w:r>
        <w:rPr>
          <w:i/>
          <w:iCs/>
        </w:rPr>
        <w:t xml:space="preserve">The design of everyday things: Revised and expanded edition</w:t>
      </w:r>
      <w:r>
        <w:t xml:space="preserve">. Basic Books.</w:t>
      </w:r>
    </w:p>
    <w:p>
      <w:pPr>
        <w:pStyle w:val="Compact"/>
        <w:numPr>
          <w:ilvl w:val="1"/>
          <w:numId w:val="1016"/>
        </w:numPr>
      </w:pPr>
      <w:r>
        <w:t xml:space="preserve">Фундаментални принципи на UX дизајн.</w:t>
      </w:r>
    </w:p>
    <w:p>
      <w:pPr>
        <w:pStyle w:val="Compact"/>
        <w:numPr>
          <w:ilvl w:val="0"/>
          <w:numId w:val="1015"/>
        </w:numPr>
      </w:pPr>
      <w:r>
        <w:rPr>
          <w:b/>
          <w:bCs/>
        </w:rPr>
        <w:t xml:space="preserve">Krug, S.</w:t>
      </w:r>
      <w:r>
        <w:t xml:space="preserve"> </w:t>
      </w:r>
      <w:r>
        <w:t xml:space="preserve">(2014).</w:t>
      </w:r>
      <w:r>
        <w:t xml:space="preserve"> </w:t>
      </w:r>
      <w:r>
        <w:rPr>
          <w:i/>
          <w:iCs/>
        </w:rPr>
        <w:t xml:space="preserve">Don’t make me think, revisited: A common sense approach to web usability</w:t>
      </w:r>
      <w:r>
        <w:t xml:space="preserve">. New Riders.</w:t>
      </w:r>
    </w:p>
    <w:p>
      <w:pPr>
        <w:pStyle w:val="Compact"/>
        <w:numPr>
          <w:ilvl w:val="1"/>
          <w:numId w:val="1017"/>
        </w:numPr>
      </w:pPr>
      <w:r>
        <w:t xml:space="preserve">Практични насоки за usability во веб и мобилни апликации.</w:t>
      </w:r>
    </w:p>
    <w:bookmarkEnd w:id="21"/>
    <w:bookmarkStart w:id="22" w:name="мобилен-развој"/>
    <w:p>
      <w:pPr>
        <w:pStyle w:val="Heading3"/>
      </w:pPr>
      <w:r>
        <w:t xml:space="preserve">3.5 Мобилен развој</w:t>
      </w:r>
    </w:p>
    <w:p>
      <w:pPr>
        <w:pStyle w:val="Compact"/>
        <w:numPr>
          <w:ilvl w:val="0"/>
          <w:numId w:val="1018"/>
        </w:numPr>
      </w:pPr>
      <w:r>
        <w:rPr>
          <w:b/>
          <w:bCs/>
        </w:rPr>
        <w:t xml:space="preserve">Eisenman, B.</w:t>
      </w:r>
      <w:r>
        <w:t xml:space="preserve"> </w:t>
      </w:r>
      <w:r>
        <w:t xml:space="preserve">(2015).</w:t>
      </w:r>
      <w:r>
        <w:t xml:space="preserve"> </w:t>
      </w:r>
      <w:r>
        <w:rPr>
          <w:i/>
          <w:iCs/>
        </w:rPr>
        <w:t xml:space="preserve">Learning React Native: Building Native Mobile Apps with JavaScript</w:t>
      </w:r>
      <w:r>
        <w:t xml:space="preserve">. O’Reilly Media.</w:t>
      </w:r>
    </w:p>
    <w:p>
      <w:pPr>
        <w:pStyle w:val="Compact"/>
        <w:numPr>
          <w:ilvl w:val="1"/>
          <w:numId w:val="1019"/>
        </w:numPr>
      </w:pPr>
      <w:r>
        <w:t xml:space="preserve">Техничка референца за React Native развој.</w:t>
      </w:r>
    </w:p>
    <w:p>
      <w:pPr>
        <w:pStyle w:val="Compact"/>
        <w:numPr>
          <w:ilvl w:val="0"/>
          <w:numId w:val="1018"/>
        </w:numPr>
      </w:pPr>
      <w:r>
        <w:rPr>
          <w:b/>
          <w:bCs/>
        </w:rPr>
        <w:t xml:space="preserve">Gassner, M.</w:t>
      </w:r>
      <w:r>
        <w:t xml:space="preserve"> </w:t>
      </w:r>
      <w:r>
        <w:t xml:space="preserve">(2017).</w:t>
      </w:r>
      <w:r>
        <w:t xml:space="preserve"> </w:t>
      </w:r>
      <w:r>
        <w:rPr>
          <w:i/>
          <w:iCs/>
        </w:rPr>
        <w:t xml:space="preserve">React Native in Action</w:t>
      </w:r>
      <w:r>
        <w:t xml:space="preserve">. Manning Publications.</w:t>
      </w:r>
    </w:p>
    <w:p>
      <w:pPr>
        <w:pStyle w:val="Compact"/>
        <w:numPr>
          <w:ilvl w:val="1"/>
          <w:numId w:val="1020"/>
        </w:numPr>
      </w:pPr>
      <w:r>
        <w:t xml:space="preserve">Напредни техники за React Native развој.</w:t>
      </w:r>
    </w:p>
    <w:bookmarkEnd w:id="22"/>
    <w:bookmarkStart w:id="23" w:name="безбедност"/>
    <w:p>
      <w:pPr>
        <w:pStyle w:val="Heading3"/>
      </w:pPr>
      <w:r>
        <w:t xml:space="preserve">3.6 Безбедност</w:t>
      </w:r>
    </w:p>
    <w:p>
      <w:pPr>
        <w:pStyle w:val="Compact"/>
        <w:numPr>
          <w:ilvl w:val="0"/>
          <w:numId w:val="1021"/>
        </w:numPr>
      </w:pPr>
      <w:r>
        <w:rPr>
          <w:b/>
          <w:bCs/>
        </w:rPr>
        <w:t xml:space="preserve">Anderson, R.</w:t>
      </w:r>
      <w:r>
        <w:t xml:space="preserve"> </w:t>
      </w:r>
      <w:r>
        <w:t xml:space="preserve">(2020).</w:t>
      </w:r>
      <w:r>
        <w:t xml:space="preserve"> </w:t>
      </w:r>
      <w:r>
        <w:rPr>
          <w:i/>
          <w:iCs/>
        </w:rPr>
        <w:t xml:space="preserve">Security engineering: a guide to building dependable distributed systems</w:t>
      </w:r>
      <w:r>
        <w:t xml:space="preserve">. John Wiley &amp; Sons.</w:t>
      </w:r>
    </w:p>
    <w:p>
      <w:pPr>
        <w:pStyle w:val="Compact"/>
        <w:numPr>
          <w:ilvl w:val="1"/>
          <w:numId w:val="1022"/>
        </w:numPr>
      </w:pPr>
      <w:r>
        <w:t xml:space="preserve">Сеопфатен пристап кон безбедност во дистрибуирани системи.</w:t>
      </w:r>
    </w:p>
    <w:p>
      <w:pPr>
        <w:pStyle w:val="Compact"/>
        <w:numPr>
          <w:ilvl w:val="0"/>
          <w:numId w:val="1021"/>
        </w:numPr>
      </w:pPr>
      <w:r>
        <w:rPr>
          <w:b/>
          <w:bCs/>
        </w:rPr>
        <w:t xml:space="preserve">McGraw, G.</w:t>
      </w:r>
      <w:r>
        <w:t xml:space="preserve"> </w:t>
      </w:r>
      <w:r>
        <w:t xml:space="preserve">(2006).</w:t>
      </w:r>
      <w:r>
        <w:t xml:space="preserve"> </w:t>
      </w:r>
      <w:r>
        <w:rPr>
          <w:i/>
          <w:iCs/>
        </w:rPr>
        <w:t xml:space="preserve">Software security: building security in</w:t>
      </w:r>
      <w:r>
        <w:t xml:space="preserve">. Addison-Wesley Professional.</w:t>
      </w:r>
    </w:p>
    <w:p>
      <w:pPr>
        <w:pStyle w:val="Compact"/>
        <w:numPr>
          <w:ilvl w:val="1"/>
          <w:numId w:val="1023"/>
        </w:numPr>
      </w:pPr>
      <w:r>
        <w:t xml:space="preserve">Принципи за градење безбедни софтверски системи.</w:t>
      </w:r>
    </w:p>
    <w:bookmarkEnd w:id="23"/>
    <w:bookmarkStart w:id="24" w:name="регулативна-литература"/>
    <w:p>
      <w:pPr>
        <w:pStyle w:val="Heading3"/>
      </w:pPr>
      <w:r>
        <w:t xml:space="preserve">3.7 Регулативна литература</w:t>
      </w:r>
    </w:p>
    <w:p>
      <w:pPr>
        <w:numPr>
          <w:ilvl w:val="0"/>
          <w:numId w:val="1024"/>
        </w:numPr>
      </w:pPr>
      <w:r>
        <w:rPr>
          <w:b/>
          <w:bCs/>
        </w:rPr>
        <w:t xml:space="preserve">Европска централна банка.</w:t>
      </w:r>
      <w:r>
        <w:t xml:space="preserve"> </w:t>
      </w:r>
      <w:r>
        <w:t xml:space="preserve">(2019).</w:t>
      </w:r>
      <w:r>
        <w:t xml:space="preserve"> </w:t>
      </w:r>
      <w:r>
        <w:rPr>
          <w:i/>
          <w:iCs/>
        </w:rPr>
        <w:t xml:space="preserve">Payment Services Directive 2 (PSD2): Regulatory Technical Standards</w:t>
      </w:r>
      <w:r>
        <w:t xml:space="preserve">. ECB Publications.</w:t>
      </w:r>
    </w:p>
    <w:p>
      <w:pPr>
        <w:numPr>
          <w:ilvl w:val="0"/>
          <w:numId w:val="1024"/>
        </w:numPr>
      </w:pPr>
      <w:r>
        <w:rPr>
          <w:b/>
          <w:bCs/>
        </w:rPr>
        <w:t xml:space="preserve">Народна банка на Република Македонија.</w:t>
      </w:r>
      <w:r>
        <w:t xml:space="preserve"> </w:t>
      </w:r>
      <w:r>
        <w:t xml:space="preserve">(2020).</w:t>
      </w:r>
      <w:r>
        <w:t xml:space="preserve"> </w:t>
      </w:r>
      <w:r>
        <w:rPr>
          <w:i/>
          <w:iCs/>
        </w:rPr>
        <w:t xml:space="preserve">Одлука за условите и начинот на работење на даватели на услуги за иницијација на плаќање и даватели на услуги за информации за сметки</w:t>
      </w:r>
      <w:r>
        <w:t xml:space="preserve">. НБРМ.</w:t>
      </w:r>
    </w:p>
    <w:bookmarkEnd w:id="24"/>
    <w:bookmarkStart w:id="25" w:name="case-studies"/>
    <w:p>
      <w:pPr>
        <w:pStyle w:val="Heading3"/>
      </w:pPr>
      <w:r>
        <w:t xml:space="preserve">3.8 Case Studies</w:t>
      </w:r>
    </w:p>
    <w:p>
      <w:pPr>
        <w:pStyle w:val="Compact"/>
        <w:numPr>
          <w:ilvl w:val="0"/>
          <w:numId w:val="1025"/>
        </w:numPr>
      </w:pPr>
      <w:r>
        <w:rPr>
          <w:b/>
          <w:bCs/>
        </w:rPr>
        <w:t xml:space="preserve">Chishti, S., &amp; Barberis, J.</w:t>
      </w:r>
      <w:r>
        <w:t xml:space="preserve"> </w:t>
      </w:r>
      <w:r>
        <w:t xml:space="preserve">(2016).</w:t>
      </w:r>
      <w:r>
        <w:t xml:space="preserve"> </w:t>
      </w:r>
      <w:r>
        <w:rPr>
          <w:i/>
          <w:iCs/>
        </w:rPr>
        <w:t xml:space="preserve">The fintech book: The financial technology handbook for investors, entrepreneurs and visionaries</w:t>
      </w:r>
      <w:r>
        <w:t xml:space="preserve">. John Wiley &amp; Sons.</w:t>
      </w:r>
    </w:p>
    <w:p>
      <w:pPr>
        <w:pStyle w:val="Compact"/>
        <w:numPr>
          <w:ilvl w:val="1"/>
          <w:numId w:val="1026"/>
        </w:numPr>
      </w:pPr>
      <w:r>
        <w:t xml:space="preserve">Збирка на case studies од успешни финтек компании.</w:t>
      </w:r>
    </w:p>
    <w:p>
      <w:pPr>
        <w:pStyle w:val="Compact"/>
        <w:numPr>
          <w:ilvl w:val="0"/>
          <w:numId w:val="1025"/>
        </w:numPr>
      </w:pPr>
      <w:r>
        <w:rPr>
          <w:b/>
          <w:bCs/>
        </w:rPr>
        <w:t xml:space="preserve">Nicoletti, B.</w:t>
      </w:r>
      <w:r>
        <w:t xml:space="preserve"> </w:t>
      </w:r>
      <w:r>
        <w:t xml:space="preserve">(2017).</w:t>
      </w:r>
      <w:r>
        <w:t xml:space="preserve"> </w:t>
      </w:r>
      <w:r>
        <w:rPr>
          <w:i/>
          <w:iCs/>
        </w:rPr>
        <w:t xml:space="preserve">The future of FinTech</w:t>
      </w:r>
      <w:r>
        <w:t xml:space="preserve">. Springer.</w:t>
      </w:r>
    </w:p>
    <w:p>
      <w:pPr>
        <w:pStyle w:val="Compact"/>
        <w:numPr>
          <w:ilvl w:val="1"/>
          <w:numId w:val="1027"/>
        </w:numPr>
      </w:pPr>
      <w:r>
        <w:t xml:space="preserve">Анализа на иднините правци во финтек развојот.</w:t>
      </w:r>
    </w:p>
    <w:bookmarkEnd w:id="25"/>
    <w:bookmarkStart w:id="26" w:name="економски-аспекти"/>
    <w:p>
      <w:pPr>
        <w:pStyle w:val="Heading3"/>
      </w:pPr>
      <w:r>
        <w:t xml:space="preserve">3.9 Економски аспекти</w:t>
      </w:r>
    </w:p>
    <w:p>
      <w:pPr>
        <w:pStyle w:val="Compact"/>
        <w:numPr>
          <w:ilvl w:val="0"/>
          <w:numId w:val="1028"/>
        </w:numPr>
      </w:pPr>
      <w:r>
        <w:rPr>
          <w:b/>
          <w:bCs/>
        </w:rPr>
        <w:t xml:space="preserve">KPMG.</w:t>
      </w:r>
      <w:r>
        <w:t xml:space="preserve"> </w:t>
      </w:r>
      <w:r>
        <w:t xml:space="preserve">(2019).</w:t>
      </w:r>
      <w:r>
        <w:t xml:space="preserve"> </w:t>
      </w:r>
      <w:r>
        <w:rPr>
          <w:i/>
          <w:iCs/>
        </w:rPr>
        <w:t xml:space="preserve">The Pulse of Fintech 2019</w:t>
      </w:r>
      <w:r>
        <w:t xml:space="preserve">. KPMG International.</w:t>
      </w:r>
    </w:p>
    <w:p>
      <w:pPr>
        <w:pStyle w:val="Compact"/>
        <w:numPr>
          <w:ilvl w:val="1"/>
          <w:numId w:val="1029"/>
        </w:numPr>
      </w:pPr>
      <w:r>
        <w:t xml:space="preserve">Глобални трендови во финтек инвестиции и развој.</w:t>
      </w:r>
    </w:p>
    <w:p>
      <w:pPr>
        <w:pStyle w:val="Compact"/>
        <w:numPr>
          <w:ilvl w:val="0"/>
          <w:numId w:val="1028"/>
        </w:numPr>
      </w:pPr>
      <w:r>
        <w:rPr>
          <w:b/>
          <w:bCs/>
        </w:rPr>
        <w:t xml:space="preserve">McKinsey &amp; Company.</w:t>
      </w:r>
      <w:r>
        <w:t xml:space="preserve"> </w:t>
      </w:r>
      <w:r>
        <w:t xml:space="preserve">(2020).</w:t>
      </w:r>
      <w:r>
        <w:t xml:space="preserve"> </w:t>
      </w:r>
      <w:r>
        <w:rPr>
          <w:i/>
          <w:iCs/>
        </w:rPr>
        <w:t xml:space="preserve">The 2020 McKinsey Global Payments Report</w:t>
      </w:r>
      <w:r>
        <w:t xml:space="preserve">. McKinsey Global Institute.</w:t>
      </w:r>
    </w:p>
    <w:p>
      <w:pPr>
        <w:pStyle w:val="Compact"/>
        <w:numPr>
          <w:ilvl w:val="1"/>
          <w:numId w:val="1030"/>
        </w:numPr>
      </w:pPr>
      <w:r>
        <w:t xml:space="preserve">Сеопфатна анализа на глобалниот payments пазар.</w:t>
      </w:r>
    </w:p>
    <w:p>
      <w:r>
        <w:pict>
          <v:rect style="width:0;height:1.5pt" o:hralign="center" o:hrstd="t" o:hr="t"/>
        </w:pict>
      </w:r>
    </w:p>
    <w:p>
      <w:pPr>
        <w:pStyle w:val="FirstParagraph"/>
      </w:pPr>
      <w:r>
        <w:rPr>
          <w:b/>
          <w:bCs/>
        </w:rPr>
        <w:t xml:space="preserve">Студент</w:t>
      </w:r>
    </w:p>
    <w:p>
      <w:pPr>
        <w:pStyle w:val="BodyText"/>
      </w:pPr>
      <w:r>
        <w:t xml:space="preserve">Владимир Бојаџи</w:t>
      </w:r>
      <w:r>
        <w:t xml:space="preserve"> </w:t>
      </w:r>
      <w:r>
        <w:t xml:space="preserve">________________</w:t>
      </w:r>
      <w:r>
        <w:t xml:space="preserve"> </w:t>
      </w:r>
      <w:r>
        <w:t xml:space="preserve">(име, презиме и потпис)</w:t>
      </w:r>
    </w:p>
    <w:p>
      <w:pPr>
        <w:pStyle w:val="BodyText"/>
      </w:pPr>
      <w:r>
        <w:t xml:space="preserve">Скопје, Март 2026</w:t>
      </w:r>
      <w:r>
        <w:t xml:space="preserve"> </w:t>
      </w:r>
      <w:r>
        <w:t xml:space="preserve">__________</w:t>
      </w:r>
      <w:r>
        <w:t xml:space="preserve"> </w:t>
      </w:r>
      <w:r>
        <w:t xml:space="preserve">(дата)</w:t>
      </w:r>
    </w:p>
    <w:bookmarkEnd w:id="26"/>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1"/>
  </w:num>
  <w:num w:numId="1009">
    <w:abstractNumId w:val="991"/>
  </w:num>
  <w:num w:numId="1010">
    <w:abstractNumId w:val="991"/>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1"/>
  </w:num>
  <w:num w:numId="1013">
    <w:abstractNumId w:val="991"/>
  </w:num>
  <w:num w:numId="1014">
    <w:abstractNumId w:val="991"/>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1"/>
  </w:num>
  <w:num w:numId="1017">
    <w:abstractNumId w:val="991"/>
  </w:num>
  <w:num w:numId="101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9">
    <w:abstractNumId w:val="991"/>
  </w:num>
  <w:num w:numId="1020">
    <w:abstractNumId w:val="991"/>
  </w:num>
  <w:num w:numId="1021">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2">
    <w:abstractNumId w:val="991"/>
  </w:num>
  <w:num w:numId="1023">
    <w:abstractNumId w:val="991"/>
  </w:num>
  <w:num w:numId="102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1"/>
  </w:num>
  <w:num w:numId="1027">
    <w:abstractNumId w:val="991"/>
  </w:num>
  <w:num w:numId="1028">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2026-03-08T18:02:26Z</dcterms:created>
  <dcterms:modified xsi:type="dcterms:W3CDTF">2026-03-08T18:02:26Z</dcterms:modified>
</cp:coreProperties>
</file>

<file path=docProps/custom.xml><?xml version="1.0" encoding="utf-8"?>
<Properties xmlns="http://schemas.openxmlformats.org/officeDocument/2006/custom-properties" xmlns:vt="http://schemas.openxmlformats.org/officeDocument/2006/docPropsVTypes"/>
</file>