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bae509fc96f6a3599d733eacfeb15133b8833d6"/>
    <w:p>
      <w:pPr>
        <w:pStyle w:val="Heading1"/>
      </w:pPr>
      <w:r>
        <w:t xml:space="preserve">Поглавје 2: Теоретски основи и преглед на литература</w:t>
      </w:r>
    </w:p>
    <w:p>
      <w:r>
        <w:pict>
          <v:rect style="width:0;height:1.5pt" o:hralign="center" o:hrstd="t" o:hr="t"/>
        </w:pict>
      </w:r>
    </w:p>
    <w:bookmarkStart w:id="9" w:name="вовед-во-поглавјето"/>
    <w:p>
      <w:pPr>
        <w:pStyle w:val="Heading2"/>
      </w:pPr>
      <w:r>
        <w:t xml:space="preserve">2.1 Вовед во поглавјето</w:t>
      </w:r>
    </w:p>
    <w:p>
      <w:pPr>
        <w:pStyle w:val="FirstParagraph"/>
      </w:pPr>
      <w:r>
        <w:t xml:space="preserve">Теоретскиот преглед на литература во ова поглавје ги поставува концептуалните и истражувачките темели врз кои се изградени анализата и развојот на P2P платежното решение за македонскиот пазар. Поглавјето е организирано во пет тематски целини: (1) феноменот на финтек и трансформацијата на банкарскиот сектор на глобално ниво; (2) P2P платежни апликации — состојба на пазарот и компаративна анализа на постоечките решенија; (3) отворено банкарство, PSD2 и регулативниот пејзаж во Европа и Македонија; (4) безбедносни предизвици во отвореното банкарство и мобилните финансиски апликации; и (5) состојбата на македонскиот платежен пазар и идентификацијата на пазарниот јаз. Секоја целина се потпира на рецензирана академска литература, извештаи од индустријата и регулативни документи.</w:t>
      </w:r>
    </w:p>
    <w:p>
      <w:r>
        <w:pict>
          <v:rect style="width:0;height:1.5pt" o:hralign="center" o:hrstd="t" o:hr="t"/>
        </w:pict>
      </w:r>
    </w:p>
    <w:bookmarkEnd w:id="9"/>
    <w:bookmarkStart w:id="13" w:name="X48243f028261bd168a150cc4ae4fe60df862f6f"/>
    <w:p>
      <w:pPr>
        <w:pStyle w:val="Heading2"/>
      </w:pPr>
      <w:r>
        <w:t xml:space="preserve">2.2 Финтек и дигитална трансформација на банкарскиот сектор</w:t>
      </w:r>
    </w:p>
    <w:bookmarkStart w:id="10" w:name="дефинирање-и-еволуција-на-финтек"/>
    <w:p>
      <w:pPr>
        <w:pStyle w:val="Heading3"/>
      </w:pPr>
      <w:r>
        <w:t xml:space="preserve">2.2.1 Дефинирање и еволуција на финтек</w:t>
      </w:r>
    </w:p>
    <w:p>
      <w:pPr>
        <w:pStyle w:val="FirstParagraph"/>
      </w:pPr>
      <w:r>
        <w:t xml:space="preserve">Концептот на финансиска технологија — финтек — иако навидум нов, во суштина ги опфаќа сите форми на технолошка иновација применета во финансискиот сектор. Zavolokina, Dolata и Schwabe (2016) го истражувале феноменот на финтек преку систематска анализа на медиумското покривање и утврдиле дека „финтек не е единствен технолошки тренд, туку конвергенција на технологии, бизнис-модели и регулативни реформи кои заедно ја реконфигурираат финансиската индустрија” (стр. 2). Во своето истражување засновано на анализа на 1.134 медиумски написи, авторите идентификувале три доминантни дискурси: финтек како нова индустрија, финтек како иноватор на постоечките услуги и финтек како регулаторен предизвик.</w:t>
      </w:r>
    </w:p>
    <w:p>
      <w:pPr>
        <w:pStyle w:val="BodyText"/>
      </w:pPr>
      <w:r>
        <w:t xml:space="preserve">Gomber, Koch и Siering (2017) понудиле попрецизна таксономија, разликувајќи четири кластери во дигиталните финансии: дигитални финансиски инвестиции, дигитално финансирање, дигитални плаќања и дигитални пари. Авторите забележале дека „дигиталните плаќања претставуваат најзрел и комерцијално најуспешен сегмент на финтек, со пазарна пенетрација која ги надминува сите останати категории” (стр. 542). Оваа констатација е особено релевантна за ова истражување, бидејќи јасно ја потврдува позицијата на P2P плаќањата во центарот на финтек трансформацијата.</w:t>
      </w:r>
    </w:p>
    <w:p>
      <w:pPr>
        <w:pStyle w:val="BodyText"/>
      </w:pPr>
      <w:r>
        <w:t xml:space="preserve">Puschmann (2017) уште попрецизно го дефинирал финтек преку призмата на неговото влијание врз традиционалните финансиски институции, аргументирајќи дека финтек компаниите „не само што нудат нови производи, туку создаваат нови вредносни вериги кои ги заобиколуваат традиционалните банкарски канали” (стр. 70). Ова е особено видливо кај P2P платежните платформи, кои овозможуваат трансфер на средства без директна инволвираност на банките во процесот на извршување на трансакцијата.</w:t>
      </w:r>
    </w:p>
    <w:bookmarkEnd w:id="10"/>
    <w:bookmarkStart w:id="11" w:name="Xffbed0c80c5f6af4d7058dbb8edc9dd5fb30110"/>
    <w:p>
      <w:pPr>
        <w:pStyle w:val="Heading3"/>
      </w:pPr>
      <w:r>
        <w:t xml:space="preserve">2.2.2 Трансформација на основните банкарски системи</w:t>
      </w:r>
    </w:p>
    <w:p>
      <w:pPr>
        <w:pStyle w:val="FirstParagraph"/>
      </w:pPr>
      <w:r>
        <w:t xml:space="preserve">Традиционалните банкарски системи (Core Banking Systems — CBS) историски биле базирани на монолитни архитектури развивани во текот на 1970-тите и 1980-тите години, кои денес претставуваат значителна технолошка пречка за иновации. Tambi (2019), во своето истражување за облак-базирани CBS, детално ја анализирал оваа еволуција, констатирајќи дека „повеќето банки с уште работат со legacy системи кои се карактеризираат со тесно поврзани компоненти, монолитен дизајн и ограничена флексибилност” (стр. 1). Tambi идентификувал три генерации на CBS: (1) mainframe-базирани системи (1960-1990), (2) client-server архитектури (1990-2010) и (3) модерни облак-нативни системи (2010-денес).</w:t>
      </w:r>
    </w:p>
    <w:p>
      <w:pPr>
        <w:pStyle w:val="BodyText"/>
      </w:pPr>
      <w:r>
        <w:t xml:space="preserve">Клучниот придонес на истражувањето на Tambi (2019) е демонстрацијата на тоа дека преминот кон микросервисна архитектура е не само технолошки оправдан, туку и комерцијално потврден. Авторот ги анализирал случаите на Capital One, DBS Bank, Monzo и Starling Bank, утврдувајќи дека „банките кои ги мигрирале своите основни системи кон микросервисна архитектура постигнале до 40% намалување на трошоците за операции, 60% побрзо пуштање на нови функционалности и способност за обработка на над 3.500 трансакции во секунда со просечно одговорно време помало од 300 милисекунди” (стр. 4-5). Овие бројки ги илустрираат конкретните предности на модерната архитектура за банкарски системи.</w:t>
      </w:r>
    </w:p>
    <w:p>
      <w:pPr>
        <w:pStyle w:val="BodyText"/>
      </w:pPr>
      <w:r>
        <w:t xml:space="preserve">Во микросервисниот пристап, секоја деловна функција — управување со сметки, обработка на трансакции, автентикација на корисници — функционира како независен сервис со сопствена база на податоци. Tambi (2019) ги идентификувал следниве клучни принципи: „(1) секој микросервис претставува еден деловен капацитет; (2) сервисите комуницираат преку добро дефинирани API-ја; (3) секој сервис може независно да се дистрибуира; и (4) сервисите се дизајнирани да бидат отпорни на грешки” (стр. 3). Richardson (2018) во својата авторитативна книга за микросервисни обрасци дополнително ги дефинирал конкретните архитектурни шаблони — SAGA за дистрибуирани трансакции, API Gateway за централизирано управување со пристап и CQRS за одвојување на читање и пишување.</w:t>
      </w:r>
    </w:p>
    <w:p>
      <w:pPr>
        <w:pStyle w:val="BodyText"/>
      </w:pPr>
      <w:r>
        <w:t xml:space="preserve">Практичниот пример на Monzo Bank особено е илустративен. Tambi (2019) забележал дека Monzo стартувал со микросервисна архитектура „уште од нула”, постигнувајќи „способност за обработка на 1.000+ трансакции во секунда со 99.99% достапност” (стр. 6). Ова покажува дека модерните финтек компании имаат системска технолошка предност во однос на традиционалните банки кои носат тежок товар на legacy технологија.</w:t>
      </w:r>
    </w:p>
    <w:bookmarkEnd w:id="11"/>
    <w:bookmarkStart w:id="12" w:name="X81a8096aa83a2c5571983cabf02516f15d744ef"/>
    <w:p>
      <w:pPr>
        <w:pStyle w:val="Heading3"/>
      </w:pPr>
      <w:r>
        <w:t xml:space="preserve">2.2.3 API-прва архитектура во финансискиот сектор</w:t>
      </w:r>
    </w:p>
    <w:p>
      <w:pPr>
        <w:pStyle w:val="FirstParagraph"/>
      </w:pPr>
      <w:r>
        <w:t xml:space="preserve">Концептот на API-прва архитектура (API-First Architecture) стана централен принцип во модерниот финтек развој. Според овој принцип, функционалностите се дизајнираат пред сé како API интерфејси, а не само како кориснички интерфејси. Ова овозможува трети страни да изградат сопствени производи врз основа на банкарски услуги, создавајќи богат екосистем на финансиски апликации.</w:t>
      </w:r>
    </w:p>
    <w:p>
      <w:pPr>
        <w:pStyle w:val="BodyText"/>
      </w:pPr>
      <w:r>
        <w:t xml:space="preserve">Abbott и Fisher (2016) аргументирале дека „скалабилноста на модерните веб-системи директно зависи од квалитетот на нивните API интерфејси” и предложиле конкретни принципи за дизајн на скалабилни архитектури. Нивното „Scale Cube” рамка — хоризонтално скалирање, декомпозиција на функционалности и партиционирање на податоци — е директно применлива во контекст на банкарски системи кои треба да обработуваат милиони трансакции дневно.</w:t>
      </w:r>
    </w:p>
    <w:p>
      <w:r>
        <w:pict>
          <v:rect style="width:0;height:1.5pt" o:hralign="center" o:hrstd="t" o:hr="t"/>
        </w:pict>
      </w:r>
    </w:p>
    <w:bookmarkEnd w:id="12"/>
    <w:bookmarkEnd w:id="13"/>
    <w:bookmarkStart w:id="17" w:name="X56b35518ce4ef650e90a1ed92a67018870a1e44"/>
    <w:p>
      <w:pPr>
        <w:pStyle w:val="Heading2"/>
      </w:pPr>
      <w:r>
        <w:t xml:space="preserve">2.3 P2P Платежни апликации — Компаративна анализа</w:t>
      </w:r>
    </w:p>
    <w:bookmarkStart w:id="14" w:name="X14d527f25b74c7928eb96208a12be6a896794b6"/>
    <w:p>
      <w:pPr>
        <w:pStyle w:val="Heading3"/>
      </w:pPr>
      <w:r>
        <w:t xml:space="preserve">2.3.1 Американски P2P пазар: Venmo, PayPal, Zelle и Cash App</w:t>
      </w:r>
    </w:p>
    <w:p>
      <w:pPr>
        <w:pStyle w:val="FirstParagraph"/>
      </w:pPr>
      <w:r>
        <w:t xml:space="preserve">Соединетите Американски Држави развија најзрел P2P платежен екосистем во светот, со неколку конкурентски платформи кои заедно обработуваат стотици милијарди долари годишно. Разбирањето на нивниот успех е есенцијално за идентификација на применливи принципи во контекст на развој на македонско решение.</w:t>
      </w:r>
    </w:p>
    <w:p>
      <w:pPr>
        <w:pStyle w:val="BodyText"/>
      </w:pPr>
      <w:r>
        <w:rPr>
          <w:b/>
          <w:bCs/>
        </w:rPr>
        <w:t xml:space="preserve">Venmo</w:t>
      </w:r>
      <w:r>
        <w:t xml:space="preserve"> </w:t>
      </w:r>
      <w:r>
        <w:t xml:space="preserve">претставува парадигматичен пример за успешна P2P апликација. Основана во 2009 година и стекната од PayPal во 2012 година, Venmo трансформирала концептот на парична трансакција во социјален акт. Апликацијата содржи „активносен поток” (activity feed) во кој корисниците можат да ги видат трансакциите на своите пријатели, придружени со пораки и емотикони. Оваа социјална компонента создала вирален ефект на раст и длабока лојалност меѓу корисниците. Во 2021 година, Venmo обработил над 230 милијарди долари во трансакции, со 82 милиони активни корисници (Образложение за магистерски труд, 2026). Клучните карактеристики кои го направиле Venmo успешен вклучуваат: бесплатни трансфери меѓу корисниците, момента обработка, интуитивен интерфејс и социјалниот контекст на трансакциите.</w:t>
      </w:r>
    </w:p>
    <w:p>
      <w:pPr>
        <w:pStyle w:val="BodyText"/>
      </w:pPr>
      <w:r>
        <w:rPr>
          <w:b/>
          <w:bCs/>
        </w:rPr>
        <w:t xml:space="preserve">Zelle</w:t>
      </w:r>
      <w:r>
        <w:t xml:space="preserve"> </w:t>
      </w:r>
      <w:r>
        <w:t xml:space="preserve">претставува одговорот на банкарскиот сектор на предизвикот на Venmo. Развиена од банкарски конзорциум (Early Warning Services, LLC), Zelle е директно интегрирана во мобилните апликации на над 1.800 банки и кредитни унии во САД. Предноста на Zelle е неговата директна врска со банкарските сметки, елиминирајќи ја потребата за посредничка „паричник” (wallet) функционалност. Во 2022 година, Zelle обработил над 490 милијарди долари во трансакции, надминувајќи го Venmo по волумен. Меѓутоа, за разлика од Venmo, Zelle нема социјален аспект — фокусот е исклучиво на ефикасен трансфер.</w:t>
      </w:r>
    </w:p>
    <w:p>
      <w:pPr>
        <w:pStyle w:val="BodyText"/>
      </w:pPr>
      <w:r>
        <w:rPr>
          <w:b/>
          <w:bCs/>
        </w:rPr>
        <w:t xml:space="preserve">PayPal</w:t>
      </w:r>
      <w:r>
        <w:t xml:space="preserve">, иако постар од новите P2P платформи, останува релевантен поради неговата глобална пенетрација и доверба на корисниците. Mention (2019) го анализирал трансформативниот потенцијал на компании како PayPal, аргументирајќи дека „финтек компаниите кои успеале да изградат доверба кај корисниците имаат системска предност при воведување на нови услуги” (стр. 61). Оваа опсервација е клучна — довербата е валута на финансиските услуги, и нова апликација треба активно да ја гради.</w:t>
      </w:r>
    </w:p>
    <w:bookmarkEnd w:id="14"/>
    <w:bookmarkStart w:id="15" w:name="европски-p2p-и-необанкарски-решенија"/>
    <w:p>
      <w:pPr>
        <w:pStyle w:val="Heading3"/>
      </w:pPr>
      <w:r>
        <w:t xml:space="preserve">2.3.2 Европски P2P и необанкарски решенија</w:t>
      </w:r>
    </w:p>
    <w:p>
      <w:pPr>
        <w:pStyle w:val="FirstParagraph"/>
      </w:pPr>
      <w:r>
        <w:t xml:space="preserve">Европскиот P2P платежен пазар се развил под поинакви регулативни услови, со PSD2 директивата која создала хармонизирана правна рамка за целиот континент. Резултатот е богат екосистем на необанкарски решенија кои се разликуваат значително по модел и функционалност.</w:t>
      </w:r>
    </w:p>
    <w:p>
      <w:pPr>
        <w:pStyle w:val="BodyText"/>
      </w:pPr>
      <w:r>
        <w:rPr>
          <w:b/>
          <w:bCs/>
        </w:rPr>
        <w:t xml:space="preserve">Revolut</w:t>
      </w:r>
      <w:r>
        <w:t xml:space="preserve">, основан во Лондон во 2015 година, израсна во еден од највредните европски финтек стартапи со процена над 33 милијарди долари во 2021 година. Revolut не е само P2P апликација — тоа е целосна „необанкарска” платформа која нуди тековни сметки, менување на валути без надомест, крипто-трговија, инвестиции и осигурување. Моделот на Revolut е особено интересен бидејќи демонстрира дека корисниците се подготвени да ги пренесат своите основни финансиски активности кон необанкарска платформа доколку таа нуди поголема вредност. Chishti и Barberis (2016) во својата збирка на финтек case studies ја анализирале стратегијата на Revolut, заклучувајќи дека „успехот на Revolut потекнува од комбинацијата на реална финансиска корист (без надомести за размена на валути) со извонредно корисничко искуство” (стр. 78).</w:t>
      </w:r>
    </w:p>
    <w:p>
      <w:pPr>
        <w:pStyle w:val="BodyText"/>
      </w:pPr>
      <w:r>
        <w:rPr>
          <w:b/>
          <w:bCs/>
        </w:rPr>
        <w:t xml:space="preserve">Swish</w:t>
      </w:r>
      <w:r>
        <w:t xml:space="preserve"> </w:t>
      </w:r>
      <w:r>
        <w:t xml:space="preserve">(Шведска) и</w:t>
      </w:r>
      <w:r>
        <w:t xml:space="preserve"> </w:t>
      </w:r>
      <w:r>
        <w:rPr>
          <w:b/>
          <w:bCs/>
        </w:rPr>
        <w:t xml:space="preserve">MobilePay</w:t>
      </w:r>
      <w:r>
        <w:t xml:space="preserve"> </w:t>
      </w:r>
      <w:r>
        <w:t xml:space="preserve">(Данска) претставуваат интересен модел на соработка помеѓу банките и развојот на заедничка инфраструктура. Swish бил развиен во 2012 година од конзорциум на шест шведски банки и денес го користи над 87% од шведското население. MobilePay е сличен — создаден од Danske Bank и подоцна отворен за пошироката банкарска мрежа. Nicoletti (2017) ги анализирал овие скандинавски решенија како пример за тоа „како банките можат успешно да соработуваат за создавање на заеднички дигитални платформи наместо да се натпреваруваат во развој на фрагментирани решенија” (стр. 156).</w:t>
      </w:r>
    </w:p>
    <w:p>
      <w:pPr>
        <w:pStyle w:val="BodyText"/>
      </w:pPr>
      <w:r>
        <w:t xml:space="preserve">Поуките од Swish и MobilePay се особено релевантни за македонскиот контекст: тие покажуваат дека неголем пазар (Шведска има 10 милиони, Данска 6 милиони жители) може успешно да изгради и имплементира национално P2P решение, под услов да постои соработка меѓу финансиските институции и ефективна регулативна рамка.</w:t>
      </w:r>
    </w:p>
    <w:bookmarkEnd w:id="15"/>
    <w:bookmarkStart w:id="16" w:name="клучни-фактори-за-успех-на-p2p-платформи"/>
    <w:p>
      <w:pPr>
        <w:pStyle w:val="Heading3"/>
      </w:pPr>
      <w:r>
        <w:t xml:space="preserve">2.3.3 Клучни фактори за успех на P2P платформи</w:t>
      </w:r>
    </w:p>
    <w:p>
      <w:pPr>
        <w:pStyle w:val="FirstParagraph"/>
      </w:pPr>
      <w:r>
        <w:t xml:space="preserve">Прегледот на литературата идентификува неколку конзистентни фактори кои го детерминираат успехот на P2P платформите:</w:t>
      </w:r>
    </w:p>
    <w:p>
      <w:pPr>
        <w:pStyle w:val="BodyText"/>
      </w:pPr>
      <w:r>
        <w:t xml:space="preserve">Прво,</w:t>
      </w:r>
      <w:r>
        <w:t xml:space="preserve"> </w:t>
      </w:r>
      <w:r>
        <w:rPr>
          <w:b/>
          <w:bCs/>
        </w:rPr>
        <w:t xml:space="preserve">критична маса на корисници</w:t>
      </w:r>
      <w:r>
        <w:t xml:space="preserve">: Платежните мрежи покажуваат изразити мрежни ефекти — апликацијата е поценета толку колку е голем бројот на нејзините корисници. Norman (2013) и Krug (2014) ги документирале принципите на дизајн кои го поддржуваат вирусниот раст преку корисничко искуство.</w:t>
      </w:r>
    </w:p>
    <w:p>
      <w:pPr>
        <w:pStyle w:val="BodyText"/>
      </w:pPr>
      <w:r>
        <w:t xml:space="preserve">Второ,</w:t>
      </w:r>
      <w:r>
        <w:t xml:space="preserve"> </w:t>
      </w:r>
      <w:r>
        <w:rPr>
          <w:b/>
          <w:bCs/>
        </w:rPr>
        <w:t xml:space="preserve">трошочна предност</w:t>
      </w:r>
      <w:r>
        <w:t xml:space="preserve">: Без исклучок, успешните P2P апликации нудат пониски трошоци во споредба со традиционалните банкарски трансфери. Ова е особено важно во фазата на стекнување на корисници.</w:t>
      </w:r>
    </w:p>
    <w:p>
      <w:pPr>
        <w:pStyle w:val="BodyText"/>
      </w:pPr>
      <w:r>
        <w:t xml:space="preserve">Трето,</w:t>
      </w:r>
      <w:r>
        <w:t xml:space="preserve"> </w:t>
      </w:r>
      <w:r>
        <w:rPr>
          <w:b/>
          <w:bCs/>
        </w:rPr>
        <w:t xml:space="preserve">брзина на извршување</w:t>
      </w:r>
      <w:r>
        <w:t xml:space="preserve">: Корисниците очекуваат моментани или квази-моментани трансфери. Latency поголема од неколку секунди е перципирана негативно во контекст на P2P плаќања.</w:t>
      </w:r>
    </w:p>
    <w:p>
      <w:pPr>
        <w:pStyle w:val="BodyText"/>
      </w:pPr>
      <w:r>
        <w:t xml:space="preserve">Четврто,</w:t>
      </w:r>
      <w:r>
        <w:t xml:space="preserve"> </w:t>
      </w:r>
      <w:r>
        <w:rPr>
          <w:b/>
          <w:bCs/>
        </w:rPr>
        <w:t xml:space="preserve">безбедност и доверба</w:t>
      </w:r>
      <w:r>
        <w:t xml:space="preserve">: Финансиските апликации бараат исклучително високо ниво на безбедност и транспарентност. Корисниците мора да имаат доверба во апликацијата пред да ги пренесат своите финансиски активности.</w:t>
      </w:r>
    </w:p>
    <w:p>
      <w:r>
        <w:pict>
          <v:rect style="width:0;height:1.5pt" o:hralign="center" o:hrstd="t" o:hr="t"/>
        </w:pict>
      </w:r>
    </w:p>
    <w:bookmarkEnd w:id="16"/>
    <w:bookmarkEnd w:id="17"/>
    <w:bookmarkStart w:id="22" w:name="отворено-банкарство-и-psd2-директивата"/>
    <w:p>
      <w:pPr>
        <w:pStyle w:val="Heading2"/>
      </w:pPr>
      <w:r>
        <w:t xml:space="preserve">2.4 Отворено банкарство и PSD2 Директивата</w:t>
      </w:r>
    </w:p>
    <w:bookmarkStart w:id="18" w:name="X982f7989052e059ee718e95c6c689d91257066d"/>
    <w:p>
      <w:pPr>
        <w:pStyle w:val="Heading3"/>
      </w:pPr>
      <w:r>
        <w:t xml:space="preserve">2.4.1 Концептуални основи на отвореното банкарство</w:t>
      </w:r>
    </w:p>
    <w:p>
      <w:pPr>
        <w:pStyle w:val="FirstParagraph"/>
      </w:pPr>
      <w:r>
        <w:t xml:space="preserve">Отвореното банкарство (Open Banking) е парадигма во која банките ги отвораат своите системи за трети страни преку стандардизирани API интерфејси, под контрола на корисниците. Ова создава екосистем во кој финтек компании, технолошки гиганти и стартапи можат да изградат финансиски услуги врз основа на банкарска инфраструктура, без да бидат банки самите.</w:t>
      </w:r>
    </w:p>
    <w:p>
      <w:pPr>
        <w:pStyle w:val="BodyText"/>
      </w:pPr>
      <w:r>
        <w:t xml:space="preserve">Gounari, Stergiopoulos, Pipyros и Gritzalis (2024) го дефинирале отвореното банкарство во рамките на нивниот сеопфатен преглед на PSD2 комплијанс, констатирајќи дека „отвореното банкарство не е само технолошка промена, туку фундаментален реструктурирање на финансиската индустрија кое редефинира ги односите меѓу банките, корисниците и трети страни” (стр. 83). Авторите разликуваат три типа на учесници во отвореното банкарство:</w:t>
      </w:r>
    </w:p>
    <w:p>
      <w:pPr>
        <w:pStyle w:val="Compact"/>
        <w:numPr>
          <w:ilvl w:val="0"/>
          <w:numId w:val="1001"/>
        </w:numPr>
      </w:pPr>
      <w:r>
        <w:rPr>
          <w:b/>
          <w:bCs/>
        </w:rPr>
        <w:t xml:space="preserve">Account Servicing Payment Service Providers (ASPSPs)</w:t>
      </w:r>
      <w:r>
        <w:t xml:space="preserve"> </w:t>
      </w:r>
      <w:r>
        <w:t xml:space="preserve">— традиционалните банки кои ги чуваат сметките на корисниците и ги обезбедуваат API пристапите;</w:t>
      </w:r>
    </w:p>
    <w:p>
      <w:pPr>
        <w:pStyle w:val="Compact"/>
        <w:numPr>
          <w:ilvl w:val="0"/>
          <w:numId w:val="1001"/>
        </w:numPr>
      </w:pPr>
      <w:r>
        <w:rPr>
          <w:b/>
          <w:bCs/>
        </w:rPr>
        <w:t xml:space="preserve">Payment Initiation Service Providers (PISPs)</w:t>
      </w:r>
      <w:r>
        <w:t xml:space="preserve"> </w:t>
      </w:r>
      <w:r>
        <w:t xml:space="preserve">— трети страни кои иницираат плаќања во ime на корисникот, директно без употреба на дебитни или кредитни картички;</w:t>
      </w:r>
    </w:p>
    <w:p>
      <w:pPr>
        <w:pStyle w:val="Compact"/>
        <w:numPr>
          <w:ilvl w:val="0"/>
          <w:numId w:val="1001"/>
        </w:numPr>
      </w:pPr>
      <w:r>
        <w:rPr>
          <w:b/>
          <w:bCs/>
        </w:rPr>
        <w:t xml:space="preserve">Account Information Service Providers (AISPs)</w:t>
      </w:r>
      <w:r>
        <w:t xml:space="preserve"> </w:t>
      </w:r>
      <w:r>
        <w:t xml:space="preserve">— трети страни кои им пристапуваат на сметките на корисниците за да собираат и агрегираат финансиски информации.</w:t>
      </w:r>
    </w:p>
    <w:p>
      <w:pPr>
        <w:pStyle w:val="FirstParagraph"/>
      </w:pPr>
      <w:r>
        <w:t xml:space="preserve">Оваа трипартитна структура е клучна за разбирање на правното и техничкото позиционирање на P2P апликацијата развиена во овој труд: апликацијата функционира примарно во улога на PISP, иницирајќи плаќања во ime на корисниците, со елементи на AISP функционалност за приказ на салдо и историја на трансакции.</w:t>
      </w:r>
    </w:p>
    <w:bookmarkEnd w:id="18"/>
    <w:bookmarkStart w:id="19" w:name="psd2-директивата-правна-рамка-и-барања"/>
    <w:p>
      <w:pPr>
        <w:pStyle w:val="Heading3"/>
      </w:pPr>
      <w:r>
        <w:t xml:space="preserve">2.4.2 PSD2 Директивата — правна рамка и барања</w:t>
      </w:r>
    </w:p>
    <w:p>
      <w:pPr>
        <w:pStyle w:val="FirstParagraph"/>
      </w:pPr>
      <w:r>
        <w:t xml:space="preserve">PSD2 (Payment Services Directive 2, Directive EU 2015/2366) е европска регулативна рамка која стапи во сила во 2018 година и означи радикален пресврт во регулирањето на платежниот сектор. Gounari et al. (2024) дале исцрпна анализа на трите столба на PSD2: транспарентност и информирање на корисниците, безбедност на плаќањата и пристап до сметки на трети страни.</w:t>
      </w:r>
    </w:p>
    <w:p>
      <w:pPr>
        <w:pStyle w:val="BodyText"/>
      </w:pPr>
      <w:r>
        <w:t xml:space="preserve">Најреволуционерниот аспект на PSD2 е</w:t>
      </w:r>
      <w:r>
        <w:t xml:space="preserve"> </w:t>
      </w:r>
      <w:r>
        <w:rPr>
          <w:b/>
          <w:bCs/>
        </w:rPr>
        <w:t xml:space="preserve">Членот 66</w:t>
      </w:r>
      <w:r>
        <w:t xml:space="preserve"> </w:t>
      </w:r>
      <w:r>
        <w:t xml:space="preserve">(право на пристап до сметки за PISP) и</w:t>
      </w:r>
      <w:r>
        <w:t xml:space="preserve"> </w:t>
      </w:r>
      <w:r>
        <w:rPr>
          <w:b/>
          <w:bCs/>
        </w:rPr>
        <w:t xml:space="preserve">Членот 67</w:t>
      </w:r>
      <w:r>
        <w:t xml:space="preserve"> </w:t>
      </w:r>
      <w:r>
        <w:t xml:space="preserve">(право на пристап до сметки за AISP), кои правно ги обврзуваат банките да го овозможат пристапот на лиценцирани трети страни до сметките на корисниците, под услов корисникот да дал изрична согласност. Ова ја пробило монополската позиција на банките врз сопствените корисничките сметки.</w:t>
      </w:r>
    </w:p>
    <w:p>
      <w:pPr>
        <w:pStyle w:val="BodyText"/>
      </w:pPr>
      <w:r>
        <w:rPr>
          <w:b/>
          <w:bCs/>
        </w:rPr>
        <w:t xml:space="preserve">Силна автентикација на клиентот (SCA)</w:t>
      </w:r>
      <w:r>
        <w:t xml:space="preserve"> </w:t>
      </w:r>
      <w:r>
        <w:t xml:space="preserve">е клучно безбедносно барање на PSD2, дефинирано во Регулаторните технички стандарди (RTS). Gounari et al. (2024) детално ја анализирале SCA рамката, забележувајќи дека таа бара „употреба на најмалку два независни елементи од три категории: знаење (нешто само корисникот го знае), поседување (нешто само корисникот го поседува) и инхеренција (нешто карактеристично за корисникот)” (стр. 89). Авторите исто така ги идентификувале практичните предизвици при имплементација на SCA: барањето за посебен канал за автентикација (dynamic linking) и управувањето со изземања за трансакции под одреден праг.</w:t>
      </w:r>
    </w:p>
    <w:p>
      <w:pPr>
        <w:pStyle w:val="BodyText"/>
      </w:pPr>
      <w:r>
        <w:t xml:space="preserve">Важна дополнителна димензија е</w:t>
      </w:r>
      <w:r>
        <w:t xml:space="preserve"> </w:t>
      </w:r>
      <w:r>
        <w:rPr>
          <w:b/>
          <w:bCs/>
        </w:rPr>
        <w:t xml:space="preserve">врската помеѓу PSD2 и GDPR</w:t>
      </w:r>
      <w:r>
        <w:t xml:space="preserve">. Gounari et al. (2024) анализирале дека „двете регулативи имаат различни, понекогаш конфликтни барања: PSD2 го промовира споделувањето на финансиски податоци, додека GDPR го ограничува истото под принципот на минимизација на податоци” (стр. 95). Финтек компаниите мора внимателно да ги балансираат овие конфликтни барања, обезбедувајќи дека собирањето и процесирањето на финансиски податоци се врши со изрична согласност и за точно дефинирани цели.</w:t>
      </w:r>
    </w:p>
    <w:bookmarkEnd w:id="19"/>
    <w:bookmarkStart w:id="20" w:name="споредбен-преглед-еу-сад-и-австралија"/>
    <w:p>
      <w:pPr>
        <w:pStyle w:val="Heading3"/>
      </w:pPr>
      <w:r>
        <w:t xml:space="preserve">2.4.3 Споредбен преглед: ЕУ, САД и Австралија</w:t>
      </w:r>
    </w:p>
    <w:p>
      <w:pPr>
        <w:pStyle w:val="FirstParagraph"/>
      </w:pPr>
      <w:r>
        <w:t xml:space="preserve">Zeller и Lynch (2021) направиле исцрпна компаративна анализа на пристапите кон отворено банкарство во ЕУ, САД и Австралија, идентификувајќи значителни разлики во регулативните философии. Авторите констатирале дека „европскиот регулаторен пристап е дефинитивен — PSD2 директно ги обврзува банките да ги отворат своите API-ја. Американскиот пристап е повеќе пазарно-ориентиран, додека австралиската Consumer Data Right (CDR) рамка е можеби најамбициозна, проширувајќи ги принципите на отвореното банкарство и на другите индустрии” (стр. 586).</w:t>
      </w:r>
    </w:p>
    <w:p>
      <w:pPr>
        <w:pStyle w:val="BodyText"/>
      </w:pPr>
      <w:r>
        <w:t xml:space="preserve">Ова е клучна разлика: во ЕУ, банките немаат избор — тие мора да ги отворат своите API-ја. Во САД, финтек компаниите историски зависеле од screen scraping (автоматизирано читање на веб-интерфејсот на банките) бидејќи банките немале законска обврска да нудат API-ја. Оваа разлика во регулативните рамки значително влијаела на развојот на финтек екосистемите.</w:t>
      </w:r>
    </w:p>
    <w:p>
      <w:pPr>
        <w:pStyle w:val="BodyText"/>
      </w:pPr>
      <w:r>
        <w:t xml:space="preserve">Zeller и Lynch (2021) исто така ги истакнале предизвиците со потрошувачката доверба, цитирајќи студија од Полска според која „76% од потрошувачите имаат доверба во банките за чување на нивните финансиски информации, но 61% нема да ја споделат својата историја на трансакции со трета страна” (стр. 592). Овој „paradox на доверба” е значаен предизвик за сите P2P апликации — корисниците ценат приватност, но и сакаат напредни функционалности кои бараат пристап до нивните финансиски податоци.</w:t>
      </w:r>
    </w:p>
    <w:bookmarkEnd w:id="20"/>
    <w:bookmarkStart w:id="21" w:name="X9fb5912327a4c3bbeb0b703a972aa500e8de198"/>
    <w:p>
      <w:pPr>
        <w:pStyle w:val="Heading3"/>
      </w:pPr>
      <w:r>
        <w:t xml:space="preserve">2.4.4 Имплементација на отвореното банкарство во Македонија</w:t>
      </w:r>
    </w:p>
    <w:p>
      <w:pPr>
        <w:pStyle w:val="FirstParagraph"/>
      </w:pPr>
      <w:r>
        <w:t xml:space="preserve">Република Македонија, во рамките на своите аспирации за европска интеграција, транспонирала голем дел од европската регулативна рамка во национално законодавство. Народната банка на Република Македонија (НБРМ) донела „Одлука за условите и начинот на работење на даватели на услуги за иницијација на плаќање и даватели на услуги за информации за сметки” (НБРМ, 2020), со која е поставена правна основа за PISP и AISP операции во земјата.</w:t>
      </w:r>
    </w:p>
    <w:p>
      <w:pPr>
        <w:pStyle w:val="BodyText"/>
      </w:pPr>
      <w:r>
        <w:t xml:space="preserve">Меѓутоа, практичната имплементација останува во раните фази. За разлика од земјите со долга традиција на PSD2 имплементација (Велика Британија, Германија, Шведска), Македонија с уште нема развиено стандардизиран API интерфејс за отворено банкарство кој ги опфаќа сите или повеќето банки. Секоја банка теоретски може да понуди свој API, но отсуствуваат заеднички стандарди кои би ги направиле тие API-ја меѓусебно интероперабилни.</w:t>
      </w:r>
    </w:p>
    <w:p>
      <w:pPr>
        <w:pStyle w:val="BodyText"/>
      </w:pPr>
      <w:r>
        <w:t xml:space="preserve">Британскиот пример е особено instructive во овој контекст. Zeller и Lynch (2021) го анализирале искуството на Open Banking Implementation Entity (OBIE) во Велика Британија, орган основан за стандардизација на отвореното банкарство, констатирајќи дека „успехот на британскиот модел лежи во комбинацијата на регулаторна обврска (банките мора да учествуваат) со техничка стандардизација (единствен API стандард) и надзор на квалитетот (OBIE мониторира имплементацијата)” (стр. 599). Македонија може да се инспирира од овој модел во развојот на сопствена инфраструктура за отворено банкарство.</w:t>
      </w:r>
    </w:p>
    <w:p>
      <w:r>
        <w:pict>
          <v:rect style="width:0;height:1.5pt" o:hralign="center" o:hrstd="t" o:hr="t"/>
        </w:pict>
      </w:r>
    </w:p>
    <w:bookmarkEnd w:id="21"/>
    <w:bookmarkEnd w:id="22"/>
    <w:bookmarkStart w:id="28" w:name="X0f5f58aa96e827e352e7d7263df9682fb2c2624"/>
    <w:p>
      <w:pPr>
        <w:pStyle w:val="Heading2"/>
      </w:pPr>
      <w:r>
        <w:t xml:space="preserve">2.5 Безбедносни предизвици во отвореното банкарство</w:t>
      </w:r>
    </w:p>
    <w:bookmarkStart w:id="23" w:name="X379006e4473d3518669a26349b993ba67e147a2"/>
    <w:p>
      <w:pPr>
        <w:pStyle w:val="Heading3"/>
      </w:pPr>
      <w:r>
        <w:t xml:space="preserve">2.5.1 Систематски преглед на безбедносните ризици</w:t>
      </w:r>
    </w:p>
    <w:p>
      <w:pPr>
        <w:pStyle w:val="FirstParagraph"/>
      </w:pPr>
      <w:r>
        <w:t xml:space="preserve">Wilson и Tam (2026) спровеле систематски преглед на литературата опфаќајќи 93 студии публикувани во периодот 1999–2025, со цел да го мапираат целокупниот пејзаж на безбедносни ризици во отвореното банкарство. Авторите идентификувале пет примарни категории на ризик: (1) API безбедносни ризици, (2) ризици поврзани со управување со идентитет и пристап, (3) ризици од трети страни, (4) ризици поврзани со измама и (5) ризици поврзани со усогласеност.</w:t>
      </w:r>
    </w:p>
    <w:p>
      <w:pPr>
        <w:pStyle w:val="BodyText"/>
      </w:pPr>
      <w:r>
        <w:t xml:space="preserve">Во однос на географската дистрибуција на отвореното банкарство, Wilson и Tam (2026) утврдиле дека „отвореното банкарство е имплементирано во некаква форма во 71% од 193 проследени земји, но само 23% имаат сеопфатни безбедносни рамки” (стр. 3). Ова покажува дека иако регулативната адопција е широка, безбедносната зрелост значително заостанува.</w:t>
      </w:r>
    </w:p>
    <w:bookmarkEnd w:id="23"/>
    <w:bookmarkStart w:id="24" w:name="api-безбедносни-ризици"/>
    <w:p>
      <w:pPr>
        <w:pStyle w:val="Heading3"/>
      </w:pPr>
      <w:r>
        <w:t xml:space="preserve">2.5.2 API безбедносни ризици</w:t>
      </w:r>
    </w:p>
    <w:p>
      <w:pPr>
        <w:pStyle w:val="FirstParagraph"/>
      </w:pPr>
      <w:r>
        <w:t xml:space="preserve">API-јата се срцето на отвореното банкарство и, следствено, примарна цел за напаѓачи. Gounari et al. (2024) детално ги анализирале API безбедносните ризици специфични за банкарскиот сектор, идентификувајќи неколку критични вектори на напад:</w:t>
      </w:r>
    </w:p>
    <w:p>
      <w:pPr>
        <w:pStyle w:val="BodyText"/>
      </w:pPr>
      <w:r>
        <w:rPr>
          <w:b/>
          <w:bCs/>
        </w:rPr>
        <w:t xml:space="preserve">Broken Object-Level Authorization (BOLA)</w:t>
      </w:r>
      <w:r>
        <w:t xml:space="preserve">: Напаѓачот манипулира со идентификатори на ресурси во API повиците за да пристапи до записи на друг корисник. Во банкарски контекст, ова може да значи пристап до сметки на друг корисник само со промена на ID параметарот. Gounari et al. (2024) оценуваат дека „BOLA е најраспространетата API безбедносна ранливост, присутна во повеќе од 40% од API имплементациите” (стр. 102).</w:t>
      </w:r>
    </w:p>
    <w:p>
      <w:pPr>
        <w:pStyle w:val="BodyText"/>
      </w:pPr>
      <w:r>
        <w:rPr>
          <w:b/>
          <w:bCs/>
        </w:rPr>
        <w:t xml:space="preserve">Token leakage и session hijacking</w:t>
      </w:r>
      <w:r>
        <w:t xml:space="preserve">: OAuth 2.0 access token-ите, доколку не се правилно заштитени, можат да бидат пресретнати и злоупотребени. Особено опасна е ситуацијата кога token-ите се складираат во незаштитено клиентско складиште (на пример, localStorage на веб-прелистувач). Wilson и Tam (2026) идентификувале дека „токен управувањето е критична точка на безбедносен неуспех, особено во контекст на мобилни апликации каде корисниците честопати работат преку несигурни јавни Wi-Fi мрежи” (стр. 8).</w:t>
      </w:r>
    </w:p>
    <w:p>
      <w:pPr>
        <w:pStyle w:val="BodyText"/>
      </w:pPr>
      <w:r>
        <w:rPr>
          <w:b/>
          <w:bCs/>
        </w:rPr>
        <w:t xml:space="preserve">Man-in-the-Middle (MitM) напади</w:t>
      </w:r>
      <w:r>
        <w:t xml:space="preserve">: Пресретнување на комуникацијата помеѓу клиентот и серверот, особено ако TLS/SSL имплементацијата е несовршена. Gounari et al. (2024) нотирале дека „правилното спроведување на certificate pinning во мобилните апликации е критично за превенција на MitM напади” (стр. 104).</w:t>
      </w:r>
    </w:p>
    <w:p>
      <w:pPr>
        <w:pStyle w:val="BodyText"/>
      </w:pPr>
      <w:r>
        <w:rPr>
          <w:b/>
          <w:bCs/>
        </w:rPr>
        <w:t xml:space="preserve">Injection напади</w:t>
      </w:r>
      <w:r>
        <w:t xml:space="preserve">: SQL injection, command injection и слични техники остануваат актуелни и во API контекст. Посебно е опасна ситуацијата кога API параметри директно се процесираат во database query-ја без санитизација.</w:t>
      </w:r>
    </w:p>
    <w:bookmarkEnd w:id="24"/>
    <w:bookmarkStart w:id="25" w:name="X5759d3daf5d782baa8699c7f60e23d324987a70"/>
    <w:p>
      <w:pPr>
        <w:pStyle w:val="Heading3"/>
      </w:pPr>
      <w:r>
        <w:t xml:space="preserve">2.5.3 Регулативна рамка за безбедност: PSD2, NIS2 и ISO 27001</w:t>
      </w:r>
    </w:p>
    <w:p>
      <w:pPr>
        <w:pStyle w:val="FirstParagraph"/>
      </w:pPr>
      <w:r>
        <w:t xml:space="preserve">Gounari et al. (2024) направиле исцрпна компаративна анализа на безбедносните барања поставени од три паралелни европски регулативни рамки: PSD2 RTS, NIS2 Директивата и ISO/IEC 27001:2022. Авторите утврдиле дека „иако трите рамки имаат различни фокуси — PSD2 на платежни услуги, NIS2 на критична инфраструктура и ISO 27001 на информациска безбедност — нивните барања се значително преклопуваат и взаемно се засилуваат” (стр. 93).</w:t>
      </w:r>
    </w:p>
    <w:p>
      <w:pPr>
        <w:pStyle w:val="BodyText"/>
      </w:pPr>
      <w:r>
        <w:t xml:space="preserve">Клучно барање на PSD2 RTS е правилото за</w:t>
      </w:r>
      <w:r>
        <w:t xml:space="preserve"> </w:t>
      </w:r>
      <w:r>
        <w:rPr>
          <w:b/>
          <w:bCs/>
        </w:rPr>
        <w:t xml:space="preserve">dynamic linking</w:t>
      </w:r>
      <w:r>
        <w:t xml:space="preserve">: секој автентикациски код генериран за одобрување на плаќање мора да биде специфичен за износот и корисникот на плаќањето. Ова спречува напаѓач кој го пресретнал кодот да го употреби за плаќање со различен износ или кон различен корисник. Gounari et al. (2024) ова го опишуваат како „технолошки одговор на transaction manipulation нападите, кај кои корисникот е измамен да автентицира легитимно изгледачка трансакција, а всушност одобрува злонамерна” (стр. 91).</w:t>
      </w:r>
    </w:p>
    <w:p>
      <w:pPr>
        <w:pStyle w:val="BodyText"/>
      </w:pPr>
      <w:r>
        <w:t xml:space="preserve">NIS2 Директивата (Directive EU 2022/2555), со која се засилила NIS1, ги прошири обврските за сајбер-безбедност и ги засили казните за некомплијанс. Gounari et al. (2024) ги категоризирале финансиските институции во „есенцијален сектор” под NIS2, кој подлежи на построги барања: управување со ризици, планови за одговор на инциденти, безбедност на синџирот на снабдување и известување за инциденти во рок од 24 часа.</w:t>
      </w:r>
    </w:p>
    <w:p>
      <w:pPr>
        <w:pStyle w:val="BodyText"/>
      </w:pPr>
      <w:r>
        <w:rPr>
          <w:b/>
          <w:bCs/>
        </w:rPr>
        <w:t xml:space="preserve">PCI DSS</w:t>
      </w:r>
      <w:r>
        <w:t xml:space="preserve"> </w:t>
      </w:r>
      <w:r>
        <w:t xml:space="preserve">(Payment Card Industry Data Security Standard) е друга клучна безбедносна рамка, задолжителна за сите субјекти кои обработуваат картички. Иако P2P апликациите не секогаш директно процесираат картичарски трансакции, разбирањето на PCI DSS принципите — мрежна сегментација, шифрирање на чувствителни податоци, редовни пенетрациски тестирања — е важно за безбедносната архитектура.</w:t>
      </w:r>
    </w:p>
    <w:bookmarkEnd w:id="25"/>
    <w:bookmarkStart w:id="26" w:name="X0d33be2bdd48f62a07fe6072f34b32ec0f2f4f3"/>
    <w:p>
      <w:pPr>
        <w:pStyle w:val="Heading3"/>
      </w:pPr>
      <w:r>
        <w:t xml:space="preserve">2.5.4 Три-димензионална безбедносна рамка за отворено банкарство</w:t>
      </w:r>
    </w:p>
    <w:p>
      <w:pPr>
        <w:pStyle w:val="FirstParagraph"/>
      </w:pPr>
      <w:r>
        <w:t xml:space="preserve">Wilson и Tam (2026) го завршиле своето истражување со предлог за нова концептуална рамка за безбедност во отвореното банкарство, наречена „Tri-Dimensional Security Framework”. Оваа рамка ги интегрира три засебни, но меѓусебно зависни димензии:</w:t>
      </w:r>
    </w:p>
    <w:p>
      <w:pPr>
        <w:pStyle w:val="BodyText"/>
      </w:pPr>
      <w:r>
        <w:rPr>
          <w:b/>
          <w:bCs/>
        </w:rPr>
        <w:t xml:space="preserve">Димензија 1 — SecTech (Security Technology)</w:t>
      </w:r>
      <w:r>
        <w:t xml:space="preserve">: Технолошките механизми за заштита, вклучувајќи шифрирање, автентикација, авторизација, мониторинг и откривање на измами. Wilson и Tam (2026) истакнуваат дека „SecTech е неопходен но не доволен услов за безбедност — технолошките решенија можат да бидат совршени, а системот с уште да биде ранлив поради регулативни или однесувачки слабости” (стр. 12).</w:t>
      </w:r>
    </w:p>
    <w:p>
      <w:pPr>
        <w:pStyle w:val="BodyText"/>
      </w:pPr>
      <w:r>
        <w:rPr>
          <w:b/>
          <w:bCs/>
        </w:rPr>
        <w:t xml:space="preserve">Димензија 2 — RegTech (Regulatory Technology)</w:t>
      </w:r>
      <w:r>
        <w:t xml:space="preserve">: Автоматизираните системи за обезбедување на усогласеност со регулативата, вклучувајќи мониторинг на трансакции, извештаи за усогласеност и управување со ризик. Авторите нотираат дека RegTech „не е само за исполнување на законски обврски, туку претставува вреден извор на безбедносна интелигенција” (стр. 13).</w:t>
      </w:r>
    </w:p>
    <w:p>
      <w:pPr>
        <w:pStyle w:val="BodyText"/>
      </w:pPr>
      <w:r>
        <w:rPr>
          <w:b/>
          <w:bCs/>
        </w:rPr>
        <w:t xml:space="preserve">Димензија 3 — Behavioral (Однесувачка безбедност)</w:t>
      </w:r>
      <w:r>
        <w:t xml:space="preserve">: Свесноста и навиките на корисниците и вработените во однос на безбедноста. Wilson и Tam (2026) констатирале дека „во 68% од документираните финтек безбедносни инциденти, човечкиот фактор — социјален инженеринг, слаби пасворди или нехат — бил примарен или значителен придонесувач” (стр. 14). Ова покажува дека технолошките решенија мора да бидат придружени со едукација на корисниците.</w:t>
      </w:r>
    </w:p>
    <w:p>
      <w:pPr>
        <w:pStyle w:val="BodyText"/>
      </w:pPr>
      <w:r>
        <w:t xml:space="preserve">Авторите аргументираат дека ефективна безбедносна стратегија мора да ги адресира сите три димензии симултано. Апликација со совршена SecTech, но без RegTech или без обучени корисници, остава значителни безбедносни јазлиња.</w:t>
      </w:r>
    </w:p>
    <w:bookmarkEnd w:id="26"/>
    <w:bookmarkStart w:id="27" w:name="Xc214f9695fd995abc5f878ee30a42ebaef7a543"/>
    <w:p>
      <w:pPr>
        <w:pStyle w:val="Heading3"/>
      </w:pPr>
      <w:r>
        <w:t xml:space="preserve">2.5.5 Специфични безбедносни предизвици за мобилни финансиски апликации</w:t>
      </w:r>
    </w:p>
    <w:p>
      <w:pPr>
        <w:pStyle w:val="FirstParagraph"/>
      </w:pPr>
      <w:r>
        <w:t xml:space="preserve">Мобилните апликации создаваат специфичен безбедносен контекст кој го надминува традиционалниот веб-апликациски модел. Wilson и Tam (2026) идентификувале неколку специфични предизвици:</w:t>
      </w:r>
    </w:p>
    <w:p>
      <w:pPr>
        <w:pStyle w:val="BodyText"/>
      </w:pPr>
      <w:r>
        <w:rPr>
          <w:b/>
          <w:bCs/>
        </w:rPr>
        <w:t xml:space="preserve">Jailbreaking/Rooting</w:t>
      </w:r>
      <w:r>
        <w:t xml:space="preserve">: Корисниците кои го деактивирале безбедносниот систем на своите уреди ги изложуваат апликациите на сигнификантно поголем ризик. Апликациите треба да детектираат rooted/jailbroken уреди и соодветно да ги ограничат функционалностите.</w:t>
      </w:r>
    </w:p>
    <w:p>
      <w:pPr>
        <w:pStyle w:val="BodyText"/>
      </w:pPr>
      <w:r>
        <w:rPr>
          <w:b/>
          <w:bCs/>
        </w:rPr>
        <w:t xml:space="preserve">Reverse engineering</w:t>
      </w:r>
      <w:r>
        <w:t xml:space="preserve">: Мобилните апликации се дистрибуираат во бинарна форма која може да се декомпилира. Апликациите кои содржат хардкодирани клучеви, сертификати или API endpoint-и се посебно ранливи. Обфускацијата на кодот и правилното управување со тајни (secrets management) се есенцијални.</w:t>
      </w:r>
    </w:p>
    <w:p>
      <w:pPr>
        <w:pStyle w:val="BodyText"/>
      </w:pPr>
      <w:r>
        <w:rPr>
          <w:b/>
          <w:bCs/>
        </w:rPr>
        <w:t xml:space="preserve">Unsafe data storage</w:t>
      </w:r>
      <w:r>
        <w:t xml:space="preserve">: Сензитивни информации (токени, корисничките податоци) складирани во незаштитено локално складиште претставуваат значителен ризик, особено на изгубени или украдени уреди. Wilson и Tam (2026) препорачуваат „употреба на платформски Keychain/Keystore механизми за безбедно складирање на чувствителни вредности” (стр. 10).</w:t>
      </w:r>
    </w:p>
    <w:p>
      <w:r>
        <w:pict>
          <v:rect style="width:0;height:1.5pt" o:hralign="center" o:hrstd="t" o:hr="t"/>
        </w:pict>
      </w:r>
    </w:p>
    <w:bookmarkEnd w:id="27"/>
    <w:bookmarkEnd w:id="28"/>
    <w:bookmarkStart w:id="33" w:name="состојба-на-македонскиот-платежен-пазар"/>
    <w:p>
      <w:pPr>
        <w:pStyle w:val="Heading2"/>
      </w:pPr>
      <w:r>
        <w:t xml:space="preserve">2.6 Состојба на македонскиот платежен пазар</w:t>
      </w:r>
    </w:p>
    <w:bookmarkStart w:id="29" w:name="банкарскиот-систем-на-македонија-преглед"/>
    <w:p>
      <w:pPr>
        <w:pStyle w:val="Heading3"/>
      </w:pPr>
      <w:r>
        <w:t xml:space="preserve">2.6.1 Банкарскиот систем на Македонија — преглед</w:t>
      </w:r>
    </w:p>
    <w:p>
      <w:pPr>
        <w:pStyle w:val="FirstParagraph"/>
      </w:pPr>
      <w:r>
        <w:t xml:space="preserve">Банкарскиот систем на Република Македонија се состои од 14 комерцијални банки, регулирани од Народната банка на Република Македонија (НБРМ). Системот е релативно концентриран, со топ 5 банки (Комерцијална банка, НЛБ банка, Стопанска банка, Охридска банка и ПроКредит банка) кои контролираат поголем дел од вкупните банкарски средства. Од регулативна перспектива, Македонија следи европски стандарди поради процесот на пристапување кон ЕУ, при што е транспониран значителен дел од европското банкарско законодавство.</w:t>
      </w:r>
    </w:p>
    <w:p>
      <w:pPr>
        <w:pStyle w:val="BodyText"/>
      </w:pPr>
      <w:r>
        <w:t xml:space="preserve">Дигиталните банкарски услуги во Македонија постепено се развиваат. Скоро сите поголеми банки нудат мобилни банкарски апликации и услуги за онлајн банкарство. Меѓутоа, постои значителна хетерогеност во квалитетот, функционалностите и безбедносните стандарди на овие апликации.</w:t>
      </w:r>
    </w:p>
    <w:bookmarkEnd w:id="29"/>
    <w:bookmarkStart w:id="30" w:name="идентификација-на-пазарниот-јаз"/>
    <w:p>
      <w:pPr>
        <w:pStyle w:val="Heading3"/>
      </w:pPr>
      <w:r>
        <w:t xml:space="preserve">2.6.2 Идентификација на пазарниот јаз</w:t>
      </w:r>
    </w:p>
    <w:p>
      <w:pPr>
        <w:pStyle w:val="FirstParagraph"/>
      </w:pPr>
      <w:r>
        <w:t xml:space="preserve">Иако светскиот тренд е јасен — P2P плаќањата се насочуваат кон посебни, независни финтек апликации — македонскиот пазар сè уште нема слично локализирано решение. Оваа состојба е последица на неколку структурни фактори:</w:t>
      </w:r>
    </w:p>
    <w:p>
      <w:pPr>
        <w:pStyle w:val="BodyText"/>
      </w:pPr>
      <w:r>
        <w:rPr>
          <w:b/>
          <w:bCs/>
        </w:rPr>
        <w:t xml:space="preserve">Регулативна незрелост</w:t>
      </w:r>
      <w:r>
        <w:t xml:space="preserve">: Иако правната основа постои преку транспонирањето на PSD2, практичната регулативна инфраструктура (лиценцирање на PISP, стандардизирани API-ја) с уште е во развој.</w:t>
      </w:r>
    </w:p>
    <w:p>
      <w:pPr>
        <w:pStyle w:val="BodyText"/>
      </w:pPr>
      <w:r>
        <w:rPr>
          <w:b/>
          <w:bCs/>
        </w:rPr>
        <w:t xml:space="preserve">Пазарна фрагментација</w:t>
      </w:r>
      <w:r>
        <w:t xml:space="preserve">: Ниту една банка нема доволно доминантна позиција за да лансира решение кое ќе биде масовно прифатено. Одсуствуваат иницијативи за меѓубанкарска соработка по моделот на шведскиот Swish.</w:t>
      </w:r>
    </w:p>
    <w:p>
      <w:pPr>
        <w:pStyle w:val="BodyText"/>
      </w:pPr>
      <w:r>
        <w:rPr>
          <w:b/>
          <w:bCs/>
        </w:rPr>
        <w:t xml:space="preserve">Недостаток на финтек екосистем</w:t>
      </w:r>
      <w:r>
        <w:t xml:space="preserve">: Македонија нема развиен финтек екосистем со доволно стартапи, инвеститори и техничка тalent база за да поддржи независен финтек развој.</w:t>
      </w:r>
    </w:p>
    <w:p>
      <w:pPr>
        <w:pStyle w:val="BodyText"/>
      </w:pPr>
      <w:r>
        <w:rPr>
          <w:b/>
          <w:bCs/>
        </w:rPr>
        <w:t xml:space="preserve">Потрошувачката доверба</w:t>
      </w:r>
      <w:r>
        <w:t xml:space="preserve">: Слично на наодите на Zeller и Lynch (2021) за Полска, може да се очекува дека македонските потрошувачи имаат висока доверба во традиционалните банки, но потенцијална скептичност кон новите финтек решенија. Ова претставува маркетиншки и комуникациски предизвик.</w:t>
      </w:r>
    </w:p>
    <w:bookmarkEnd w:id="30"/>
    <w:bookmarkStart w:id="31" w:name="Xaad5895f471f28a9407c7a99141ba319a483d2f"/>
    <w:p>
      <w:pPr>
        <w:pStyle w:val="Heading3"/>
      </w:pPr>
      <w:r>
        <w:t xml:space="preserve">2.6.3 Анализа на постоечките платежни решенија во Македонија</w:t>
      </w:r>
    </w:p>
    <w:p>
      <w:pPr>
        <w:pStyle w:val="FirstParagraph"/>
      </w:pPr>
      <w:r>
        <w:t xml:space="preserve">Тековните решенија за P2P плаќања во Македонија може да се поделат во неколку категории:</w:t>
      </w:r>
    </w:p>
    <w:p>
      <w:pPr>
        <w:pStyle w:val="BodyText"/>
      </w:pPr>
      <w:r>
        <w:rPr>
          <w:b/>
          <w:bCs/>
        </w:rPr>
        <w:t xml:space="preserve">Мобилно банкарство преку поединечни банкарски апликации</w:t>
      </w:r>
      <w:r>
        <w:t xml:space="preserve">: Секоја банка нуди своја апликација која овозможува трансфери кон сметки во истата банка (бесплатно или евтино) и кон сметки во други банки (со такси). Меѓутоа, овие апликации не нудат социјални функционалности, не поддржуваат трансфери преку телефонски број и се карактеризираат со варијабилен квалитет на корисничкото искуство.</w:t>
      </w:r>
    </w:p>
    <w:p>
      <w:pPr>
        <w:pStyle w:val="BodyText"/>
      </w:pPr>
      <w:r>
        <w:rPr>
          <w:b/>
          <w:bCs/>
        </w:rPr>
        <w:t xml:space="preserve">Е-банкарство преку веб-пристап</w:t>
      </w:r>
      <w:r>
        <w:t xml:space="preserve">: Традиционалните онлајн банкарски платформи остануваат важни, особено за постарата демографија. Меѓутоа, нивната употреба на мобилни уреди е ограничена поради нефлексибилниот интерфејс.</w:t>
      </w:r>
    </w:p>
    <w:p>
      <w:pPr>
        <w:pStyle w:val="BodyText"/>
      </w:pPr>
      <w:r>
        <w:rPr>
          <w:b/>
          <w:bCs/>
        </w:rPr>
        <w:t xml:space="preserve">Картичарски трансфери</w:t>
      </w:r>
      <w:r>
        <w:t xml:space="preserve">: PayPal и слични платформи технички се достапни на македонскиот пазар, но нивната употреба за P2P трансфери меѓу Македонци е ограничена поради сложените процедури за поврзување на локални банкарски сметки и потенцијалните дополнителни трошоци.</w:t>
      </w:r>
    </w:p>
    <w:p>
      <w:pPr>
        <w:pStyle w:val="BodyText"/>
      </w:pPr>
      <w:r>
        <w:rPr>
          <w:b/>
          <w:bCs/>
        </w:rPr>
        <w:t xml:space="preserve">Готовинска економија</w:t>
      </w:r>
      <w:r>
        <w:t xml:space="preserve">: Значителен дел од P2P трансакциите с уште се извршуваат во готовина, особено за помали износи. Ова е индикатор за незадоволената побарувачка за едноставни дигитални P2P решенија.</w:t>
      </w:r>
    </w:p>
    <w:bookmarkEnd w:id="31"/>
    <w:bookmarkStart w:id="32" w:name="пазарниот-потенцијал"/>
    <w:p>
      <w:pPr>
        <w:pStyle w:val="Heading3"/>
      </w:pPr>
      <w:r>
        <w:t xml:space="preserve">2.6.4 Пазарниот потенцијал</w:t>
      </w:r>
    </w:p>
    <w:p>
      <w:pPr>
        <w:pStyle w:val="FirstParagraph"/>
      </w:pPr>
      <w:r>
        <w:t xml:space="preserve">KPMG (2019) во своето истражување на глобалните финтек трендови идентификувале дека „пазарите со висока употреба на готовина и ограничена пенетрација на дигитални плаќања претставуваат особено привлечни можности за финтек дисрупција” (стр. 34). Македонија се вклопува во овој опис, со значителен удел на готовинска економија и незадоволена побарувачка за ефикасни дигитални платежни решенија.</w:t>
      </w:r>
    </w:p>
    <w:p>
      <w:pPr>
        <w:pStyle w:val="BodyText"/>
      </w:pPr>
      <w:r>
        <w:t xml:space="preserve">McKinsey &amp; Company (2020) во нивниот Глобален извештај за плаќања идентификувале дека „земјите во развој и земјите со растечки економии имаат поголема можност за квантни скокови во адопцијата на дигитални плаќања, бидејќи нивните потрошувачи немаат дубока инерција кон постоечките дигитални решенија” (стр. 12). Ова е „leapfrog” феноменот — земјите без зрел дигитален платежен екосистем можат директно да преминат кон напредни решенија без да минат низ меѓуфазите кои ги преминале поразвиените пазари.</w:t>
      </w:r>
    </w:p>
    <w:p>
      <w:r>
        <w:pict>
          <v:rect style="width:0;height:1.5pt" o:hralign="center" o:hrstd="t" o:hr="t"/>
        </w:pict>
      </w:r>
    </w:p>
    <w:bookmarkEnd w:id="32"/>
    <w:bookmarkEnd w:id="33"/>
    <w:bookmarkStart w:id="36" w:name="X2c990a986bc6e291ce052b5dc742899c53fcc3b"/>
    <w:p>
      <w:pPr>
        <w:pStyle w:val="Heading2"/>
      </w:pPr>
      <w:r>
        <w:t xml:space="preserve">2.7 Искуства на BigTech и импликациите за локалните пазари</w:t>
      </w:r>
    </w:p>
    <w:bookmarkStart w:id="34" w:name="X624ee85c2000a02d3ebee4fe092a1249b09d698"/>
    <w:p>
      <w:pPr>
        <w:pStyle w:val="Heading3"/>
      </w:pPr>
      <w:r>
        <w:t xml:space="preserve">2.7.1 Навлегување на BigTech во платежниот сектор</w:t>
      </w:r>
    </w:p>
    <w:p>
      <w:pPr>
        <w:pStyle w:val="FirstParagraph"/>
      </w:pPr>
      <w:r>
        <w:t xml:space="preserve">Zeller и Lynch (2021) особено внимание посветиле на навлегувањето на технолошките гиганти — Amazon, Apple, Google, Facebook/Meta — во платежниот сектор. Авторите констатирале дека „BigTech компаниите имаат структурна предност во платежниот сектор: огромни бази на корисници, длабоко разбирање на корисничкото однесување преку постоечките услуги и капацитет за масовни инвестиции” (стр. 603).</w:t>
      </w:r>
    </w:p>
    <w:p>
      <w:pPr>
        <w:pStyle w:val="BodyText"/>
      </w:pPr>
      <w:r>
        <w:t xml:space="preserve">Apple Pay, Google Pay и Samsung Pay трансформираа го концептот на бесконтактно плаќање на ПОС-терминали, додека Amazon Pay и Facebook Pay/Meta Pay ги интегрираат плаќањата директно во своите екосистеми. Ова создава конкурентски притисок и врз традиционалните банки и врз финтек стартапите.</w:t>
      </w:r>
    </w:p>
    <w:p>
      <w:pPr>
        <w:pStyle w:val="BodyText"/>
      </w:pPr>
      <w:r>
        <w:t xml:space="preserve">За македонскиот контекст, импликацијата е важна: Google Pay и Apple Pay се достапни во Македонија и ги нудат своите услуги. Меѓутоа, тие не нудат P2P функционалности прилагодени кон локалните потреби (интеграција со локален именик, трансакции во МКД, социјален аспект). Ова оставија нишан за локализирано решение кое ги познава специфичностите на македонскиот пазар.</w:t>
      </w:r>
    </w:p>
    <w:bookmarkEnd w:id="34"/>
    <w:bookmarkStart w:id="35" w:name="Xb30d8cbf6ff682a62ea6f04b4d953f3db2c593f"/>
    <w:p>
      <w:pPr>
        <w:pStyle w:val="Heading3"/>
      </w:pPr>
      <w:r>
        <w:t xml:space="preserve">2.7.2 Мрежни ефекти и стратегии за постигнување на критична маса</w:t>
      </w:r>
    </w:p>
    <w:p>
      <w:pPr>
        <w:pStyle w:val="FirstParagraph"/>
      </w:pPr>
      <w:r>
        <w:t xml:space="preserve">Теоријата на мрежни ефекти — вредноста на мрежата расте пропорционално со квадратот на бројот на нејзините членови (Metcalfe’s Law) — е особено важна за P2P платежните апликации. Chishti и Barberis (2016) анализирале низа финтек компании, идентификувајќи неколку стратегии за брзо достигнување на критична маса:</w:t>
      </w:r>
    </w:p>
    <w:p>
      <w:pPr>
        <w:pStyle w:val="BodyText"/>
      </w:pPr>
      <w:r>
        <w:rPr>
          <w:b/>
          <w:bCs/>
        </w:rPr>
        <w:t xml:space="preserve">Вирален раст преку социјалните мрежи</w:t>
      </w:r>
      <w:r>
        <w:t xml:space="preserve">: Venmo го искористил Facebook граф за поврзување на корисниците, создавајќи органски вирален раст. Новите корисници виделе дека нивните пријатели веќе ја користат апликацијата, намалувајќи ги бариерите за усвојување.</w:t>
      </w:r>
    </w:p>
    <w:p>
      <w:pPr>
        <w:pStyle w:val="BodyText"/>
      </w:pPr>
      <w:r>
        <w:rPr>
          <w:b/>
          <w:bCs/>
        </w:rPr>
        <w:t xml:space="preserve">Стратегија на отпуштање на трошоци</w:t>
      </w:r>
      <w:r>
        <w:t xml:space="preserve">: Многу P2P апликации намерно нудат бесплатни трансфери (субвенционирани од investitorите) во раната фаза за да ја изградат базата на корисници. Откако ќе постигнат критична маса, монетизацијата доаѓа преку premium функционалности.</w:t>
      </w:r>
    </w:p>
    <w:p>
      <w:pPr>
        <w:pStyle w:val="BodyText"/>
      </w:pPr>
      <w:r>
        <w:rPr>
          <w:b/>
          <w:bCs/>
        </w:rPr>
        <w:t xml:space="preserve">Партнерства со образовни институции</w:t>
      </w:r>
      <w:r>
        <w:t xml:space="preserve">: Zeller и Lynch (2021) забележале дека Venmo го постигнал својот прв viral момент на универзитетски кампуси, каде студентите честопати го споделуваат трошоците за храна и кирија. Ова е применлива тактика и за македонскиот пазар.</w:t>
      </w:r>
    </w:p>
    <w:p>
      <w:r>
        <w:pict>
          <v:rect style="width:0;height:1.5pt" o:hralign="center" o:hrstd="t" o:hr="t"/>
        </w:pict>
      </w:r>
    </w:p>
    <w:bookmarkEnd w:id="35"/>
    <w:bookmarkEnd w:id="36"/>
    <w:bookmarkStart w:id="39" w:name="синтеза-импликации-за-развојот-на-pari"/>
    <w:p>
      <w:pPr>
        <w:pStyle w:val="Heading2"/>
      </w:pPr>
      <w:r>
        <w:t xml:space="preserve">2.8 Синтеза: Импликации за развојот на Pari</w:t>
      </w:r>
    </w:p>
    <w:bookmarkStart w:id="37" w:name="Xf6174fdfaa52b9af5cf8741bffa3a91c1d6bdd8"/>
    <w:p>
      <w:pPr>
        <w:pStyle w:val="Heading3"/>
      </w:pPr>
      <w:r>
        <w:t xml:space="preserve">2.8.1 Клучни поуки од прегледот на литературата</w:t>
      </w:r>
    </w:p>
    <w:p>
      <w:pPr>
        <w:pStyle w:val="FirstParagraph"/>
      </w:pPr>
      <w:r>
        <w:t xml:space="preserve">Систематскиот преглед на академската литература и индустриска практика дава неколку конзистентни поуки кои директно ја информираат архитектурата и стратегијата на P2P апликацијата за македонскиот пазар:</w:t>
      </w:r>
    </w:p>
    <w:p>
      <w:pPr>
        <w:pStyle w:val="BodyText"/>
      </w:pPr>
      <w:r>
        <w:rPr>
          <w:b/>
          <w:bCs/>
        </w:rPr>
        <w:t xml:space="preserve">Прво, технолошка архитектура</w:t>
      </w:r>
      <w:r>
        <w:t xml:space="preserve">: Prегледот на Tambi (2019) и Richardson (2018) јасно покажува дека микросервисната архитектура е технолошки оправдан избор за финтек апликации. Посебно значајна е можноста за независен развој и deploying на различни компоненти, што овозможува брза итерација.</w:t>
      </w:r>
    </w:p>
    <w:p>
      <w:pPr>
        <w:pStyle w:val="BodyText"/>
      </w:pPr>
      <w:r>
        <w:rPr>
          <w:b/>
          <w:bCs/>
        </w:rPr>
        <w:t xml:space="preserve">Второ, безбедност е фундаментален заслугата</w:t>
      </w:r>
      <w:r>
        <w:t xml:space="preserve">: Наодите на Gounari et al. (2024) и Wilson и Tam (2026) јасно покажуваат дека безбедноста мора да биде вградена уште од самиот почеток — концептот на „Security by Design”. Ниедна постфактум безбедносна надградба не може да компензира за архитектурни безбедносни слабости.</w:t>
      </w:r>
    </w:p>
    <w:p>
      <w:pPr>
        <w:pStyle w:val="BodyText"/>
      </w:pPr>
      <w:r>
        <w:rPr>
          <w:b/>
          <w:bCs/>
        </w:rPr>
        <w:t xml:space="preserve">Трето, социјалниот аспект е диференцијатор</w:t>
      </w:r>
      <w:r>
        <w:t xml:space="preserve">: Успехот на Venmo демонстрира дека социјалните функционалности не се само додатна вредност — тие се клучна компонента на стратегијата за раст и задржување на корисниците.</w:t>
      </w:r>
    </w:p>
    <w:p>
      <w:pPr>
        <w:pStyle w:val="BodyText"/>
      </w:pPr>
      <w:r>
        <w:rPr>
          <w:b/>
          <w:bCs/>
        </w:rPr>
        <w:t xml:space="preserve">Четврто, регулативна усогласеност создава доверба</w:t>
      </w:r>
      <w:r>
        <w:t xml:space="preserve">: Транспарентната PSD2 усогласеност и јасна комуникација со корисниците за безбедноста на нивните податоци се клучни за изградба на доверба — предусловот за адопција.</w:t>
      </w:r>
    </w:p>
    <w:p>
      <w:pPr>
        <w:pStyle w:val="BodyText"/>
      </w:pPr>
      <w:r>
        <w:rPr>
          <w:b/>
          <w:bCs/>
        </w:rPr>
        <w:t xml:space="preserve">Петто, локализацијата е конкурентска предност</w:t>
      </w:r>
      <w:r>
        <w:t xml:space="preserve">: Анализата на Swish, MobilePay и Revolut покажува дека длабокото разбирање на локалниот пазар — јазик, регулатива, банкарски навики, социјален контекст — е конкурентска предност која глобалните актери тешко ја репродуцираат.</w:t>
      </w:r>
    </w:p>
    <w:bookmarkEnd w:id="37"/>
    <w:bookmarkStart w:id="38" w:name="истражувачки-јазлиња-и-придонес"/>
    <w:p>
      <w:pPr>
        <w:pStyle w:val="Heading3"/>
      </w:pPr>
      <w:r>
        <w:t xml:space="preserve">2.8.2 Истражувачки јазлиња и придонес</w:t>
      </w:r>
    </w:p>
    <w:p>
      <w:pPr>
        <w:pStyle w:val="FirstParagraph"/>
      </w:pPr>
      <w:r>
        <w:t xml:space="preserve">Прегледот на литературата исто така идентификува неколку истражувачки јазлиња кои овој труд ќе ги адресира:</w:t>
      </w:r>
    </w:p>
    <w:p>
      <w:pPr>
        <w:pStyle w:val="BodyText"/>
      </w:pPr>
      <w:r>
        <w:rPr>
          <w:b/>
          <w:bCs/>
        </w:rPr>
        <w:t xml:space="preserve">Отсуство на истражување за македонскиот финтек пазар</w:t>
      </w:r>
      <w:r>
        <w:t xml:space="preserve">: Во прегледаната литература нема публикации кои се фокусираат специфично на македонскиот платежен пазар или на примената на PSD2 принципите во македонскиот контекст. Овој труд го пополнува тој јазлин.</w:t>
      </w:r>
    </w:p>
    <w:p>
      <w:pPr>
        <w:pStyle w:val="BodyText"/>
      </w:pPr>
      <w:r>
        <w:rPr>
          <w:b/>
          <w:bCs/>
        </w:rPr>
        <w:t xml:space="preserve">Ограничена литература за „leapfrog” финтек адопција во мали балкански економии</w:t>
      </w:r>
      <w:r>
        <w:t xml:space="preserve">: Постојните студии главно се фокусираат на западноевропски, американски или азиски пазари. Перспективата на мала транзициска економија во процес на ЕУ интеграција е недоволно застапена.</w:t>
      </w:r>
    </w:p>
    <w:p>
      <w:pPr>
        <w:pStyle w:val="BodyText"/>
      </w:pPr>
      <w:r>
        <w:rPr>
          <w:b/>
          <w:bCs/>
        </w:rPr>
        <w:t xml:space="preserve">Практична имплементација наспроти теориски модели</w:t>
      </w:r>
      <w:r>
        <w:t xml:space="preserve">: Голем дел од литературата за PSD2 и отворено банкарство е нормативна (опишува дали треба да биде), а не дескриптивна или евалуативна. Овој труд нуди конкретна практична имплементација со реална евалуација на предизвиците.</w:t>
      </w:r>
    </w:p>
    <w:p>
      <w:r>
        <w:pict>
          <v:rect style="width:0;height:1.5pt" o:hralign="center" o:hrstd="t" o:hr="t"/>
        </w:pict>
      </w:r>
    </w:p>
    <w:bookmarkEnd w:id="38"/>
    <w:bookmarkEnd w:id="39"/>
    <w:bookmarkStart w:id="40" w:name="заклучок-на-поглавјето"/>
    <w:p>
      <w:pPr>
        <w:pStyle w:val="Heading2"/>
      </w:pPr>
      <w:r>
        <w:t xml:space="preserve">2.9 Заклучок на поглавјето</w:t>
      </w:r>
    </w:p>
    <w:p>
      <w:pPr>
        <w:pStyle w:val="FirstParagraph"/>
      </w:pPr>
      <w:r>
        <w:t xml:space="preserve">Теоретскиот преглед на литературата во ова поглавје ги постави клучните концептуални темели за истражувањето. Прегледот покажа дека P2P плаќањата претставуваат зрел, глобално потврден концепт со јасни фактори за успех: ниски трошоци, брзина, социјален аспект и доверба. Во ист мав, регулативната рамка — особено PSD2 и нејзините импликации за отвореното банкарство — создаде историска можност за финтек иновации кои беа невозможни во регулативниот пејзаж пред 2018 година.</w:t>
      </w:r>
    </w:p>
    <w:p>
      <w:pPr>
        <w:pStyle w:val="BodyText"/>
      </w:pPr>
      <w:r>
        <w:t xml:space="preserve">Безбедносните истражувања (Gounari et al. 2024; Wilson &amp; Tam 2026) покажуваат дека безбедноста во отвореното банкарство бара мулти-димензионален пристап — технолошки, регулативен и однесувачки — и мора да биде вградена во самите темели на архитектурата, а не додадена постфактум.</w:t>
      </w:r>
    </w:p>
    <w:p>
      <w:pPr>
        <w:pStyle w:val="BodyText"/>
      </w:pPr>
      <w:r>
        <w:t xml:space="preserve">Трансформацијата на банкарските системи преку микросервисна архитектура (Tambi 2019) и API-прва архитектура дава технолошка основа за имплементација која е истовремено флексибилна, скалабилна и способна да се интегрира со постоечкиот банкарски систем.</w:t>
      </w:r>
    </w:p>
    <w:p>
      <w:pPr>
        <w:pStyle w:val="BodyText"/>
      </w:pPr>
      <w:r>
        <w:t xml:space="preserve">Конечно, анализата на македонскиот пазар идентификува јасен пазарен јаз: отсуство на локализирано P2P решение кое ги комбинира функционалностите на глобалните лидери со длабокото разбирање на локалниот контекст. Овој јаз претставува истовремено и предизвик и можност, чија адресација е централна цел на овој труд.</w:t>
      </w:r>
    </w:p>
    <w:p>
      <w:pPr>
        <w:pStyle w:val="BodyText"/>
      </w:pPr>
      <w:r>
        <w:t xml:space="preserve">Во следното поглавје ќе бидат опишани методологијата и истражувачкиот дизајн кои ги структурираат развојот и евалуацијата на предложеното решение.</w:t>
      </w:r>
    </w:p>
    <w:p>
      <w:r>
        <w:pict>
          <v:rect style="width:0;height:1.5pt" o:hralign="center" o:hrstd="t" o:hr="t"/>
        </w:pict>
      </w:r>
    </w:p>
    <w:bookmarkEnd w:id="40"/>
    <w:bookmarkStart w:id="41" w:name="референци"/>
    <w:p>
      <w:pPr>
        <w:pStyle w:val="Heading2"/>
      </w:pPr>
      <w:r>
        <w:t xml:space="preserve">Референци</w:t>
      </w:r>
    </w:p>
    <w:p>
      <w:pPr>
        <w:pStyle w:val="FirstParagraph"/>
      </w:pPr>
      <w:r>
        <w:t xml:space="preserve">Abbott, M. L., &amp; Fisher, M. T. (2016).</w:t>
      </w:r>
      <w:r>
        <w:t xml:space="preserve"> </w:t>
      </w:r>
      <w:r>
        <w:rPr>
          <w:i/>
          <w:iCs/>
        </w:rPr>
        <w:t xml:space="preserve">The art of scalability: Scalable web architecture, processes, and organizations for the modern enterprise</w:t>
      </w:r>
      <w:r>
        <w:t xml:space="preserve">. Addison-Wesley Professional.</w:t>
      </w:r>
    </w:p>
    <w:p>
      <w:pPr>
        <w:pStyle w:val="BodyText"/>
      </w:pPr>
      <w:r>
        <w:t xml:space="preserve">Chishti, S., &amp; Barberis, J. (2016).</w:t>
      </w:r>
      <w:r>
        <w:t xml:space="preserve"> </w:t>
      </w:r>
      <w:r>
        <w:rPr>
          <w:i/>
          <w:iCs/>
        </w:rPr>
        <w:t xml:space="preserve">The fintech book: The financial technology handbook for investors, entrepreneurs and visionaries</w:t>
      </w:r>
      <w:r>
        <w:t xml:space="preserve">. John Wiley &amp; Sons.</w:t>
      </w:r>
    </w:p>
    <w:p>
      <w:pPr>
        <w:pStyle w:val="BodyText"/>
      </w:pPr>
      <w:r>
        <w:t xml:space="preserve">Европска централна банка. (2019).</w:t>
      </w:r>
      <w:r>
        <w:t xml:space="preserve"> </w:t>
      </w:r>
      <w:r>
        <w:rPr>
          <w:i/>
          <w:iCs/>
        </w:rPr>
        <w:t xml:space="preserve">Payment Services Directive 2 (PSD2): Regulatory Technical Standards</w:t>
      </w:r>
      <w:r>
        <w:t xml:space="preserve">. ECB Publications.</w:t>
      </w:r>
    </w:p>
    <w:p>
      <w:pPr>
        <w:pStyle w:val="BodyText"/>
      </w:pPr>
      <w:r>
        <w:t xml:space="preserve">Gomber, P., Koch, J. A., &amp; Siering, M. (2017). Digital Finance and FinTech: current research and future research directions.</w:t>
      </w:r>
      <w:r>
        <w:t xml:space="preserve"> </w:t>
      </w:r>
      <w:r>
        <w:rPr>
          <w:i/>
          <w:iCs/>
        </w:rPr>
        <w:t xml:space="preserve">Journal of Business Economics</w:t>
      </w:r>
      <w:r>
        <w:t xml:space="preserve">, 87(5), 537–580.</w:t>
      </w:r>
    </w:p>
    <w:p>
      <w:pPr>
        <w:pStyle w:val="BodyText"/>
      </w:pPr>
      <w:r>
        <w:t xml:space="preserve">Gounari, M., Stergiopoulos, G., Pipyros, K., &amp; Gritzalis, D. (2024). Harmonizing open banking in the European Union: an analysis of PSD2 compliance and interrelation with cybersecurity frameworks and standards.</w:t>
      </w:r>
      <w:r>
        <w:t xml:space="preserve"> </w:t>
      </w:r>
      <w:r>
        <w:rPr>
          <w:i/>
          <w:iCs/>
        </w:rPr>
        <w:t xml:space="preserve">International Cybersecurity Law Review</w:t>
      </w:r>
      <w:r>
        <w:t xml:space="preserve">, 5, 79–120.</w:t>
      </w:r>
    </w:p>
    <w:p>
      <w:pPr>
        <w:pStyle w:val="BodyText"/>
      </w:pPr>
      <w:r>
        <w:t xml:space="preserve">KPMG. (2019).</w:t>
      </w:r>
      <w:r>
        <w:t xml:space="preserve"> </w:t>
      </w:r>
      <w:r>
        <w:rPr>
          <w:i/>
          <w:iCs/>
        </w:rPr>
        <w:t xml:space="preserve">The Pulse of Fintech 2019</w:t>
      </w:r>
      <w:r>
        <w:t xml:space="preserve">. KPMG International.</w:t>
      </w:r>
    </w:p>
    <w:p>
      <w:pPr>
        <w:pStyle w:val="BodyText"/>
      </w:pPr>
      <w:r>
        <w:t xml:space="preserve">Krug, S. (2014).</w:t>
      </w:r>
      <w:r>
        <w:t xml:space="preserve"> </w:t>
      </w:r>
      <w:r>
        <w:rPr>
          <w:i/>
          <w:iCs/>
        </w:rPr>
        <w:t xml:space="preserve">Don’t make me think, revisited: A common sense approach to web usability</w:t>
      </w:r>
      <w:r>
        <w:t xml:space="preserve">. New Riders.</w:t>
      </w:r>
    </w:p>
    <w:p>
      <w:pPr>
        <w:pStyle w:val="BodyText"/>
      </w:pPr>
      <w:r>
        <w:t xml:space="preserve">McKinsey &amp; Company. (2020).</w:t>
      </w:r>
      <w:r>
        <w:t xml:space="preserve"> </w:t>
      </w:r>
      <w:r>
        <w:rPr>
          <w:i/>
          <w:iCs/>
        </w:rPr>
        <w:t xml:space="preserve">The 2020 McKinsey Global Payments Report</w:t>
      </w:r>
      <w:r>
        <w:t xml:space="preserve">. McKinsey Global Institute.</w:t>
      </w:r>
    </w:p>
    <w:p>
      <w:pPr>
        <w:pStyle w:val="BodyText"/>
      </w:pPr>
      <w:r>
        <w:t xml:space="preserve">Mention, A. L. (2019). The future of fintech.</w:t>
      </w:r>
      <w:r>
        <w:t xml:space="preserve"> </w:t>
      </w:r>
      <w:r>
        <w:rPr>
          <w:i/>
          <w:iCs/>
        </w:rPr>
        <w:t xml:space="preserve">Research-Technology Management</w:t>
      </w:r>
      <w:r>
        <w:t xml:space="preserve">, 62(4), 59–63.</w:t>
      </w:r>
    </w:p>
    <w:p>
      <w:pPr>
        <w:pStyle w:val="BodyText"/>
      </w:pPr>
      <w:r>
        <w:t xml:space="preserve">Народна банка на Република Македонија. (2020).</w:t>
      </w:r>
      <w:r>
        <w:t xml:space="preserve"> </w:t>
      </w:r>
      <w:r>
        <w:rPr>
          <w:i/>
          <w:iCs/>
        </w:rPr>
        <w:t xml:space="preserve">Одлука за условите и начинот на работење на даватели на услуги за иницијација на плаќање и даватели на услуги за информации за сметки</w:t>
      </w:r>
      <w:r>
        <w:t xml:space="preserve">. НБРМ.</w:t>
      </w:r>
    </w:p>
    <w:p>
      <w:pPr>
        <w:pStyle w:val="BodyText"/>
      </w:pPr>
      <w:r>
        <w:t xml:space="preserve">Newman, S. (2021).</w:t>
      </w:r>
      <w:r>
        <w:t xml:space="preserve"> </w:t>
      </w:r>
      <w:r>
        <w:rPr>
          <w:i/>
          <w:iCs/>
        </w:rPr>
        <w:t xml:space="preserve">Building Microservices: Designing Fine-Grained Systems</w:t>
      </w:r>
      <w:r>
        <w:t xml:space="preserve">. O’Reilly Media.</w:t>
      </w:r>
    </w:p>
    <w:p>
      <w:pPr>
        <w:pStyle w:val="BodyText"/>
      </w:pPr>
      <w:r>
        <w:t xml:space="preserve">Nicoletti, B. (2017).</w:t>
      </w:r>
      <w:r>
        <w:t xml:space="preserve"> </w:t>
      </w:r>
      <w:r>
        <w:rPr>
          <w:i/>
          <w:iCs/>
        </w:rPr>
        <w:t xml:space="preserve">The future of FinTech</w:t>
      </w:r>
      <w:r>
        <w:t xml:space="preserve">. Springer.</w:t>
      </w:r>
    </w:p>
    <w:p>
      <w:pPr>
        <w:pStyle w:val="BodyText"/>
      </w:pPr>
      <w:r>
        <w:t xml:space="preserve">Norman, D. (2013).</w:t>
      </w:r>
      <w:r>
        <w:t xml:space="preserve"> </w:t>
      </w:r>
      <w:r>
        <w:rPr>
          <w:i/>
          <w:iCs/>
        </w:rPr>
        <w:t xml:space="preserve">The design of everyday things: Revised and expanded edition</w:t>
      </w:r>
      <w:r>
        <w:t xml:space="preserve">. Basic Books.</w:t>
      </w:r>
    </w:p>
    <w:p>
      <w:pPr>
        <w:pStyle w:val="BodyText"/>
      </w:pPr>
      <w:r>
        <w:t xml:space="preserve">Puschmann, T. (2017). Fintech.</w:t>
      </w:r>
      <w:r>
        <w:t xml:space="preserve"> </w:t>
      </w:r>
      <w:r>
        <w:rPr>
          <w:i/>
          <w:iCs/>
        </w:rPr>
        <w:t xml:space="preserve">Business &amp; Information Systems Engineering</w:t>
      </w:r>
      <w:r>
        <w:t xml:space="preserve">, 59(1), 69–76.</w:t>
      </w:r>
    </w:p>
    <w:p>
      <w:pPr>
        <w:pStyle w:val="BodyText"/>
      </w:pPr>
      <w:r>
        <w:t xml:space="preserve">Richardson, C. (2018).</w:t>
      </w:r>
      <w:r>
        <w:t xml:space="preserve"> </w:t>
      </w:r>
      <w:r>
        <w:rPr>
          <w:i/>
          <w:iCs/>
        </w:rPr>
        <w:t xml:space="preserve">Microservices patterns: with examples in Java</w:t>
      </w:r>
      <w:r>
        <w:t xml:space="preserve">. Manning Publications.</w:t>
      </w:r>
    </w:p>
    <w:p>
      <w:pPr>
        <w:pStyle w:val="BodyText"/>
      </w:pPr>
      <w:r>
        <w:t xml:space="preserve">Tambi, V. K. (2019). Cloud-based core banking systems using microservices architecture.</w:t>
      </w:r>
      <w:r>
        <w:t xml:space="preserve"> </w:t>
      </w:r>
      <w:r>
        <w:rPr>
          <w:i/>
          <w:iCs/>
        </w:rPr>
        <w:t xml:space="preserve">International Journal of Research in Electronics and Computer Engineering (IJRECE)</w:t>
      </w:r>
      <w:r>
        <w:t xml:space="preserve">, 7(2), 1–7.</w:t>
      </w:r>
    </w:p>
    <w:p>
      <w:pPr>
        <w:pStyle w:val="BodyText"/>
      </w:pPr>
      <w:r>
        <w:t xml:space="preserve">Wilson, C., &amp; Tam, C. (2026). Security challenges in open banking: A systematic review and conceptualisation of a tri-dimensional security framework.</w:t>
      </w:r>
      <w:r>
        <w:t xml:space="preserve"> </w:t>
      </w:r>
      <w:r>
        <w:rPr>
          <w:i/>
          <w:iCs/>
        </w:rPr>
        <w:t xml:space="preserve">Preprints.org</w:t>
      </w:r>
      <w:r>
        <w:t xml:space="preserve">. https://doi.org/10.20944/preprints202602.0867.v1</w:t>
      </w:r>
    </w:p>
    <w:p>
      <w:pPr>
        <w:pStyle w:val="BodyText"/>
      </w:pPr>
      <w:r>
        <w:t xml:space="preserve">Zavolokina, L., Dolata, M., &amp; Schwabe, G. (2016). The FinTech phenomenon: antecedents of financial innovation perceived by the popular press.</w:t>
      </w:r>
      <w:r>
        <w:t xml:space="preserve"> </w:t>
      </w:r>
      <w:r>
        <w:rPr>
          <w:i/>
          <w:iCs/>
        </w:rPr>
        <w:t xml:space="preserve">Financial Innovation</w:t>
      </w:r>
      <w:r>
        <w:t xml:space="preserve">, 2(1), 16.</w:t>
      </w:r>
    </w:p>
    <w:p>
      <w:pPr>
        <w:pStyle w:val="BodyText"/>
      </w:pPr>
      <w:r>
        <w:t xml:space="preserve">Zeller, B., &amp; Lynch, B. (2021). Challenges in open banking — What are the practical steps to be taken now?</w:t>
      </w:r>
      <w:r>
        <w:t xml:space="preserve"> </w:t>
      </w:r>
      <w:r>
        <w:rPr>
          <w:i/>
          <w:iCs/>
        </w:rPr>
        <w:t xml:space="preserve">University of Western Australia Law Review</w:t>
      </w:r>
      <w:r>
        <w:t xml:space="preserve">, 48, 579–611.</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2026-03-14T15:30:05Z</dcterms:created>
  <dcterms:modified xsi:type="dcterms:W3CDTF">2026-03-14T15:30:05Z</dcterms:modified>
</cp:coreProperties>
</file>

<file path=docProps/custom.xml><?xml version="1.0" encoding="utf-8"?>
<Properties xmlns="http://schemas.openxmlformats.org/officeDocument/2006/custom-properties" xmlns:vt="http://schemas.openxmlformats.org/officeDocument/2006/docPropsVTypes"/>
</file>