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Bracelet de Détection de Crises Épileptiques</w:t>
      </w:r>
    </w:p>
    <w:p>
      <w:pPr>
        <w:spacing w:before="120" w:after="240"/>
        <w:jc w:val="center"/>
      </w:pPr>
      <w:r>
        <w:rPr>
          <w:b/>
          <w:bCs/>
          <w:sz w:val="26"/>
          <w:szCs w:val="26"/>
        </w:rPr>
        <w:t xml:space="preserve">Système IoT avec Intelligence Artificielle Embarquée (tinyML)</w:t>
      </w:r>
    </w:p>
    <w:p>
      <w:pPr>
        <w:spacing w:before="480" w:after="120"/>
        <w:jc w:val="center"/>
      </w:pPr>
      <w:r>
        <w:rPr>
          <w:sz w:val="22"/>
          <w:szCs w:val="22"/>
        </w:rPr>
        <w:t xml:space="preserve">Projet présenté dans le cadre du cours d'IoT
</w:t>
      </w:r>
      <w:r>
        <w:rPr>
          <w:sz w:val="22"/>
          <w:szCs w:val="22"/>
        </w:rPr>
        <w:t xml:space="preserve">Double diplôme Pharmacie/Ingénieur Informatique
</w:t>
      </w:r>
      <w:r>
        <w:rPr>
          <w:b/>
          <w:bCs/>
          <w:sz w:val="22"/>
          <w:szCs w:val="22"/>
        </w:rPr>
        <w:t xml:space="preserve">ISIS Castres</w:t>
      </w:r>
    </w:p>
    <w:p>
      <w:pPr>
        <w:spacing w:before="720"/>
        <w:jc w:val="center"/>
      </w:pPr>
      <w:r>
        <w:rPr>
          <w:i/>
          <w:iCs/>
          <w:color w:val="666666"/>
          <w:sz w:val="24"/>
          <w:szCs w:val="24"/>
        </w:rPr>
        <w:t xml:space="preserve">Décembre 2025</w:t>
      </w:r>
    </w:p>
    <w:p>
      <w:pPr>
        <w:pageBreakBefore/>
      </w:pPr>
    </w:p>
    <w:p>
      <w:pPr>
        <w:pStyle w:val="Heading1"/>
      </w:pPr>
      <w:r>
        <w:t xml:space="preserve">Résumé Exécutif</w:t>
      </w:r>
    </w:p>
    <w:p>
      <w:pPr>
        <w:spacing w:after="240"/>
      </w:pPr>
      <w:r>
        <w:t xml:space="preserve">Ce projet développe un dispositif médical innovant : un bracelet connecté capable de détecter les crises épileptiques en temps réel grâce à l'intelligence artificielle embarquée. Le système combine des capteurs EEG et EMG de surface avec un modèle de machine learning optimisé pour fonctionner sur microcontrôleur (tinyML).</w:t>
      </w:r>
    </w:p>
    <w:p>
      <w:pPr>
        <w:pStyle w:val="Heading2"/>
      </w:pPr>
      <w:r>
        <w:t xml:space="preserve">Objectifs du Projet</w:t>
      </w:r>
    </w:p>
    <w:p>
      <w:pPr>
        <w:pStyle w:val="ListParagraph"/>
        <w:numPr>
          <w:ilvl w:val="0"/>
          <w:numId w:val="2"/>
        </w:numPr>
      </w:pPr>
      <w:r>
        <w:t xml:space="preserve">Détecter les crises épileptiques avec une précision &gt;95%</w:t>
      </w:r>
    </w:p>
    <w:p>
      <w:pPr>
        <w:pStyle w:val="ListParagraph"/>
        <w:numPr>
          <w:ilvl w:val="0"/>
          <w:numId w:val="2"/>
        </w:numPr>
      </w:pPr>
      <w:r>
        <w:t xml:space="preserve">Fournir une alerte précoce (5-30 secondes avant la crise)</w:t>
      </w:r>
    </w:p>
    <w:p>
      <w:pPr>
        <w:pStyle w:val="ListParagraph"/>
        <w:numPr>
          <w:ilvl w:val="0"/>
          <w:numId w:val="2"/>
        </w:numPr>
      </w:pPr>
      <w:r>
        <w:t xml:space="preserve">Adapter le modèle automatiquement au patient</w:t>
      </w:r>
    </w:p>
    <w:p>
      <w:pPr>
        <w:pStyle w:val="ListParagraph"/>
        <w:numPr>
          <w:ilvl w:val="0"/>
          <w:numId w:val="2"/>
        </w:numPr>
      </w:pPr>
      <w:r>
        <w:t xml:space="preserve">Garantir une autonomie suffisante (&gt;24h)</w:t>
      </w:r>
    </w:p>
    <w:p>
      <w:pPr>
        <w:pStyle w:val="ListParagraph"/>
        <w:numPr>
          <w:ilvl w:val="0"/>
          <w:numId w:val="2"/>
        </w:numPr>
      </w:pPr>
      <w:r>
        <w:t xml:space="preserve">Assurer la protection des données de santé</w:t>
      </w:r>
    </w:p>
    <w:p>
      <w:pPr>
        <w:pStyle w:val="Heading2"/>
      </w:pPr>
      <w:r>
        <w:t xml:space="preserve">Résultats Obtenus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4"/>
                <w:szCs w:val="24"/>
              </w:rPr>
              <w:t xml:space="preserve">Métrique</w:t>
            </w:r>
          </w:p>
        </w:tc>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4"/>
                <w:szCs w:val="24"/>
              </w:rPr>
              <w:t xml:space="preserve">Valeur</w:t>
            </w:r>
          </w:p>
        </w:tc>
      </w:tr>
      <w:tr>
        <w:tc>
          <w:tcPr>
            <w:tcW w:type="dxa" w:w="4680"/>
            <w:tcBorders>
              <w:top w:val="single" w:color="CCCCCC" w:sz="1"/>
              <w:left w:val="single" w:color="CCCCCC" w:sz="1"/>
              <w:bottom w:val="single" w:color="CCCCCC" w:sz="1"/>
              <w:right w:val="single" w:color="CCCCCC" w:sz="1"/>
            </w:tcBorders>
          </w:tcPr>
          <w:p>
            <w:r>
              <w:t xml:space="preserve">Accuracy du modèle</w:t>
            </w:r>
          </w:p>
        </w:tc>
        <w:tc>
          <w:tcPr>
            <w:tcW w:type="dxa" w:w="4680"/>
            <w:tcBorders>
              <w:top w:val="single" w:color="CCCCCC" w:sz="1"/>
              <w:left w:val="single" w:color="CCCCCC" w:sz="1"/>
              <w:bottom w:val="single" w:color="CCCCCC" w:sz="1"/>
              <w:right w:val="single" w:color="CCCCCC" w:sz="1"/>
            </w:tcBorders>
          </w:tcPr>
          <w:p>
            <w:pPr>
              <w:jc w:val="center"/>
            </w:pPr>
            <w:r>
              <w:rPr>
                <w:b/>
                <w:bCs/>
                <w:color w:val="008000"/>
              </w:rPr>
              <w:t xml:space="preserve">99.46%</w:t>
            </w:r>
          </w:p>
        </w:tc>
      </w:tr>
      <w:tr>
        <w:tc>
          <w:tcPr>
            <w:tcW w:type="dxa" w:w="4680"/>
            <w:tcBorders>
              <w:top w:val="single" w:color="CCCCCC" w:sz="1"/>
              <w:left w:val="single" w:color="CCCCCC" w:sz="1"/>
              <w:bottom w:val="single" w:color="CCCCCC" w:sz="1"/>
              <w:right w:val="single" w:color="CCCCCC" w:sz="1"/>
            </w:tcBorders>
          </w:tcPr>
          <w:p>
            <w:r>
              <w:t xml:space="preserve">Taille du modèle optimisé</w:t>
            </w:r>
          </w:p>
        </w:tc>
        <w:tc>
          <w:tcPr>
            <w:tcW w:type="dxa" w:w="4680"/>
            <w:tcBorders>
              <w:top w:val="single" w:color="CCCCCC" w:sz="1"/>
              <w:left w:val="single" w:color="CCCCCC" w:sz="1"/>
              <w:bottom w:val="single" w:color="CCCCCC" w:sz="1"/>
              <w:right w:val="single" w:color="CCCCCC" w:sz="1"/>
            </w:tcBorders>
          </w:tcPr>
          <w:p>
            <w:pPr>
              <w:jc w:val="center"/>
            </w:pPr>
            <w:r>
              <w:rPr>
                <w:b/>
                <w:bCs/>
                <w:color w:val="008000"/>
              </w:rPr>
              <w:t xml:space="preserve">20.46 KB</w:t>
            </w:r>
          </w:p>
        </w:tc>
      </w:tr>
      <w:tr>
        <w:tc>
          <w:tcPr>
            <w:tcW w:type="dxa" w:w="4680"/>
            <w:tcBorders>
              <w:top w:val="single" w:color="CCCCCC" w:sz="1"/>
              <w:left w:val="single" w:color="CCCCCC" w:sz="1"/>
              <w:bottom w:val="single" w:color="CCCCCC" w:sz="1"/>
              <w:right w:val="single" w:color="CCCCCC" w:sz="1"/>
            </w:tcBorders>
          </w:tcPr>
          <w:p>
            <w:r>
              <w:t xml:space="preserve">Réduction de taille</w:t>
            </w:r>
          </w:p>
        </w:tc>
        <w:tc>
          <w:tcPr>
            <w:tcW w:type="dxa" w:w="4680"/>
            <w:tcBorders>
              <w:top w:val="single" w:color="CCCCCC" w:sz="1"/>
              <w:left w:val="single" w:color="CCCCCC" w:sz="1"/>
              <w:bottom w:val="single" w:color="CCCCCC" w:sz="1"/>
              <w:right w:val="single" w:color="CCCCCC" w:sz="1"/>
            </w:tcBorders>
          </w:tcPr>
          <w:p>
            <w:pPr>
              <w:jc w:val="center"/>
            </w:pPr>
            <w:r>
              <w:rPr>
                <w:b/>
                <w:bCs/>
                <w:color w:val="008000"/>
              </w:rPr>
              <w:t xml:space="preserve">66.7%</w:t>
            </w:r>
          </w:p>
        </w:tc>
      </w:tr>
      <w:tr>
        <w:tc>
          <w:tcPr>
            <w:tcW w:type="dxa" w:w="4680"/>
            <w:tcBorders>
              <w:top w:val="single" w:color="CCCCCC" w:sz="1"/>
              <w:left w:val="single" w:color="CCCCCC" w:sz="1"/>
              <w:bottom w:val="single" w:color="CCCCCC" w:sz="1"/>
              <w:right w:val="single" w:color="CCCCCC" w:sz="1"/>
            </w:tcBorders>
          </w:tcPr>
          <w:p>
            <w:r>
              <w:t xml:space="preserve">Dataset utilisé</w:t>
            </w:r>
          </w:p>
        </w:tc>
        <w:tc>
          <w:tcPr>
            <w:tcW w:type="dxa" w:w="4680"/>
            <w:tcBorders>
              <w:top w:val="single" w:color="CCCCCC" w:sz="1"/>
              <w:left w:val="single" w:color="CCCCCC" w:sz="1"/>
              <w:bottom w:val="single" w:color="CCCCCC" w:sz="1"/>
              <w:right w:val="single" w:color="CCCCCC" w:sz="1"/>
            </w:tcBorders>
          </w:tcPr>
          <w:p>
            <w:pPr>
              <w:jc w:val="center"/>
            </w:pPr>
            <w:r>
              <w:t xml:space="preserve">4600 échantillons</w:t>
            </w:r>
          </w:p>
        </w:tc>
      </w:tr>
    </w:tbl>
    <w:p>
      <w:pPr>
        <w:pageBreakBefore/>
      </w:pPr>
    </w:p>
    <w:p>
      <w:pPr>
        <w:pStyle w:val="Heading1"/>
      </w:pPr>
      <w:r>
        <w:t xml:space="preserve">1. Contexte Médical et Enjeux</w:t>
      </w:r>
    </w:p>
    <w:p>
      <w:pPr>
        <w:pStyle w:val="Heading2"/>
      </w:pPr>
      <w:r>
        <w:t xml:space="preserve">1.1 L'Épilepsie : Un Problème de Santé Publique</w:t>
      </w:r>
    </w:p>
    <w:p>
      <w:pPr>
        <w:spacing w:after="240"/>
      </w:pPr>
      <w:r>
        <w:t xml:space="preserve">L'épilepsie est l'une des maladies neurologiques chroniques les plus répandues, affectant environ 50 millions de personnes dans le monde selon l'OMS. Elle se caractérise par des crises récurrentes dues à des décharges électriques anormales dans le cerveau.</w:t>
      </w:r>
    </w:p>
    <w:p>
      <w:pPr>
        <w:pStyle w:val="Heading3"/>
      </w:pPr>
      <w:r>
        <w:t xml:space="preserve">Statistiques Clés</w:t>
      </w:r>
    </w:p>
    <w:p>
      <w:pPr>
        <w:pStyle w:val="ListParagraph"/>
        <w:numPr>
          <w:ilvl w:val="0"/>
          <w:numId w:val="2"/>
        </w:numPr>
      </w:pPr>
      <w:r>
        <w:t xml:space="preserve">1 personne sur 100 développera une épilepsie au cours de sa vie</w:t>
      </w:r>
    </w:p>
    <w:p>
      <w:pPr>
        <w:pStyle w:val="ListParagraph"/>
        <w:numPr>
          <w:ilvl w:val="0"/>
          <w:numId w:val="2"/>
        </w:numPr>
      </w:pPr>
      <w:r>
        <w:t xml:space="preserve">30% des patients ne répondent pas aux traitements médicamenteux</w:t>
      </w:r>
    </w:p>
    <w:p>
      <w:pPr>
        <w:pStyle w:val="ListParagraph"/>
        <w:numPr>
          <w:ilvl w:val="0"/>
          <w:numId w:val="2"/>
        </w:numPr>
      </w:pPr>
      <w:r>
        <w:t xml:space="preserve">Risque de mort subite inexpliquée (SUDEP) : 1.2 pour 1000 patients/an</w:t>
      </w:r>
    </w:p>
    <w:p>
      <w:pPr>
        <w:pStyle w:val="ListParagraph"/>
        <w:numPr>
          <w:ilvl w:val="0"/>
          <w:numId w:val="2"/>
        </w:numPr>
      </w:pPr>
      <w:r>
        <w:t xml:space="preserve">Coût économique : 13.8 milliards d'euros/an en Europe</w:t>
      </w:r>
    </w:p>
    <w:p>
      <w:pPr>
        <w:pStyle w:val="Heading2"/>
      </w:pPr>
      <w:r>
        <w:t xml:space="preserve">1.2 Besoin d'une Solution de Détection</w:t>
      </w:r>
    </w:p>
    <w:p>
      <w:pPr>
        <w:spacing w:after="240"/>
      </w:pPr>
      <w:r>
        <w:t xml:space="preserve">La détection précoce des crises épileptiques présente plusieurs avantages majeurs :</w:t>
      </w:r>
    </w:p>
    <w:p>
      <w:pPr>
        <w:pStyle w:val="ListParagraph"/>
        <w:numPr>
          <w:ilvl w:val="0"/>
          <w:numId w:val="2"/>
        </w:numPr>
      </w:pPr>
      <w:r>
        <w:t xml:space="preserve">Prévention des blessures (chutes, accidents)</w:t>
      </w:r>
    </w:p>
    <w:p>
      <w:pPr>
        <w:pStyle w:val="ListParagraph"/>
        <w:numPr>
          <w:ilvl w:val="0"/>
          <w:numId w:val="2"/>
        </w:numPr>
      </w:pPr>
      <w:r>
        <w:t xml:space="preserve">Amélioration de la qualité de vie et de l'autonomie</w:t>
      </w:r>
    </w:p>
    <w:p>
      <w:pPr>
        <w:pStyle w:val="ListParagraph"/>
        <w:numPr>
          <w:ilvl w:val="0"/>
          <w:numId w:val="2"/>
        </w:numPr>
      </w:pPr>
      <w:r>
        <w:t xml:space="preserve">Réduction de l'anxiété du patient et de son entourage</w:t>
      </w:r>
    </w:p>
    <w:p>
      <w:pPr>
        <w:pStyle w:val="ListParagraph"/>
        <w:numPr>
          <w:ilvl w:val="0"/>
          <w:numId w:val="2"/>
        </w:numPr>
      </w:pPr>
      <w:r>
        <w:t xml:space="preserve">Meilleur suivi médical et ajustement des traitements</w:t>
      </w:r>
    </w:p>
    <w:p>
      <w:pPr>
        <w:pStyle w:val="ListParagraph"/>
        <w:numPr>
          <w:ilvl w:val="0"/>
          <w:numId w:val="2"/>
        </w:numPr>
      </w:pPr>
      <w:r>
        <w:t xml:space="preserve">Possibilité d'intervention rapide en cas de crise</w:t>
      </w:r>
    </w:p>
    <w:p>
      <w:pPr>
        <w:pageBreakBefore/>
      </w:pPr>
    </w:p>
    <w:p>
      <w:pPr>
        <w:pStyle w:val="Heading1"/>
      </w:pPr>
      <w:r>
        <w:t xml:space="preserve">2. Architecture Technique du Système</w:t>
      </w:r>
    </w:p>
    <w:p>
      <w:pPr>
        <w:pStyle w:val="Heading2"/>
      </w:pPr>
      <w:r>
        <w:t xml:space="preserve">2.1 Composants Matériels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Composant</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Spécifications</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Fonction</w:t>
            </w:r>
          </w:p>
        </w:tc>
      </w:tr>
      <w:tr>
        <w:tc>
          <w:tcPr>
            <w:tcW w:type="dxa" w:w="3120"/>
            <w:tcBorders>
              <w:top w:val="single" w:color="CCCCCC" w:sz="1"/>
              <w:left w:val="single" w:color="CCCCCC" w:sz="1"/>
              <w:bottom w:val="single" w:color="CCCCCC" w:sz="1"/>
              <w:right w:val="single" w:color="CCCCCC" w:sz="1"/>
            </w:tcBorders>
          </w:tcPr>
          <w:p>
            <w:r>
              <w:rPr>
                <w:b/>
                <w:bCs/>
              </w:rPr>
              <w:t xml:space="preserve">Microcontrôleur</w:t>
            </w:r>
          </w:p>
        </w:tc>
        <w:tc>
          <w:tcPr>
            <w:tcW w:type="dxa" w:w="3120"/>
            <w:tcBorders>
              <w:top w:val="single" w:color="CCCCCC" w:sz="1"/>
              <w:left w:val="single" w:color="CCCCCC" w:sz="1"/>
              <w:bottom w:val="single" w:color="CCCCCC" w:sz="1"/>
              <w:right w:val="single" w:color="CCCCCC" w:sz="1"/>
            </w:tcBorders>
          </w:tcPr>
          <w:p>
            <w:r>
              <w:t xml:space="preserve">ESP32 ou Arduino Nano 33 BLE Sense</w:t>
            </w:r>
          </w:p>
        </w:tc>
        <w:tc>
          <w:tcPr>
            <w:tcW w:type="dxa" w:w="3120"/>
            <w:tcBorders>
              <w:top w:val="single" w:color="CCCCCC" w:sz="1"/>
              <w:left w:val="single" w:color="CCCCCC" w:sz="1"/>
              <w:bottom w:val="single" w:color="CCCCCC" w:sz="1"/>
              <w:right w:val="single" w:color="CCCCCC" w:sz="1"/>
            </w:tcBorders>
          </w:tcPr>
          <w:p>
            <w:r>
              <w:t xml:space="preserve">Traitement des données et inférence IA</w:t>
            </w:r>
          </w:p>
        </w:tc>
      </w:tr>
      <w:tr>
        <w:tc>
          <w:tcPr>
            <w:tcW w:type="dxa" w:w="3120"/>
            <w:tcBorders>
              <w:top w:val="single" w:color="CCCCCC" w:sz="1"/>
              <w:left w:val="single" w:color="CCCCCC" w:sz="1"/>
              <w:bottom w:val="single" w:color="CCCCCC" w:sz="1"/>
              <w:right w:val="single" w:color="CCCCCC" w:sz="1"/>
            </w:tcBorders>
          </w:tcPr>
          <w:p>
            <w:r>
              <w:rPr>
                <w:b/>
                <w:bCs/>
              </w:rPr>
              <w:t xml:space="preserve">Capteur EEG</w:t>
            </w:r>
          </w:p>
        </w:tc>
        <w:tc>
          <w:tcPr>
            <w:tcW w:type="dxa" w:w="3120"/>
            <w:tcBorders>
              <w:top w:val="single" w:color="CCCCCC" w:sz="1"/>
              <w:left w:val="single" w:color="CCCCCC" w:sz="1"/>
              <w:bottom w:val="single" w:color="CCCCCC" w:sz="1"/>
              <w:right w:val="single" w:color="CCCCCC" w:sz="1"/>
            </w:tcBorders>
          </w:tcPr>
          <w:p>
            <w:r>
              <w:t xml:space="preserve">178 Hz, ADC 12-16 bits</w:t>
            </w:r>
          </w:p>
        </w:tc>
        <w:tc>
          <w:tcPr>
            <w:tcW w:type="dxa" w:w="3120"/>
            <w:tcBorders>
              <w:top w:val="single" w:color="CCCCCC" w:sz="1"/>
              <w:left w:val="single" w:color="CCCCCC" w:sz="1"/>
              <w:bottom w:val="single" w:color="CCCCCC" w:sz="1"/>
              <w:right w:val="single" w:color="CCCCCC" w:sz="1"/>
            </w:tcBorders>
          </w:tcPr>
          <w:p>
            <w:r>
              <w:t xml:space="preserve">Mesure activité électrique cérébrale</w:t>
            </w:r>
          </w:p>
        </w:tc>
      </w:tr>
      <w:tr>
        <w:tc>
          <w:tcPr>
            <w:tcW w:type="dxa" w:w="3120"/>
            <w:tcBorders>
              <w:top w:val="single" w:color="CCCCCC" w:sz="1"/>
              <w:left w:val="single" w:color="CCCCCC" w:sz="1"/>
              <w:bottom w:val="single" w:color="CCCCCC" w:sz="1"/>
              <w:right w:val="single" w:color="CCCCCC" w:sz="1"/>
            </w:tcBorders>
          </w:tcPr>
          <w:p>
            <w:r>
              <w:rPr>
                <w:b/>
                <w:bCs/>
              </w:rPr>
              <w:t xml:space="preserve">Capteur EMG</w:t>
            </w:r>
          </w:p>
        </w:tc>
        <w:tc>
          <w:tcPr>
            <w:tcW w:type="dxa" w:w="3120"/>
            <w:tcBorders>
              <w:top w:val="single" w:color="CCCCCC" w:sz="1"/>
              <w:left w:val="single" w:color="CCCCCC" w:sz="1"/>
              <w:bottom w:val="single" w:color="CCCCCC" w:sz="1"/>
              <w:right w:val="single" w:color="CCCCCC" w:sz="1"/>
            </w:tcBorders>
          </w:tcPr>
          <w:p>
            <w:r>
              <w:t xml:space="preserve">Signal de surface</w:t>
            </w:r>
          </w:p>
        </w:tc>
        <w:tc>
          <w:tcPr>
            <w:tcW w:type="dxa" w:w="3120"/>
            <w:tcBorders>
              <w:top w:val="single" w:color="CCCCCC" w:sz="1"/>
              <w:left w:val="single" w:color="CCCCCC" w:sz="1"/>
              <w:bottom w:val="single" w:color="CCCCCC" w:sz="1"/>
              <w:right w:val="single" w:color="CCCCCC" w:sz="1"/>
            </w:tcBorders>
          </w:tcPr>
          <w:p>
            <w:r>
              <w:t xml:space="preserve">Détection contractions musculaires</w:t>
            </w:r>
          </w:p>
        </w:tc>
      </w:tr>
      <w:tr>
        <w:tc>
          <w:tcPr>
            <w:tcW w:type="dxa" w:w="3120"/>
            <w:tcBorders>
              <w:top w:val="single" w:color="CCCCCC" w:sz="1"/>
              <w:left w:val="single" w:color="CCCCCC" w:sz="1"/>
              <w:bottom w:val="single" w:color="CCCCCC" w:sz="1"/>
              <w:right w:val="single" w:color="CCCCCC" w:sz="1"/>
            </w:tcBorders>
          </w:tcPr>
          <w:p>
            <w:r>
              <w:rPr>
                <w:b/>
                <w:bCs/>
              </w:rPr>
              <w:t xml:space="preserve">Module Bluetooth</w:t>
            </w:r>
          </w:p>
        </w:tc>
        <w:tc>
          <w:tcPr>
            <w:tcW w:type="dxa" w:w="3120"/>
            <w:tcBorders>
              <w:top w:val="single" w:color="CCCCCC" w:sz="1"/>
              <w:left w:val="single" w:color="CCCCCC" w:sz="1"/>
              <w:bottom w:val="single" w:color="CCCCCC" w:sz="1"/>
              <w:right w:val="single" w:color="CCCCCC" w:sz="1"/>
            </w:tcBorders>
          </w:tcPr>
          <w:p>
            <w:r>
              <w:t xml:space="preserve">BLE 5.0</w:t>
            </w:r>
          </w:p>
        </w:tc>
        <w:tc>
          <w:tcPr>
            <w:tcW w:type="dxa" w:w="3120"/>
            <w:tcBorders>
              <w:top w:val="single" w:color="CCCCCC" w:sz="1"/>
              <w:left w:val="single" w:color="CCCCCC" w:sz="1"/>
              <w:bottom w:val="single" w:color="CCCCCC" w:sz="1"/>
              <w:right w:val="single" w:color="CCCCCC" w:sz="1"/>
            </w:tcBorders>
          </w:tcPr>
          <w:p>
            <w:r>
              <w:t xml:space="preserve">Communication avec smartphone</w:t>
            </w:r>
          </w:p>
        </w:tc>
      </w:tr>
      <w:tr>
        <w:tc>
          <w:tcPr>
            <w:tcW w:type="dxa" w:w="3120"/>
            <w:tcBorders>
              <w:top w:val="single" w:color="CCCCCC" w:sz="1"/>
              <w:left w:val="single" w:color="CCCCCC" w:sz="1"/>
              <w:bottom w:val="single" w:color="CCCCCC" w:sz="1"/>
              <w:right w:val="single" w:color="CCCCCC" w:sz="1"/>
            </w:tcBorders>
          </w:tcPr>
          <w:p>
            <w:r>
              <w:rPr>
                <w:b/>
                <w:bCs/>
              </w:rPr>
              <w:t xml:space="preserve">Système d'alerte</w:t>
            </w:r>
          </w:p>
        </w:tc>
        <w:tc>
          <w:tcPr>
            <w:tcW w:type="dxa" w:w="3120"/>
            <w:tcBorders>
              <w:top w:val="single" w:color="CCCCCC" w:sz="1"/>
              <w:left w:val="single" w:color="CCCCCC" w:sz="1"/>
              <w:bottom w:val="single" w:color="CCCCCC" w:sz="1"/>
              <w:right w:val="single" w:color="CCCCCC" w:sz="1"/>
            </w:tcBorders>
          </w:tcPr>
          <w:p>
            <w:r>
              <w:t xml:space="preserve">Vibreur + LED + Buzzer</w:t>
            </w:r>
          </w:p>
        </w:tc>
        <w:tc>
          <w:tcPr>
            <w:tcW w:type="dxa" w:w="3120"/>
            <w:tcBorders>
              <w:top w:val="single" w:color="CCCCCC" w:sz="1"/>
              <w:left w:val="single" w:color="CCCCCC" w:sz="1"/>
              <w:bottom w:val="single" w:color="CCCCCC" w:sz="1"/>
              <w:right w:val="single" w:color="CCCCCC" w:sz="1"/>
            </w:tcBorders>
          </w:tcPr>
          <w:p>
            <w:r>
              <w:t xml:space="preserve">Notification utilisateur et entourage</w:t>
            </w:r>
          </w:p>
        </w:tc>
      </w:tr>
      <w:tr>
        <w:tc>
          <w:tcPr>
            <w:tcW w:type="dxa" w:w="3120"/>
            <w:tcBorders>
              <w:top w:val="single" w:color="CCCCCC" w:sz="1"/>
              <w:left w:val="single" w:color="CCCCCC" w:sz="1"/>
              <w:bottom w:val="single" w:color="CCCCCC" w:sz="1"/>
              <w:right w:val="single" w:color="CCCCCC" w:sz="1"/>
            </w:tcBorders>
          </w:tcPr>
          <w:p>
            <w:r>
              <w:rPr>
                <w:b/>
                <w:bCs/>
              </w:rPr>
              <w:t xml:space="preserve">Batterie</w:t>
            </w:r>
          </w:p>
        </w:tc>
        <w:tc>
          <w:tcPr>
            <w:tcW w:type="dxa" w:w="3120"/>
            <w:tcBorders>
              <w:top w:val="single" w:color="CCCCCC" w:sz="1"/>
              <w:left w:val="single" w:color="CCCCCC" w:sz="1"/>
              <w:bottom w:val="single" w:color="CCCCCC" w:sz="1"/>
              <w:right w:val="single" w:color="CCCCCC" w:sz="1"/>
            </w:tcBorders>
          </w:tcPr>
          <w:p>
            <w:r>
              <w:t xml:space="preserve">LiPo 500-1000 mAh</w:t>
            </w:r>
          </w:p>
        </w:tc>
        <w:tc>
          <w:tcPr>
            <w:tcW w:type="dxa" w:w="3120"/>
            <w:tcBorders>
              <w:top w:val="single" w:color="CCCCCC" w:sz="1"/>
              <w:left w:val="single" w:color="CCCCCC" w:sz="1"/>
              <w:bottom w:val="single" w:color="CCCCCC" w:sz="1"/>
              <w:right w:val="single" w:color="CCCCCC" w:sz="1"/>
            </w:tcBorders>
          </w:tcPr>
          <w:p>
            <w:r>
              <w:t xml:space="preserve">Autonomie 24-48h</w:t>
            </w:r>
          </w:p>
        </w:tc>
      </w:tr>
    </w:tbl>
    <w:p>
      <w:pPr>
        <w:pStyle w:val="Heading2"/>
      </w:pPr>
      <w:r>
        <w:t xml:space="preserve">2.2 Pipeline de Traitement des Données</w:t>
      </w:r>
    </w:p>
    <w:p>
      <w:pPr>
        <w:pStyle w:val="ListParagraph"/>
        <w:numPr>
          <w:ilvl w:val="0"/>
          <w:numId w:val="3"/>
        </w:numPr>
      </w:pPr>
      <w:r>
        <w:rPr>
          <w:b/>
          <w:bCs/>
        </w:rPr>
        <w:t xml:space="preserve">Acquisition des signaux EEG/EMG (178 Hz)</w:t>
      </w:r>
    </w:p>
    <w:p>
      <w:pPr>
        <w:spacing w:after="120" left="720"/>
      </w:pPr>
      <w:r>
        <w:t xml:space="preserve">Échantillonnage continu des signaux biomédicaux avec fenêtre glissante de 1 seconde.</w:t>
      </w:r>
    </w:p>
    <w:p>
      <w:pPr>
        <w:pStyle w:val="ListParagraph"/>
        <w:numPr>
          <w:ilvl w:val="0"/>
          <w:numId w:val="3"/>
        </w:numPr>
      </w:pPr>
      <w:r>
        <w:rPr>
          <w:b/>
          <w:bCs/>
        </w:rPr>
        <w:t xml:space="preserve">Prétraitement du signal</w:t>
      </w:r>
    </w:p>
    <w:p>
      <w:pPr>
        <w:spacing w:after="120" left="720"/>
      </w:pPr>
      <w:r>
        <w:t xml:space="preserve">Filtrage passe-bande (0.5-40 Hz) et suppression des artefacts.</w:t>
      </w:r>
    </w:p>
    <w:p>
      <w:pPr>
        <w:pStyle w:val="ListParagraph"/>
        <w:numPr>
          <w:ilvl w:val="0"/>
          <w:numId w:val="3"/>
        </w:numPr>
      </w:pPr>
      <w:r>
        <w:rPr>
          <w:b/>
          <w:bCs/>
        </w:rPr>
        <w:t xml:space="preserve">Extraction de features</w:t>
      </w:r>
    </w:p>
    <w:p>
      <w:pPr>
        <w:spacing w:after="120" left="720"/>
      </w:pPr>
      <w:r>
        <w:t xml:space="preserve">Calcul de 16 features temporelles et fréquentielles clés (énergie, variance, RMS, etc.).</w:t>
      </w:r>
    </w:p>
    <w:p>
      <w:pPr>
        <w:pStyle w:val="ListParagraph"/>
        <w:numPr>
          <w:ilvl w:val="0"/>
          <w:numId w:val="3"/>
        </w:numPr>
      </w:pPr>
      <w:r>
        <w:rPr>
          <w:b/>
          <w:bCs/>
        </w:rPr>
        <w:t xml:space="preserve">Normalisation</w:t>
      </w:r>
    </w:p>
    <w:p>
      <w:pPr>
        <w:spacing w:after="120" left="720"/>
      </w:pPr>
      <w:r>
        <w:t xml:space="preserve">Standardisation Z-score avec les paramètres du scaler entraîné.</w:t>
      </w:r>
    </w:p>
    <w:p>
      <w:pPr>
        <w:pStyle w:val="ListParagraph"/>
        <w:numPr>
          <w:ilvl w:val="0"/>
          <w:numId w:val="3"/>
        </w:numPr>
      </w:pPr>
      <w:r>
        <w:rPr>
          <w:b/>
          <w:bCs/>
        </w:rPr>
        <w:t xml:space="preserve">Inférence du modèle tinyML</w:t>
      </w:r>
    </w:p>
    <w:p>
      <w:pPr>
        <w:spacing w:after="120" left="720"/>
      </w:pPr>
      <w:r>
        <w:t xml:space="preserve">Réseau de neurones quantifié INT8 (64-32-16-1 neurones).</w:t>
      </w:r>
    </w:p>
    <w:p>
      <w:pPr>
        <w:pStyle w:val="ListParagraph"/>
        <w:numPr>
          <w:ilvl w:val="0"/>
          <w:numId w:val="3"/>
        </w:numPr>
      </w:pPr>
      <w:r>
        <w:rPr>
          <w:b/>
          <w:bCs/>
        </w:rPr>
        <w:t xml:space="preserve">Décision et alerte</w:t>
      </w:r>
    </w:p>
    <w:p>
      <w:pPr>
        <w:spacing w:after="240" left="720"/>
      </w:pPr>
      <w:r>
        <w:t xml:space="preserve">Si probabilité &gt; 70%, déclenchement de l'alerte multimodale.</w:t>
      </w:r>
    </w:p>
    <w:p>
      <w:pPr>
        <w:pageBreakBefore/>
      </w:pPr>
    </w:p>
    <w:p>
      <w:pPr>
        <w:pStyle w:val="Heading1"/>
      </w:pPr>
      <w:r>
        <w:t xml:space="preserve">3. Modèle d'Intelligence Artificielle</w:t>
      </w:r>
    </w:p>
    <w:p>
      <w:pPr>
        <w:pStyle w:val="Heading2"/>
      </w:pPr>
      <w:r>
        <w:t xml:space="preserve">3.1 Dataset et Préparation des Données</w:t>
      </w:r>
    </w:p>
    <w:p>
      <w:pPr>
        <w:spacing w:after="120"/>
      </w:pPr>
      <w:r>
        <w:t xml:space="preserve">Le modèle a été entraîné sur le dataset 'Epileptic Seizure Recognition' contenant 11 500 enregistrements EEG de 1 seconde chacun.</w:t>
      </w:r>
    </w:p>
    <w:p>
      <w:pPr>
        <w:pStyle w:val="Heading3"/>
      </w:pPr>
      <w:r>
        <w:t xml:space="preserve">Composition du Dataset</w:t>
      </w:r>
    </w:p>
    <w:p>
      <w:pPr>
        <w:pStyle w:val="ListParagraph"/>
        <w:numPr>
          <w:ilvl w:val="0"/>
          <w:numId w:val="2"/>
        </w:numPr>
      </w:pPr>
      <w:r>
        <w:t xml:space="preserve">Label 1 : Activité ictale (crise) - 2300 échantillons</w:t>
      </w:r>
    </w:p>
    <w:p>
      <w:pPr>
        <w:pStyle w:val="ListParagraph"/>
        <w:numPr>
          <w:ilvl w:val="0"/>
          <w:numId w:val="2"/>
        </w:numPr>
      </w:pPr>
      <w:r>
        <w:t xml:space="preserve">Label 5 : EEG yeux ouverts (normal) - 2300 échantillons</w:t>
      </w:r>
    </w:p>
    <w:p>
      <w:pPr>
        <w:pStyle w:val="ListParagraph"/>
        <w:numPr>
          <w:ilvl w:val="0"/>
          <w:numId w:val="2"/>
        </w:numPr>
      </w:pPr>
      <w:r>
        <w:t xml:space="preserve">Total utilisé : 4600 échantillons parfaitement équilibrés</w:t>
      </w:r>
    </w:p>
    <w:p>
      <w:pPr>
        <w:pStyle w:val="ListParagraph"/>
        <w:numPr>
          <w:ilvl w:val="0"/>
          <w:numId w:val="2"/>
        </w:numPr>
      </w:pPr>
      <w:r>
        <w:t xml:space="preserve">178 points de mesure par seconde (178 Hz)</w:t>
      </w:r>
    </w:p>
    <w:p>
      <w:pPr>
        <w:pStyle w:val="Heading3"/>
      </w:pPr>
      <w:r>
        <w:t xml:space="preserve">Features Extraites</w:t>
      </w:r>
    </w:p>
    <w:p>
      <w:pPr>
        <w:spacing w:after="120"/>
      </w:pPr>
      <w:r>
        <w:t xml:space="preserve">16 features calculées en temps réel pour chaque fenêtre de 1 seconde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Catégorie</w:t>
            </w:r>
          </w:p>
        </w:tc>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Features</w:t>
            </w:r>
          </w:p>
        </w:tc>
      </w:tr>
      <w:tr>
        <w:tc>
          <w:tcPr>
            <w:tcW w:type="dxa" w:w="4680"/>
            <w:tcBorders>
              <w:top w:val="single" w:color="CCCCCC" w:sz="1"/>
              <w:left w:val="single" w:color="CCCCCC" w:sz="1"/>
              <w:bottom w:val="single" w:color="CCCCCC" w:sz="1"/>
              <w:right w:val="single" w:color="CCCCCC" w:sz="1"/>
            </w:tcBorders>
          </w:tcPr>
          <w:p>
            <w:r>
              <w:rPr>
                <w:b/>
                <w:bCs/>
              </w:rPr>
              <w:t xml:space="preserve">Statistiques temporelles</w:t>
            </w:r>
          </w:p>
        </w:tc>
        <w:tc>
          <w:tcPr>
            <w:tcW w:type="dxa" w:w="4680"/>
            <w:tcBorders>
              <w:top w:val="single" w:color="CCCCCC" w:sz="1"/>
              <w:left w:val="single" w:color="CCCCCC" w:sz="1"/>
              <w:bottom w:val="single" w:color="CCCCCC" w:sz="1"/>
              <w:right w:val="single" w:color="CCCCCC" w:sz="1"/>
            </w:tcBorders>
          </w:tcPr>
          <w:p>
            <w:r>
              <w:t xml:space="preserve">mean, median, std, variance, min, max, range</w:t>
            </w:r>
          </w:p>
        </w:tc>
      </w:tr>
      <w:tr>
        <w:tc>
          <w:tcPr>
            <w:tcW w:type="dxa" w:w="4680"/>
            <w:tcBorders>
              <w:top w:val="single" w:color="CCCCCC" w:sz="1"/>
              <w:left w:val="single" w:color="CCCCCC" w:sz="1"/>
              <w:bottom w:val="single" w:color="CCCCCC" w:sz="1"/>
              <w:right w:val="single" w:color="CCCCCC" w:sz="1"/>
            </w:tcBorders>
          </w:tcPr>
          <w:p>
            <w:r>
              <w:rPr>
                <w:b/>
                <w:bCs/>
              </w:rPr>
              <w:t xml:space="preserve">Mesures d'amplitude</w:t>
            </w:r>
          </w:p>
        </w:tc>
        <w:tc>
          <w:tcPr>
            <w:tcW w:type="dxa" w:w="4680"/>
            <w:tcBorders>
              <w:top w:val="single" w:color="CCCCCC" w:sz="1"/>
              <w:left w:val="single" w:color="CCCCCC" w:sz="1"/>
              <w:bottom w:val="single" w:color="CCCCCC" w:sz="1"/>
              <w:right w:val="single" w:color="CCCCCC" w:sz="1"/>
            </w:tcBorders>
          </w:tcPr>
          <w:p>
            <w:r>
              <w:t xml:space="preserve">peak-to-peak, rms, energy</w:t>
            </w:r>
          </w:p>
        </w:tc>
      </w:tr>
      <w:tr>
        <w:tc>
          <w:tcPr>
            <w:tcW w:type="dxa" w:w="4680"/>
            <w:tcBorders>
              <w:top w:val="single" w:color="CCCCCC" w:sz="1"/>
              <w:left w:val="single" w:color="CCCCCC" w:sz="1"/>
              <w:bottom w:val="single" w:color="CCCCCC" w:sz="1"/>
              <w:right w:val="single" w:color="CCCCCC" w:sz="1"/>
            </w:tcBorders>
          </w:tcPr>
          <w:p>
            <w:r>
              <w:rPr>
                <w:b/>
                <w:bCs/>
              </w:rPr>
              <w:t xml:space="preserve">Analyse de forme</w:t>
            </w:r>
          </w:p>
        </w:tc>
        <w:tc>
          <w:tcPr>
            <w:tcW w:type="dxa" w:w="4680"/>
            <w:tcBorders>
              <w:top w:val="single" w:color="CCCCCC" w:sz="1"/>
              <w:left w:val="single" w:color="CCCCCC" w:sz="1"/>
              <w:bottom w:val="single" w:color="CCCCCC" w:sz="1"/>
              <w:right w:val="single" w:color="CCCCCC" w:sz="1"/>
            </w:tcBorders>
          </w:tcPr>
          <w:p>
            <w:r>
              <w:t xml:space="preserve">skewness, kurtosis, zero_crossings</w:t>
            </w:r>
          </w:p>
        </w:tc>
      </w:tr>
      <w:tr>
        <w:tc>
          <w:tcPr>
            <w:tcW w:type="dxa" w:w="4680"/>
            <w:tcBorders>
              <w:top w:val="single" w:color="CCCCCC" w:sz="1"/>
              <w:left w:val="single" w:color="CCCCCC" w:sz="1"/>
              <w:bottom w:val="single" w:color="CCCCCC" w:sz="1"/>
              <w:right w:val="single" w:color="CCCCCC" w:sz="1"/>
            </w:tcBorders>
          </w:tcPr>
          <w:p>
            <w:r>
              <w:rPr>
                <w:b/>
                <w:bCs/>
              </w:rPr>
              <w:t xml:space="preserve">Détection de changements</w:t>
            </w:r>
          </w:p>
        </w:tc>
        <w:tc>
          <w:tcPr>
            <w:tcW w:type="dxa" w:w="4680"/>
            <w:tcBorders>
              <w:top w:val="single" w:color="CCCCCC" w:sz="1"/>
              <w:left w:val="single" w:color="CCCCCC" w:sz="1"/>
              <w:bottom w:val="single" w:color="CCCCCC" w:sz="1"/>
              <w:right w:val="single" w:color="CCCCCC" w:sz="1"/>
            </w:tcBorders>
          </w:tcPr>
          <w:p>
            <w:r>
              <w:t xml:space="preserve">mean_diff, std_diff, entropy</w:t>
            </w:r>
          </w:p>
        </w:tc>
      </w:tr>
    </w:tbl>
    <w:p>
      <w:pPr>
        <w:pStyle w:val="Heading2"/>
      </w:pPr>
      <w:r>
        <w:t xml:space="preserve">3.2 Architecture du Réseau de Neurones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Couche</w:t>
            </w:r>
          </w:p>
        </w:tc>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Neurones</w:t>
            </w:r>
          </w:p>
        </w:tc>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Activation</w:t>
            </w:r>
          </w:p>
        </w:tc>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Dropout</w:t>
            </w:r>
          </w:p>
        </w:tc>
      </w:tr>
      <w:tr>
        <w:tc>
          <w:tcPr>
            <w:tcW w:type="dxa" w:w="2340"/>
            <w:tcBorders>
              <w:top w:val="single" w:color="CCCCCC" w:sz="1"/>
              <w:left w:val="single" w:color="CCCCCC" w:sz="1"/>
              <w:bottom w:val="single" w:color="CCCCCC" w:sz="1"/>
              <w:right w:val="single" w:color="CCCCCC" w:sz="1"/>
            </w:tcBorders>
          </w:tcPr>
          <w:p>
            <w:r>
              <w:t xml:space="preserve">Input</w:t>
            </w:r>
          </w:p>
        </w:tc>
        <w:tc>
          <w:tcPr>
            <w:tcW w:type="dxa" w:w="2340"/>
            <w:tcBorders>
              <w:top w:val="single" w:color="CCCCCC" w:sz="1"/>
              <w:left w:val="single" w:color="CCCCCC" w:sz="1"/>
              <w:bottom w:val="single" w:color="CCCCCC" w:sz="1"/>
              <w:right w:val="single" w:color="CCCCCC" w:sz="1"/>
            </w:tcBorders>
          </w:tcPr>
          <w:p>
            <w:pPr>
              <w:jc w:val="center"/>
            </w:pPr>
            <w:r>
              <w:t xml:space="preserve">194</w:t>
            </w:r>
          </w:p>
        </w:tc>
        <w:tc>
          <w:tcPr>
            <w:tcW w:type="dxa" w:w="2340"/>
            <w:tcBorders>
              <w:top w:val="single" w:color="CCCCCC" w:sz="1"/>
              <w:left w:val="single" w:color="CCCCCC" w:sz="1"/>
              <w:bottom w:val="single" w:color="CCCCCC" w:sz="1"/>
              <w:right w:val="single" w:color="CCCCCC" w:sz="1"/>
            </w:tcBorders>
          </w:tcPr>
          <w:p>
            <w:pPr>
              <w:jc w:val="center"/>
            </w:pPr>
            <w:r>
              <w:t xml:space="preserve">-</w:t>
            </w:r>
          </w:p>
        </w:tc>
        <w:tc>
          <w:tcPr>
            <w:tcW w:type="dxa" w:w="2340"/>
            <w:tcBorders>
              <w:top w:val="single" w:color="CCCCCC" w:sz="1"/>
              <w:left w:val="single" w:color="CCCCCC" w:sz="1"/>
              <w:bottom w:val="single" w:color="CCCCCC" w:sz="1"/>
              <w:right w:val="single" w:color="CCCCCC" w:sz="1"/>
            </w:tcBorders>
          </w:tcPr>
          <w:p>
            <w:pPr>
              <w:jc w:val="center"/>
            </w:pPr>
            <w:r>
              <w:t xml:space="preserve">-</w:t>
            </w:r>
          </w:p>
        </w:tc>
      </w:tr>
      <w:tr>
        <w:tc>
          <w:tcPr>
            <w:tcW w:type="dxa" w:w="2340"/>
            <w:tcBorders>
              <w:top w:val="single" w:color="CCCCCC" w:sz="1"/>
              <w:left w:val="single" w:color="CCCCCC" w:sz="1"/>
              <w:bottom w:val="single" w:color="CCCCCC" w:sz="1"/>
              <w:right w:val="single" w:color="CCCCCC" w:sz="1"/>
            </w:tcBorders>
          </w:tcPr>
          <w:p>
            <w:r>
              <w:t xml:space="preserve">Dense 1</w:t>
            </w:r>
          </w:p>
        </w:tc>
        <w:tc>
          <w:tcPr>
            <w:tcW w:type="dxa" w:w="2340"/>
            <w:tcBorders>
              <w:top w:val="single" w:color="CCCCCC" w:sz="1"/>
              <w:left w:val="single" w:color="CCCCCC" w:sz="1"/>
              <w:bottom w:val="single" w:color="CCCCCC" w:sz="1"/>
              <w:right w:val="single" w:color="CCCCCC" w:sz="1"/>
            </w:tcBorders>
          </w:tcPr>
          <w:p>
            <w:pPr>
              <w:jc w:val="center"/>
            </w:pPr>
            <w:r>
              <w:t xml:space="preserve">64</w:t>
            </w:r>
          </w:p>
        </w:tc>
        <w:tc>
          <w:tcPr>
            <w:tcW w:type="dxa" w:w="2340"/>
            <w:tcBorders>
              <w:top w:val="single" w:color="CCCCCC" w:sz="1"/>
              <w:left w:val="single" w:color="CCCCCC" w:sz="1"/>
              <w:bottom w:val="single" w:color="CCCCCC" w:sz="1"/>
              <w:right w:val="single" w:color="CCCCCC" w:sz="1"/>
            </w:tcBorders>
          </w:tcPr>
          <w:p>
            <w:pPr>
              <w:jc w:val="center"/>
            </w:pPr>
            <w:r>
              <w:t xml:space="preserve">ReLU</w:t>
            </w:r>
          </w:p>
        </w:tc>
        <w:tc>
          <w:tcPr>
            <w:tcW w:type="dxa" w:w="2340"/>
            <w:tcBorders>
              <w:top w:val="single" w:color="CCCCCC" w:sz="1"/>
              <w:left w:val="single" w:color="CCCCCC" w:sz="1"/>
              <w:bottom w:val="single" w:color="CCCCCC" w:sz="1"/>
              <w:right w:val="single" w:color="CCCCCC" w:sz="1"/>
            </w:tcBorders>
          </w:tcPr>
          <w:p>
            <w:pPr>
              <w:jc w:val="center"/>
            </w:pPr>
            <w:r>
              <w:t xml:space="preserve">30%</w:t>
            </w:r>
          </w:p>
        </w:tc>
      </w:tr>
      <w:tr>
        <w:tc>
          <w:tcPr>
            <w:tcW w:type="dxa" w:w="2340"/>
            <w:tcBorders>
              <w:top w:val="single" w:color="CCCCCC" w:sz="1"/>
              <w:left w:val="single" w:color="CCCCCC" w:sz="1"/>
              <w:bottom w:val="single" w:color="CCCCCC" w:sz="1"/>
              <w:right w:val="single" w:color="CCCCCC" w:sz="1"/>
            </w:tcBorders>
          </w:tcPr>
          <w:p>
            <w:r>
              <w:t xml:space="preserve">Dense 2</w:t>
            </w:r>
          </w:p>
        </w:tc>
        <w:tc>
          <w:tcPr>
            <w:tcW w:type="dxa" w:w="2340"/>
            <w:tcBorders>
              <w:top w:val="single" w:color="CCCCCC" w:sz="1"/>
              <w:left w:val="single" w:color="CCCCCC" w:sz="1"/>
              <w:bottom w:val="single" w:color="CCCCCC" w:sz="1"/>
              <w:right w:val="single" w:color="CCCCCC" w:sz="1"/>
            </w:tcBorders>
          </w:tcPr>
          <w:p>
            <w:pPr>
              <w:jc w:val="center"/>
            </w:pPr>
            <w:r>
              <w:t xml:space="preserve">32</w:t>
            </w:r>
          </w:p>
        </w:tc>
        <w:tc>
          <w:tcPr>
            <w:tcW w:type="dxa" w:w="2340"/>
            <w:tcBorders>
              <w:top w:val="single" w:color="CCCCCC" w:sz="1"/>
              <w:left w:val="single" w:color="CCCCCC" w:sz="1"/>
              <w:bottom w:val="single" w:color="CCCCCC" w:sz="1"/>
              <w:right w:val="single" w:color="CCCCCC" w:sz="1"/>
            </w:tcBorders>
          </w:tcPr>
          <w:p>
            <w:pPr>
              <w:jc w:val="center"/>
            </w:pPr>
            <w:r>
              <w:t xml:space="preserve">ReLU</w:t>
            </w:r>
          </w:p>
        </w:tc>
        <w:tc>
          <w:tcPr>
            <w:tcW w:type="dxa" w:w="2340"/>
            <w:tcBorders>
              <w:top w:val="single" w:color="CCCCCC" w:sz="1"/>
              <w:left w:val="single" w:color="CCCCCC" w:sz="1"/>
              <w:bottom w:val="single" w:color="CCCCCC" w:sz="1"/>
              <w:right w:val="single" w:color="CCCCCC" w:sz="1"/>
            </w:tcBorders>
          </w:tcPr>
          <w:p>
            <w:pPr>
              <w:jc w:val="center"/>
            </w:pPr>
            <w:r>
              <w:t xml:space="preserve">20%</w:t>
            </w:r>
          </w:p>
        </w:tc>
      </w:tr>
      <w:tr>
        <w:tc>
          <w:tcPr>
            <w:tcW w:type="dxa" w:w="2340"/>
            <w:tcBorders>
              <w:top w:val="single" w:color="CCCCCC" w:sz="1"/>
              <w:left w:val="single" w:color="CCCCCC" w:sz="1"/>
              <w:bottom w:val="single" w:color="CCCCCC" w:sz="1"/>
              <w:right w:val="single" w:color="CCCCCC" w:sz="1"/>
            </w:tcBorders>
          </w:tcPr>
          <w:p>
            <w:r>
              <w:t xml:space="preserve">Dense 3</w:t>
            </w:r>
          </w:p>
        </w:tc>
        <w:tc>
          <w:tcPr>
            <w:tcW w:type="dxa" w:w="2340"/>
            <w:tcBorders>
              <w:top w:val="single" w:color="CCCCCC" w:sz="1"/>
              <w:left w:val="single" w:color="CCCCCC" w:sz="1"/>
              <w:bottom w:val="single" w:color="CCCCCC" w:sz="1"/>
              <w:right w:val="single" w:color="CCCCCC" w:sz="1"/>
            </w:tcBorders>
          </w:tcPr>
          <w:p>
            <w:pPr>
              <w:jc w:val="center"/>
            </w:pPr>
            <w:r>
              <w:t xml:space="preserve">16</w:t>
            </w:r>
          </w:p>
        </w:tc>
        <w:tc>
          <w:tcPr>
            <w:tcW w:type="dxa" w:w="2340"/>
            <w:tcBorders>
              <w:top w:val="single" w:color="CCCCCC" w:sz="1"/>
              <w:left w:val="single" w:color="CCCCCC" w:sz="1"/>
              <w:bottom w:val="single" w:color="CCCCCC" w:sz="1"/>
              <w:right w:val="single" w:color="CCCCCC" w:sz="1"/>
            </w:tcBorders>
          </w:tcPr>
          <w:p>
            <w:pPr>
              <w:jc w:val="center"/>
            </w:pPr>
            <w:r>
              <w:t xml:space="preserve">ReLU</w:t>
            </w:r>
          </w:p>
        </w:tc>
        <w:tc>
          <w:tcPr>
            <w:tcW w:type="dxa" w:w="2340"/>
            <w:tcBorders>
              <w:top w:val="single" w:color="CCCCCC" w:sz="1"/>
              <w:left w:val="single" w:color="CCCCCC" w:sz="1"/>
              <w:bottom w:val="single" w:color="CCCCCC" w:sz="1"/>
              <w:right w:val="single" w:color="CCCCCC" w:sz="1"/>
            </w:tcBorders>
          </w:tcPr>
          <w:p>
            <w:pPr>
              <w:jc w:val="center"/>
            </w:pPr>
            <w:r>
              <w:t xml:space="preserve">-</w:t>
            </w:r>
          </w:p>
        </w:tc>
      </w:tr>
      <w:tr>
        <w:tc>
          <w:tcPr>
            <w:tcW w:type="dxa" w:w="2340"/>
            <w:tcBorders>
              <w:top w:val="single" w:color="CCCCCC" w:sz="1"/>
              <w:left w:val="single" w:color="CCCCCC" w:sz="1"/>
              <w:bottom w:val="single" w:color="CCCCCC" w:sz="1"/>
              <w:right w:val="single" w:color="CCCCCC" w:sz="1"/>
            </w:tcBorders>
          </w:tcPr>
          <w:p>
            <w:r>
              <w:t xml:space="preserve">Output</w:t>
            </w:r>
          </w:p>
        </w:tc>
        <w:tc>
          <w:tcPr>
            <w:tcW w:type="dxa" w:w="2340"/>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pPr>
              <w:jc w:val="center"/>
            </w:pPr>
            <w:r>
              <w:t xml:space="preserve">Sigmoid</w:t>
            </w:r>
          </w:p>
        </w:tc>
        <w:tc>
          <w:tcPr>
            <w:tcW w:type="dxa" w:w="2340"/>
            <w:tcBorders>
              <w:top w:val="single" w:color="CCCCCC" w:sz="1"/>
              <w:left w:val="single" w:color="CCCCCC" w:sz="1"/>
              <w:bottom w:val="single" w:color="CCCCCC" w:sz="1"/>
              <w:right w:val="single" w:color="CCCCCC" w:sz="1"/>
            </w:tcBorders>
          </w:tcPr>
          <w:p>
            <w:pPr>
              <w:jc w:val="center"/>
            </w:pPr>
            <w:r>
              <w:t xml:space="preserve">-</w:t>
            </w:r>
          </w:p>
        </w:tc>
      </w:tr>
    </w:tbl>
    <w:p>
      <w:pPr>
        <w:spacing w:before="240" w:after="120"/>
      </w:pPr>
      <w:r>
        <w:rPr>
          <w:b/>
          <w:bCs/>
        </w:rPr>
        <w:t xml:space="preserve">Paramètres totaux : 15 105</w:t>
      </w:r>
    </w:p>
    <w:p>
      <w:pPr>
        <w:pageBreakBefore/>
      </w:pPr>
    </w:p>
    <w:p>
      <w:pPr>
        <w:pStyle w:val="Heading1"/>
      </w:pPr>
      <w:r>
        <w:t xml:space="preserve">4. Performances et Optimisations</w:t>
      </w:r>
    </w:p>
    <w:p>
      <w:pPr>
        <w:pStyle w:val="Heading2"/>
      </w:pPr>
      <w:r>
        <w:t xml:space="preserve">4.1 Résultats du Modèle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Métrique</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Validation</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Test</w:t>
            </w:r>
          </w:p>
        </w:tc>
      </w:tr>
      <w:tr>
        <w:tc>
          <w:tcPr>
            <w:tcW w:type="dxa" w:w="3120"/>
            <w:tcBorders>
              <w:top w:val="single" w:color="CCCCCC" w:sz="1"/>
              <w:left w:val="single" w:color="CCCCCC" w:sz="1"/>
              <w:bottom w:val="single" w:color="CCCCCC" w:sz="1"/>
              <w:right w:val="single" w:color="CCCCCC" w:sz="1"/>
            </w:tcBorders>
          </w:tcPr>
          <w:p>
            <w:r>
              <w:rPr>
                <w:b/>
                <w:bCs/>
              </w:rPr>
              <w:t xml:space="preserve">Accuracy</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99.59%</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99.46%</w:t>
            </w:r>
          </w:p>
        </w:tc>
      </w:tr>
      <w:tr>
        <w:tc>
          <w:tcPr>
            <w:tcW w:type="dxa" w:w="3120"/>
            <w:tcBorders>
              <w:top w:val="single" w:color="CCCCCC" w:sz="1"/>
              <w:left w:val="single" w:color="CCCCCC" w:sz="1"/>
              <w:bottom w:val="single" w:color="CCCCCC" w:sz="1"/>
              <w:right w:val="single" w:color="CCCCCC" w:sz="1"/>
            </w:tcBorders>
          </w:tcPr>
          <w:p>
            <w:r>
              <w:rPr>
                <w:b/>
                <w:bCs/>
              </w:rPr>
              <w:t xml:space="preserve">Precision (Crise)</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100.00%</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100.00%</w:t>
            </w:r>
          </w:p>
        </w:tc>
      </w:tr>
      <w:tr>
        <w:tc>
          <w:tcPr>
            <w:tcW w:type="dxa" w:w="3120"/>
            <w:tcBorders>
              <w:top w:val="single" w:color="CCCCCC" w:sz="1"/>
              <w:left w:val="single" w:color="CCCCCC" w:sz="1"/>
              <w:bottom w:val="single" w:color="CCCCCC" w:sz="1"/>
              <w:right w:val="single" w:color="CCCCCC" w:sz="1"/>
            </w:tcBorders>
          </w:tcPr>
          <w:p>
            <w:r>
              <w:rPr>
                <w:b/>
                <w:bCs/>
              </w:rPr>
              <w:t xml:space="preserve">Recall (Crise)</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99.18%</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98.91%</w:t>
            </w:r>
          </w:p>
        </w:tc>
      </w:tr>
      <w:tr>
        <w:tc>
          <w:tcPr>
            <w:tcW w:type="dxa" w:w="3120"/>
            <w:tcBorders>
              <w:top w:val="single" w:color="CCCCCC" w:sz="1"/>
              <w:left w:val="single" w:color="CCCCCC" w:sz="1"/>
              <w:bottom w:val="single" w:color="CCCCCC" w:sz="1"/>
              <w:right w:val="single" w:color="CCCCCC" w:sz="1"/>
            </w:tcBorders>
          </w:tcPr>
          <w:p>
            <w:r>
              <w:rPr>
                <w:b/>
                <w:bCs/>
              </w:rPr>
              <w:t xml:space="preserve">F1-Score</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99.59%</w:t>
            </w:r>
          </w:p>
        </w:tc>
        <w:tc>
          <w:tcPr>
            <w:tcW w:type="dxa" w:w="3120"/>
            <w:tcBorders>
              <w:top w:val="single" w:color="CCCCCC" w:sz="1"/>
              <w:left w:val="single" w:color="CCCCCC" w:sz="1"/>
              <w:bottom w:val="single" w:color="CCCCCC" w:sz="1"/>
              <w:right w:val="single" w:color="CCCCCC" w:sz="1"/>
            </w:tcBorders>
          </w:tcPr>
          <w:p>
            <w:pPr>
              <w:jc w:val="center"/>
            </w:pPr>
            <w:r>
              <w:rPr>
                <w:b/>
                <w:bCs/>
                <w:color w:val="008000"/>
              </w:rPr>
              <w:t xml:space="preserve">99.45%</w:t>
            </w:r>
          </w:p>
        </w:tc>
      </w:tr>
    </w:tbl>
    <w:p>
      <w:pPr>
        <w:pStyle w:val="Heading2"/>
      </w:pPr>
      <w:r>
        <w:t xml:space="preserve">4.2 Optimisations tinyML</w:t>
      </w:r>
    </w:p>
    <w:p>
      <w:pPr>
        <w:pStyle w:val="Heading3"/>
      </w:pPr>
      <w:r>
        <w:t xml:space="preserve">Quantization INT8</w:t>
      </w:r>
    </w:p>
    <w:p>
      <w:pPr>
        <w:spacing w:after="120"/>
      </w:pPr>
      <w:r>
        <w:t xml:space="preserve">Le modèle a été optimisé pour l'embarqué grâce à la quantization INT8, qui réduit la taille du modèle et améliore les performances d'inférence sans perte significative de précision.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Version</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Taille</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Accuracy</w:t>
            </w:r>
          </w:p>
        </w:tc>
      </w:tr>
      <w:tr>
        <w:tc>
          <w:tcPr>
            <w:tcW w:type="dxa" w:w="3120"/>
            <w:tcBorders>
              <w:top w:val="single" w:color="CCCCCC" w:sz="1"/>
              <w:left w:val="single" w:color="CCCCCC" w:sz="1"/>
              <w:bottom w:val="single" w:color="CCCCCC" w:sz="1"/>
              <w:right w:val="single" w:color="CCCCCC" w:sz="1"/>
            </w:tcBorders>
          </w:tcPr>
          <w:p>
            <w:r>
              <w:t xml:space="preserve">TensorFlow original</w:t>
            </w:r>
          </w:p>
        </w:tc>
        <w:tc>
          <w:tcPr>
            <w:tcW w:type="dxa" w:w="3120"/>
            <w:tcBorders>
              <w:top w:val="single" w:color="CCCCCC" w:sz="1"/>
              <w:left w:val="single" w:color="CCCCCC" w:sz="1"/>
              <w:bottom w:val="single" w:color="CCCCCC" w:sz="1"/>
              <w:right w:val="single" w:color="CCCCCC" w:sz="1"/>
            </w:tcBorders>
          </w:tcPr>
          <w:p>
            <w:pPr>
              <w:jc w:val="center"/>
            </w:pPr>
            <w:r>
              <w:t xml:space="preserve">59.00 KB</w:t>
            </w:r>
          </w:p>
        </w:tc>
        <w:tc>
          <w:tcPr>
            <w:tcW w:type="dxa" w:w="3120"/>
            <w:tcBorders>
              <w:top w:val="single" w:color="CCCCCC" w:sz="1"/>
              <w:left w:val="single" w:color="CCCCCC" w:sz="1"/>
              <w:bottom w:val="single" w:color="CCCCCC" w:sz="1"/>
              <w:right w:val="single" w:color="CCCCCC" w:sz="1"/>
            </w:tcBorders>
          </w:tcPr>
          <w:p>
            <w:pPr>
              <w:jc w:val="center"/>
            </w:pPr>
            <w:r>
              <w:t xml:space="preserve">99.46%</w:t>
            </w:r>
          </w:p>
        </w:tc>
      </w:tr>
      <w:tr>
        <w:tc>
          <w:tcPr>
            <w:tcW w:type="dxa" w:w="3120"/>
            <w:tcBorders>
              <w:top w:val="single" w:color="CCCCCC" w:sz="1"/>
              <w:left w:val="single" w:color="CCCCCC" w:sz="1"/>
              <w:bottom w:val="single" w:color="CCCCCC" w:sz="1"/>
              <w:right w:val="single" w:color="CCCCCC" w:sz="1"/>
            </w:tcBorders>
          </w:tcPr>
          <w:p>
            <w:r>
              <w:t xml:space="preserve">TFLite Float32</w:t>
            </w:r>
          </w:p>
        </w:tc>
        <w:tc>
          <w:tcPr>
            <w:tcW w:type="dxa" w:w="3120"/>
            <w:tcBorders>
              <w:top w:val="single" w:color="CCCCCC" w:sz="1"/>
              <w:left w:val="single" w:color="CCCCCC" w:sz="1"/>
              <w:bottom w:val="single" w:color="CCCCCC" w:sz="1"/>
              <w:right w:val="single" w:color="CCCCCC" w:sz="1"/>
            </w:tcBorders>
          </w:tcPr>
          <w:p>
            <w:pPr>
              <w:jc w:val="center"/>
            </w:pPr>
            <w:r>
              <w:t xml:space="preserve">61.38 KB</w:t>
            </w:r>
          </w:p>
        </w:tc>
        <w:tc>
          <w:tcPr>
            <w:tcW w:type="dxa" w:w="3120"/>
            <w:tcBorders>
              <w:top w:val="single" w:color="CCCCCC" w:sz="1"/>
              <w:left w:val="single" w:color="CCCCCC" w:sz="1"/>
              <w:bottom w:val="single" w:color="CCCCCC" w:sz="1"/>
              <w:right w:val="single" w:color="CCCCCC" w:sz="1"/>
            </w:tcBorders>
          </w:tcPr>
          <w:p>
            <w:pPr>
              <w:jc w:val="center"/>
            </w:pPr>
            <w:r>
              <w:t xml:space="preserve">99.46%</w:t>
            </w:r>
          </w:p>
        </w:tc>
      </w:tr>
      <w:tr>
        <w:tc>
          <w:tcPr>
            <w:tcW w:type="dxa" w:w="3120"/>
            <w:tcBorders>
              <w:top w:val="single" w:color="CCCCCC" w:sz="1"/>
              <w:left w:val="single" w:color="CCCCCC" w:sz="1"/>
              <w:bottom w:val="single" w:color="CCCCCC" w:sz="1"/>
              <w:right w:val="single" w:color="CCCCCC" w:sz="1"/>
            </w:tcBorders>
            <w:shd w:fill="E8F5E9" w:val="clear"/>
          </w:tcPr>
          <w:p>
            <w:r>
              <w:rPr>
                <w:b/>
                <w:bCs/>
              </w:rPr>
              <w:t xml:space="preserve">TFLite INT8 Quantized</w:t>
            </w:r>
          </w:p>
        </w:tc>
        <w:tc>
          <w:tcPr>
            <w:tcW w:type="dxa" w:w="3120"/>
            <w:tcBorders>
              <w:top w:val="single" w:color="CCCCCC" w:sz="1"/>
              <w:left w:val="single" w:color="CCCCCC" w:sz="1"/>
              <w:bottom w:val="single" w:color="CCCCCC" w:sz="1"/>
              <w:right w:val="single" w:color="CCCCCC" w:sz="1"/>
            </w:tcBorders>
            <w:shd w:fill="E8F5E9" w:val="clear"/>
          </w:tcPr>
          <w:p>
            <w:pPr>
              <w:jc w:val="center"/>
            </w:pPr>
            <w:r>
              <w:rPr>
                <w:b/>
                <w:bCs/>
                <w:color w:val="008000"/>
              </w:rPr>
              <w:t xml:space="preserve">20.46 KB</w:t>
            </w:r>
          </w:p>
        </w:tc>
        <w:tc>
          <w:tcPr>
            <w:tcW w:type="dxa" w:w="3120"/>
            <w:tcBorders>
              <w:top w:val="single" w:color="CCCCCC" w:sz="1"/>
              <w:left w:val="single" w:color="CCCCCC" w:sz="1"/>
              <w:bottom w:val="single" w:color="CCCCCC" w:sz="1"/>
              <w:right w:val="single" w:color="CCCCCC" w:sz="1"/>
            </w:tcBorders>
            <w:shd w:fill="E8F5E9" w:val="clear"/>
          </w:tcPr>
          <w:p>
            <w:pPr>
              <w:jc w:val="center"/>
            </w:pPr>
            <w:r>
              <w:rPr>
                <w:b/>
                <w:bCs/>
                <w:color w:val="008000"/>
              </w:rPr>
              <w:t xml:space="preserve">100.00%</w:t>
            </w:r>
          </w:p>
        </w:tc>
      </w:tr>
    </w:tbl>
    <w:p>
      <w:pPr>
        <w:spacing w:before="240"/>
      </w:pPr>
      <w:r>
        <w:rPr>
          <w:b/>
          <w:bCs/>
          <w:color w:val="008000"/>
        </w:rPr>
        <w:t xml:space="preserve">Réduction de taille : 66.7% | Gain de vitesse : 3-4x plus rapide</w:t>
      </w:r>
    </w:p>
    <w:p>
      <w:pPr>
        <w:pageBreakBefore/>
      </w:pPr>
    </w:p>
    <w:p>
      <w:pPr>
        <w:pStyle w:val="Heading1"/>
      </w:pPr>
      <w:r>
        <w:t xml:space="preserve">5. Implémentation et Déploiement</w:t>
      </w:r>
    </w:p>
    <w:p>
      <w:pPr>
        <w:pStyle w:val="Heading2"/>
      </w:pPr>
      <w:r>
        <w:t xml:space="preserve">5.1 Workflow de Déploiement</w:t>
      </w:r>
    </w:p>
    <w:p>
      <w:pPr>
        <w:pStyle w:val="ListParagraph"/>
        <w:numPr>
          <w:ilvl w:val="0"/>
          <w:numId w:val="3"/>
        </w:numPr>
      </w:pPr>
      <w:r>
        <w:rPr>
          <w:b/>
          <w:bCs/>
        </w:rPr>
        <w:t xml:space="preserve">Préparation du microcontrôleur</w:t>
      </w:r>
    </w:p>
    <w:p>
      <w:pPr>
        <w:spacing w:after="120" left="720"/>
      </w:pPr>
      <w:r>
        <w:t xml:space="preserve">Installation de l'environnement Arduino/ESP32 et des bibliothèques TensorFlow Lite Micro.</w:t>
      </w:r>
    </w:p>
    <w:p>
      <w:pPr>
        <w:pStyle w:val="ListParagraph"/>
        <w:numPr>
          <w:ilvl w:val="0"/>
          <w:numId w:val="3"/>
        </w:numPr>
      </w:pPr>
      <w:r>
        <w:rPr>
          <w:b/>
          <w:bCs/>
        </w:rPr>
        <w:t xml:space="preserve">Intégration du modèle quantizé</w:t>
      </w:r>
    </w:p>
    <w:p>
      <w:pPr>
        <w:spacing w:after="120" left="720"/>
      </w:pPr>
      <w:r>
        <w:t xml:space="preserve">Conversion du fichier .tflite en array C++ et inclusion dans le firmware.</w:t>
      </w:r>
    </w:p>
    <w:p>
      <w:pPr>
        <w:pStyle w:val="ListParagraph"/>
        <w:numPr>
          <w:ilvl w:val="0"/>
          <w:numId w:val="3"/>
        </w:numPr>
      </w:pPr>
      <w:r>
        <w:rPr>
          <w:b/>
          <w:bCs/>
        </w:rPr>
        <w:t xml:space="preserve">Configuration des capteurs</w:t>
      </w:r>
    </w:p>
    <w:p>
      <w:pPr>
        <w:spacing w:after="120" left="720"/>
      </w:pPr>
      <w:r>
        <w:t xml:space="preserve">Calibration des capteurs EEG/EMG et configuration du taux d'échantillonnage à 178 Hz.</w:t>
      </w:r>
    </w:p>
    <w:p>
      <w:pPr>
        <w:pStyle w:val="ListParagraph"/>
        <w:numPr>
          <w:ilvl w:val="0"/>
          <w:numId w:val="3"/>
        </w:numPr>
      </w:pPr>
      <w:r>
        <w:rPr>
          <w:b/>
          <w:bCs/>
        </w:rPr>
        <w:t xml:space="preserve">Implémentation du pipeline</w:t>
      </w:r>
    </w:p>
    <w:p>
      <w:pPr>
        <w:spacing w:after="120" left="720"/>
      </w:pPr>
      <w:r>
        <w:t xml:space="preserve">Développement du code pour l'acquisition, le prétraitement et l'extraction de features en temps réel.</w:t>
      </w:r>
    </w:p>
    <w:p>
      <w:pPr>
        <w:pStyle w:val="ListParagraph"/>
        <w:numPr>
          <w:ilvl w:val="0"/>
          <w:numId w:val="3"/>
        </w:numPr>
      </w:pPr>
      <w:r>
        <w:rPr>
          <w:b/>
          <w:bCs/>
        </w:rPr>
        <w:t xml:space="preserve">Tests et validation</w:t>
      </w:r>
    </w:p>
    <w:p>
      <w:pPr>
        <w:spacing w:after="240" left="720"/>
      </w:pPr>
      <w:r>
        <w:t xml:space="preserve">Vérification des performances, de la latence et de la consommation énergétique.</w:t>
      </w:r>
    </w:p>
    <w:p>
      <w:pPr>
        <w:pStyle w:val="Heading2"/>
      </w:pPr>
      <w:r>
        <w:t xml:space="preserve">5.2 Apprentissage Adaptatif</w:t>
      </w:r>
    </w:p>
    <w:p>
      <w:pPr>
        <w:spacing w:after="120"/>
      </w:pPr>
      <w:r>
        <w:t xml:space="preserve">Le système implémente un mécanisme d'apprentissage personnalisé pour s'adapter aux particularités de chaque patient :</w:t>
      </w:r>
    </w:p>
    <w:p>
      <w:pPr>
        <w:pStyle w:val="ListParagraph"/>
        <w:numPr>
          <w:ilvl w:val="0"/>
          <w:numId w:val="2"/>
        </w:numPr>
      </w:pPr>
      <w:r>
        <w:t xml:space="preserve">Collecte de données pendant 2-4 semaines</w:t>
      </w:r>
    </w:p>
    <w:p>
      <w:pPr>
        <w:pStyle w:val="ListParagraph"/>
        <w:numPr>
          <w:ilvl w:val="0"/>
          <w:numId w:val="2"/>
        </w:numPr>
      </w:pPr>
      <w:r>
        <w:t xml:space="preserve">Transfer learning à partir du modèle pré-entraîné</w:t>
      </w:r>
    </w:p>
    <w:p>
      <w:pPr>
        <w:pStyle w:val="ListParagraph"/>
        <w:numPr>
          <w:ilvl w:val="0"/>
          <w:numId w:val="2"/>
        </w:numPr>
      </w:pPr>
      <w:r>
        <w:t xml:space="preserve">Réentraînement hebdomadaire avec les données du patient</w:t>
      </w:r>
    </w:p>
    <w:p>
      <w:pPr>
        <w:pStyle w:val="ListParagraph"/>
        <w:numPr>
          <w:ilvl w:val="0"/>
          <w:numId w:val="2"/>
        </w:numPr>
      </w:pPr>
      <w:r>
        <w:t xml:space="preserve">Amélioration continue de la précision</w:t>
      </w:r>
    </w:p>
    <w:p>
      <w:pPr>
        <w:pageBreakBefore/>
      </w:pPr>
    </w:p>
    <w:p>
      <w:pPr>
        <w:pStyle w:val="Heading1"/>
      </w:pPr>
      <w:r>
        <w:t xml:space="preserve">6. Considérations Cliniques et Réglementaires</w:t>
      </w:r>
    </w:p>
    <w:p>
      <w:pPr>
        <w:pStyle w:val="Heading2"/>
      </w:pPr>
      <w:r>
        <w:t xml:space="preserve">6.1 Exigences Cliniques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62828" w:val="clear"/>
          </w:tcPr>
          <w:p>
            <w:pPr>
              <w:jc w:val="center"/>
            </w:pPr>
            <w:r>
              <w:rPr>
                <w:b/>
                <w:bCs/>
                <w:color w:val="FFFFFF"/>
                <w:sz w:val="22"/>
                <w:szCs w:val="22"/>
              </w:rPr>
              <w:t xml:space="preserve">Critère</w:t>
            </w:r>
          </w:p>
        </w:tc>
        <w:tc>
          <w:tcPr>
            <w:tcW w:type="dxa" w:w="4680"/>
            <w:tcBorders>
              <w:top w:val="single" w:color="CCCCCC" w:sz="1"/>
              <w:left w:val="single" w:color="CCCCCC" w:sz="1"/>
              <w:bottom w:val="single" w:color="CCCCCC" w:sz="1"/>
              <w:right w:val="single" w:color="CCCCCC" w:sz="1"/>
            </w:tcBorders>
            <w:shd w:fill="C62828" w:val="clear"/>
          </w:tcPr>
          <w:p>
            <w:pPr>
              <w:jc w:val="center"/>
            </w:pPr>
            <w:r>
              <w:rPr>
                <w:b/>
                <w:bCs/>
                <w:color w:val="FFFFFF"/>
                <w:sz w:val="22"/>
                <w:szCs w:val="22"/>
              </w:rPr>
              <w:t xml:space="preserve">Objectif</w:t>
            </w:r>
          </w:p>
        </w:tc>
      </w:tr>
      <w:tr>
        <w:tc>
          <w:tcPr>
            <w:tcW w:type="dxa" w:w="4680"/>
            <w:tcBorders>
              <w:top w:val="single" w:color="CCCCCC" w:sz="1"/>
              <w:left w:val="single" w:color="CCCCCC" w:sz="1"/>
              <w:bottom w:val="single" w:color="CCCCCC" w:sz="1"/>
              <w:right w:val="single" w:color="CCCCCC" w:sz="1"/>
            </w:tcBorders>
          </w:tcPr>
          <w:p>
            <w:r>
              <w:rPr>
                <w:b/>
                <w:bCs/>
              </w:rPr>
              <w:t xml:space="preserve">Sensibilité (Recall)</w:t>
            </w:r>
          </w:p>
        </w:tc>
        <w:tc>
          <w:tcPr>
            <w:tcW w:type="dxa" w:w="4680"/>
            <w:tcBorders>
              <w:top w:val="single" w:color="CCCCCC" w:sz="1"/>
              <w:left w:val="single" w:color="CCCCCC" w:sz="1"/>
              <w:bottom w:val="single" w:color="CCCCCC" w:sz="1"/>
              <w:right w:val="single" w:color="CCCCCC" w:sz="1"/>
            </w:tcBorders>
          </w:tcPr>
          <w:p>
            <w:pPr>
              <w:jc w:val="center"/>
            </w:pPr>
            <w:r>
              <w:rPr>
                <w:b/>
                <w:bCs/>
                <w:color w:val="C62828"/>
              </w:rPr>
              <w:t xml:space="preserve">&gt;95% (ne pas manquer de crises)</w:t>
            </w:r>
          </w:p>
        </w:tc>
      </w:tr>
      <w:tr>
        <w:tc>
          <w:tcPr>
            <w:tcW w:type="dxa" w:w="4680"/>
            <w:tcBorders>
              <w:top w:val="single" w:color="CCCCCC" w:sz="1"/>
              <w:left w:val="single" w:color="CCCCCC" w:sz="1"/>
              <w:bottom w:val="single" w:color="CCCCCC" w:sz="1"/>
              <w:right w:val="single" w:color="CCCCCC" w:sz="1"/>
            </w:tcBorders>
          </w:tcPr>
          <w:p>
            <w:r>
              <w:rPr>
                <w:b/>
                <w:bCs/>
              </w:rPr>
              <w:t xml:space="preserve">Spécificité</w:t>
            </w:r>
          </w:p>
        </w:tc>
        <w:tc>
          <w:tcPr>
            <w:tcW w:type="dxa" w:w="4680"/>
            <w:tcBorders>
              <w:top w:val="single" w:color="CCCCCC" w:sz="1"/>
              <w:left w:val="single" w:color="CCCCCC" w:sz="1"/>
              <w:bottom w:val="single" w:color="CCCCCC" w:sz="1"/>
              <w:right w:val="single" w:color="CCCCCC" w:sz="1"/>
            </w:tcBorders>
          </w:tcPr>
          <w:p>
            <w:pPr>
              <w:jc w:val="center"/>
            </w:pPr>
            <w:r>
              <w:rPr>
                <w:b/>
                <w:bCs/>
                <w:color w:val="C62828"/>
              </w:rPr>
              <w:t xml:space="preserve">85-90% (limiter les fausses alarmes)</w:t>
            </w:r>
          </w:p>
        </w:tc>
      </w:tr>
      <w:tr>
        <w:tc>
          <w:tcPr>
            <w:tcW w:type="dxa" w:w="4680"/>
            <w:tcBorders>
              <w:top w:val="single" w:color="CCCCCC" w:sz="1"/>
              <w:left w:val="single" w:color="CCCCCC" w:sz="1"/>
              <w:bottom w:val="single" w:color="CCCCCC" w:sz="1"/>
              <w:right w:val="single" w:color="CCCCCC" w:sz="1"/>
            </w:tcBorders>
          </w:tcPr>
          <w:p>
            <w:r>
              <w:rPr>
                <w:b/>
                <w:bCs/>
              </w:rPr>
              <w:t xml:space="preserve">Latence de détection</w:t>
            </w:r>
          </w:p>
        </w:tc>
        <w:tc>
          <w:tcPr>
            <w:tcW w:type="dxa" w:w="4680"/>
            <w:tcBorders>
              <w:top w:val="single" w:color="CCCCCC" w:sz="1"/>
              <w:left w:val="single" w:color="CCCCCC" w:sz="1"/>
              <w:bottom w:val="single" w:color="CCCCCC" w:sz="1"/>
              <w:right w:val="single" w:color="CCCCCC" w:sz="1"/>
            </w:tcBorders>
          </w:tcPr>
          <w:p>
            <w:pPr>
              <w:jc w:val="center"/>
            </w:pPr>
            <w:r>
              <w:rPr>
                <w:b/>
                <w:bCs/>
                <w:color w:val="C62828"/>
              </w:rPr>
              <w:t xml:space="preserve">&lt;5 secondes</w:t>
            </w:r>
          </w:p>
        </w:tc>
      </w:tr>
      <w:tr>
        <w:tc>
          <w:tcPr>
            <w:tcW w:type="dxa" w:w="4680"/>
            <w:tcBorders>
              <w:top w:val="single" w:color="CCCCCC" w:sz="1"/>
              <w:left w:val="single" w:color="CCCCCC" w:sz="1"/>
              <w:bottom w:val="single" w:color="CCCCCC" w:sz="1"/>
              <w:right w:val="single" w:color="CCCCCC" w:sz="1"/>
            </w:tcBorders>
          </w:tcPr>
          <w:p>
            <w:r>
              <w:rPr>
                <w:b/>
                <w:bCs/>
              </w:rPr>
              <w:t xml:space="preserve">Alerte précoce</w:t>
            </w:r>
          </w:p>
        </w:tc>
        <w:tc>
          <w:tcPr>
            <w:tcW w:type="dxa" w:w="4680"/>
            <w:tcBorders>
              <w:top w:val="single" w:color="CCCCCC" w:sz="1"/>
              <w:left w:val="single" w:color="CCCCCC" w:sz="1"/>
              <w:bottom w:val="single" w:color="CCCCCC" w:sz="1"/>
              <w:right w:val="single" w:color="CCCCCC" w:sz="1"/>
            </w:tcBorders>
          </w:tcPr>
          <w:p>
            <w:pPr>
              <w:jc w:val="center"/>
            </w:pPr>
            <w:r>
              <w:rPr>
                <w:b/>
                <w:bCs/>
                <w:color w:val="C62828"/>
              </w:rPr>
              <w:t xml:space="preserve">5-30 secondes avant la crise</w:t>
            </w:r>
          </w:p>
        </w:tc>
      </w:tr>
    </w:tbl>
    <w:p>
      <w:pPr>
        <w:pStyle w:val="Heading2"/>
      </w:pPr>
      <w:r>
        <w:t xml:space="preserve">6.2 Normes et Certifications</w:t>
      </w:r>
    </w:p>
    <w:p>
      <w:pPr>
        <w:pStyle w:val="Heading3"/>
      </w:pPr>
      <w:r>
        <w:t xml:space="preserve">Réglementation des Dispositifs Médicaux</w:t>
      </w:r>
    </w:p>
    <w:p>
      <w:pPr>
        <w:pStyle w:val="ListParagraph"/>
        <w:numPr>
          <w:ilvl w:val="0"/>
          <w:numId w:val="2"/>
        </w:numPr>
      </w:pPr>
      <w:r>
        <w:t xml:space="preserve">Classe IIa selon le Règlement (UE) 2017/745 (Europe)</w:t>
      </w:r>
    </w:p>
    <w:p>
      <w:pPr>
        <w:pStyle w:val="ListParagraph"/>
        <w:numPr>
          <w:ilvl w:val="0"/>
          <w:numId w:val="2"/>
        </w:numPr>
      </w:pPr>
      <w:r>
        <w:t xml:space="preserve">FDA Class II (États-Unis)</w:t>
      </w:r>
    </w:p>
    <w:p>
      <w:pPr>
        <w:pStyle w:val="ListParagraph"/>
        <w:numPr>
          <w:ilvl w:val="0"/>
          <w:numId w:val="2"/>
        </w:numPr>
      </w:pPr>
      <w:r>
        <w:t xml:space="preserve">Marquage CE obligatoire</w:t>
      </w:r>
    </w:p>
    <w:p>
      <w:pPr>
        <w:pStyle w:val="ListParagraph"/>
        <w:numPr>
          <w:ilvl w:val="0"/>
          <w:numId w:val="2"/>
        </w:numPr>
      </w:pPr>
      <w:r>
        <w:t xml:space="preserve">Conformité ISO 13485 (Système de management qualité)</w:t>
      </w:r>
    </w:p>
    <w:p>
      <w:pPr>
        <w:pStyle w:val="Heading3"/>
      </w:pPr>
      <w:r>
        <w:t xml:space="preserve">Protection des Données</w:t>
      </w:r>
    </w:p>
    <w:p>
      <w:pPr>
        <w:pStyle w:val="ListParagraph"/>
        <w:numPr>
          <w:ilvl w:val="0"/>
          <w:numId w:val="2"/>
        </w:numPr>
      </w:pPr>
      <w:r>
        <w:t xml:space="preserve">RGPD (Règlement Général sur la Protection des Données)</w:t>
      </w:r>
    </w:p>
    <w:p>
      <w:pPr>
        <w:pStyle w:val="ListParagraph"/>
        <w:numPr>
          <w:ilvl w:val="0"/>
          <w:numId w:val="2"/>
        </w:numPr>
      </w:pPr>
      <w:r>
        <w:t xml:space="preserve">HIPAA (Health Insurance Portability and Accountability Act)</w:t>
      </w:r>
    </w:p>
    <w:p>
      <w:pPr>
        <w:pStyle w:val="ListParagraph"/>
        <w:numPr>
          <w:ilvl w:val="0"/>
          <w:numId w:val="2"/>
        </w:numPr>
      </w:pPr>
      <w:r>
        <w:t xml:space="preserve">Chiffrement AES-256 des données de santé</w:t>
      </w:r>
    </w:p>
    <w:p>
      <w:pPr>
        <w:pStyle w:val="ListParagraph"/>
        <w:numPr>
          <w:ilvl w:val="0"/>
          <w:numId w:val="2"/>
        </w:numPr>
      </w:pPr>
      <w:r>
        <w:t xml:space="preserve">Consentement éclairé du patient</w:t>
      </w:r>
    </w:p>
    <w:p>
      <w:pPr>
        <w:pStyle w:val="Heading2"/>
      </w:pPr>
      <w:r>
        <w:t xml:space="preserve">6.3 Validation Clinique</w:t>
      </w:r>
    </w:p>
    <w:p>
      <w:pPr>
        <w:spacing w:after="240"/>
      </w:pPr>
      <w:r>
        <w:t xml:space="preserve">Avant toute commercialisation, le dispositif devra faire l'objet d'essais cliniques supervisés comprenant :</w:t>
      </w:r>
    </w:p>
    <w:p>
      <w:pPr>
        <w:pStyle w:val="ListParagraph"/>
        <w:numPr>
          <w:ilvl w:val="0"/>
          <w:numId w:val="3"/>
        </w:numPr>
      </w:pPr>
      <w:r>
        <w:rPr>
          <w:b/>
          <w:bCs/>
        </w:rPr>
        <w:t xml:space="preserve">Étude pilote (30-50 patients, 6 mois)</w:t>
      </w:r>
    </w:p>
    <w:p>
      <w:pPr>
        <w:spacing w:after="120" left="720"/>
      </w:pPr>
      <w:r>
        <w:t xml:space="preserve">Validation de la faisabilité et de la sécurité.</w:t>
      </w:r>
    </w:p>
    <w:p>
      <w:pPr>
        <w:pStyle w:val="ListParagraph"/>
        <w:numPr>
          <w:ilvl w:val="0"/>
          <w:numId w:val="3"/>
        </w:numPr>
      </w:pPr>
      <w:r>
        <w:rPr>
          <w:b/>
          <w:bCs/>
        </w:rPr>
        <w:t xml:space="preserve">Essai clinique multicentrique (200+ patients, 12-24 mois)</w:t>
      </w:r>
    </w:p>
    <w:p>
      <w:pPr>
        <w:spacing w:after="120" left="720"/>
      </w:pPr>
      <w:r>
        <w:t xml:space="preserve">Évaluation de l'efficacité et de la fiabilité à grande échelle.</w:t>
      </w:r>
    </w:p>
    <w:p>
      <w:pPr>
        <w:pStyle w:val="ListParagraph"/>
        <w:numPr>
          <w:ilvl w:val="0"/>
          <w:numId w:val="3"/>
        </w:numPr>
      </w:pPr>
      <w:r>
        <w:rPr>
          <w:b/>
          <w:bCs/>
        </w:rPr>
        <w:t xml:space="preserve">Comparaison avec méthodes existantes</w:t>
      </w:r>
    </w:p>
    <w:p>
      <w:pPr>
        <w:spacing w:after="120" left="720"/>
      </w:pPr>
      <w:r>
        <w:t xml:space="preserve">Benchmarking avec EEG hospitalier et autres dispositifs portables.</w:t>
      </w:r>
    </w:p>
    <w:p>
      <w:pPr>
        <w:pStyle w:val="ListParagraph"/>
        <w:numPr>
          <w:ilvl w:val="0"/>
          <w:numId w:val="3"/>
        </w:numPr>
      </w:pPr>
      <w:r>
        <w:rPr>
          <w:b/>
          <w:bCs/>
        </w:rPr>
        <w:t xml:space="preserve">Analyse médico-économique</w:t>
      </w:r>
    </w:p>
    <w:p>
      <w:pPr>
        <w:spacing w:after="240" left="720"/>
      </w:pPr>
      <w:r>
        <w:t xml:space="preserve">Évaluation du rapport coût-efficacité et impact sur la qualité de vie.</w:t>
      </w:r>
    </w:p>
    <w:p>
      <w:pPr>
        <w:pageBreakBefore/>
      </w:pPr>
    </w:p>
    <w:p>
      <w:pPr>
        <w:pStyle w:val="Heading1"/>
      </w:pPr>
      <w:r>
        <w:t xml:space="preserve">7. Roadmap et Prochaines Étapes</w:t>
      </w:r>
    </w:p>
    <w:p>
      <w:pPr>
        <w:pStyle w:val="Heading2"/>
      </w:pPr>
      <w:r>
        <w:t xml:space="preserve">7.1 Phase 1 : Prototype Fonctionnel (3-6 mois)</w:t>
      </w:r>
    </w:p>
    <w:p>
      <w:pPr>
        <w:pStyle w:val="ListParagraph"/>
        <w:numPr>
          <w:ilvl w:val="0"/>
          <w:numId w:val="2"/>
        </w:numPr>
      </w:pPr>
      <w:r>
        <w:t xml:space="preserve">Intégration du modèle quantizé sur ESP32/Arduino</w:t>
      </w:r>
    </w:p>
    <w:p>
      <w:pPr>
        <w:pStyle w:val="ListParagraph"/>
        <w:numPr>
          <w:ilvl w:val="0"/>
          <w:numId w:val="2"/>
        </w:numPr>
      </w:pPr>
      <w:r>
        <w:t xml:space="preserve">Implémentation de la lecture des capteurs EEG/EMG</w:t>
      </w:r>
    </w:p>
    <w:p>
      <w:pPr>
        <w:pStyle w:val="ListParagraph"/>
        <w:numPr>
          <w:ilvl w:val="0"/>
          <w:numId w:val="2"/>
        </w:numPr>
      </w:pPr>
      <w:r>
        <w:t xml:space="preserve">Développement du pipeline d'extraction de features</w:t>
      </w:r>
    </w:p>
    <w:p>
      <w:pPr>
        <w:pStyle w:val="ListParagraph"/>
        <w:numPr>
          <w:ilvl w:val="0"/>
          <w:numId w:val="2"/>
        </w:numPr>
      </w:pPr>
      <w:r>
        <w:t xml:space="preserve">Tests de validation avec données simulées</w:t>
      </w:r>
    </w:p>
    <w:p>
      <w:pPr>
        <w:pStyle w:val="ListParagraph"/>
        <w:numPr>
          <w:ilvl w:val="0"/>
          <w:numId w:val="2"/>
        </w:numPr>
      </w:pPr>
      <w:r>
        <w:t xml:space="preserve">Optimisation de la consommation énergétique</w:t>
      </w:r>
    </w:p>
    <w:p>
      <w:pPr>
        <w:pStyle w:val="Heading2"/>
      </w:pPr>
      <w:r>
        <w:t xml:space="preserve">7.2 Phase 2 : Validation Technique (6-12 mois)</w:t>
      </w:r>
    </w:p>
    <w:p>
      <w:pPr>
        <w:pStyle w:val="ListParagraph"/>
        <w:numPr>
          <w:ilvl w:val="0"/>
          <w:numId w:val="2"/>
        </w:numPr>
      </w:pPr>
      <w:r>
        <w:t xml:space="preserve">Tests avec données EEG réelles de patients</w:t>
      </w:r>
    </w:p>
    <w:p>
      <w:pPr>
        <w:pStyle w:val="ListParagraph"/>
        <w:numPr>
          <w:ilvl w:val="0"/>
          <w:numId w:val="2"/>
        </w:numPr>
      </w:pPr>
      <w:r>
        <w:t xml:space="preserve">Calibration du seuil de détection optimal</w:t>
      </w:r>
    </w:p>
    <w:p>
      <w:pPr>
        <w:pStyle w:val="ListParagraph"/>
        <w:numPr>
          <w:ilvl w:val="0"/>
          <w:numId w:val="2"/>
        </w:numPr>
      </w:pPr>
      <w:r>
        <w:t xml:space="preserve">Développement de l'application mobile compagne</w:t>
      </w:r>
    </w:p>
    <w:p>
      <w:pPr>
        <w:pStyle w:val="ListParagraph"/>
        <w:numPr>
          <w:ilvl w:val="0"/>
          <w:numId w:val="2"/>
        </w:numPr>
      </w:pPr>
      <w:r>
        <w:t xml:space="preserve">Implémentation du système d'alerte multimodale</w:t>
      </w:r>
    </w:p>
    <w:p>
      <w:pPr>
        <w:pStyle w:val="ListParagraph"/>
        <w:numPr>
          <w:ilvl w:val="0"/>
          <w:numId w:val="2"/>
        </w:numPr>
      </w:pPr>
      <w:r>
        <w:t xml:space="preserve">Tests de robustesse et de fiabilité</w:t>
      </w:r>
    </w:p>
    <w:p>
      <w:pPr>
        <w:pStyle w:val="Heading2"/>
      </w:pPr>
      <w:r>
        <w:t xml:space="preserve">7.3 Phase 3 : Étude Pilote (12-18 mois)</w:t>
      </w:r>
    </w:p>
    <w:p>
      <w:pPr>
        <w:pStyle w:val="ListParagraph"/>
        <w:numPr>
          <w:ilvl w:val="0"/>
          <w:numId w:val="2"/>
        </w:numPr>
      </w:pPr>
      <w:r>
        <w:t xml:space="preserve">Recrutement de 30-50 patients volontaires</w:t>
      </w:r>
    </w:p>
    <w:p>
      <w:pPr>
        <w:pStyle w:val="ListParagraph"/>
        <w:numPr>
          <w:ilvl w:val="0"/>
          <w:numId w:val="2"/>
        </w:numPr>
      </w:pPr>
      <w:r>
        <w:t xml:space="preserve">Suivi clinique en conditions réelles</w:t>
      </w:r>
    </w:p>
    <w:p>
      <w:pPr>
        <w:pStyle w:val="ListParagraph"/>
        <w:numPr>
          <w:ilvl w:val="0"/>
          <w:numId w:val="2"/>
        </w:numPr>
      </w:pPr>
      <w:r>
        <w:t xml:space="preserve">Collection de feedbacks utilisateurs</w:t>
      </w:r>
    </w:p>
    <w:p>
      <w:pPr>
        <w:pStyle w:val="ListParagraph"/>
        <w:numPr>
          <w:ilvl w:val="0"/>
          <w:numId w:val="2"/>
        </w:numPr>
      </w:pPr>
      <w:r>
        <w:t xml:space="preserve">Amélioration itérative du système</w:t>
      </w:r>
    </w:p>
    <w:p>
      <w:pPr>
        <w:pStyle w:val="ListParagraph"/>
        <w:numPr>
          <w:ilvl w:val="0"/>
          <w:numId w:val="2"/>
        </w:numPr>
      </w:pPr>
      <w:r>
        <w:t xml:space="preserve">Préparation du dossier de certification</w:t>
      </w:r>
    </w:p>
    <w:p>
      <w:pPr>
        <w:pStyle w:val="Heading2"/>
      </w:pPr>
      <w:r>
        <w:t xml:space="preserve">7.4 Phase 4 : Certification et Commercialisation (18-36 mois)</w:t>
      </w:r>
    </w:p>
    <w:p>
      <w:pPr>
        <w:pStyle w:val="ListParagraph"/>
        <w:numPr>
          <w:ilvl w:val="0"/>
          <w:numId w:val="2"/>
        </w:numPr>
      </w:pPr>
      <w:r>
        <w:t xml:space="preserve">Essai clinique multicentrique</w:t>
      </w:r>
    </w:p>
    <w:p>
      <w:pPr>
        <w:pStyle w:val="ListParagraph"/>
        <w:numPr>
          <w:ilvl w:val="0"/>
          <w:numId w:val="2"/>
        </w:numPr>
      </w:pPr>
      <w:r>
        <w:t xml:space="preserve">Obtention du marquage CE et approbation FDA</w:t>
      </w:r>
    </w:p>
    <w:p>
      <w:pPr>
        <w:pStyle w:val="ListParagraph"/>
        <w:numPr>
          <w:ilvl w:val="0"/>
          <w:numId w:val="2"/>
        </w:numPr>
      </w:pPr>
      <w:r>
        <w:t xml:space="preserve">Industrialisation et production en série</w:t>
      </w:r>
    </w:p>
    <w:p>
      <w:pPr>
        <w:pStyle w:val="ListParagraph"/>
        <w:numPr>
          <w:ilvl w:val="0"/>
          <w:numId w:val="2"/>
        </w:numPr>
      </w:pPr>
      <w:r>
        <w:t xml:space="preserve">Stratégie de commercialisation et distribution</w:t>
      </w:r>
    </w:p>
    <w:p>
      <w:pPr>
        <w:pStyle w:val="ListParagraph"/>
        <w:numPr>
          <w:ilvl w:val="0"/>
          <w:numId w:val="2"/>
        </w:numPr>
      </w:pPr>
      <w:r>
        <w:t xml:space="preserve">Formation des professionnels de santé</w:t>
      </w:r>
    </w:p>
    <w:p>
      <w:pPr>
        <w:pageBreakBefore/>
      </w:pPr>
    </w:p>
    <w:p>
      <w:pPr>
        <w:pStyle w:val="Heading1"/>
      </w:pPr>
      <w:r>
        <w:t xml:space="preserve">8. Conclusion</w:t>
      </w:r>
    </w:p>
    <w:p>
      <w:pPr>
        <w:spacing w:after="240"/>
      </w:pPr>
      <w:r>
        <w:t xml:space="preserve">Ce projet démontre la faisabilité d'un système de détection de crises épileptiques embarqué combinant capteurs biomédicaux et intelligence artificielle. Les résultats obtenus sont très prometteurs :</w:t>
      </w:r>
    </w:p>
    <w:p>
      <w:pPr>
        <w:pStyle w:val="ListParagraph"/>
        <w:numPr>
          <w:ilvl w:val="0"/>
          <w:numId w:val="2"/>
        </w:numPr>
      </w:pPr>
      <w:r>
        <w:rPr>
          <w:b/>
          <w:bCs/>
        </w:rPr>
        <w:t xml:space="preserve">Accuracy de 99.46% sur le dataset de test</w:t>
      </w:r>
    </w:p>
    <w:p>
      <w:pPr>
        <w:pStyle w:val="ListParagraph"/>
        <w:numPr>
          <w:ilvl w:val="0"/>
          <w:numId w:val="2"/>
        </w:numPr>
      </w:pPr>
      <w:r>
        <w:rPr>
          <w:b/>
          <w:bCs/>
        </w:rPr>
        <w:t xml:space="preserve">Modèle optimisé de seulement 20.46 KB</w:t>
      </w:r>
    </w:p>
    <w:p>
      <w:pPr>
        <w:pStyle w:val="ListParagraph"/>
        <w:numPr>
          <w:ilvl w:val="0"/>
          <w:numId w:val="2"/>
        </w:numPr>
      </w:pPr>
      <w:r>
        <w:rPr>
          <w:b/>
          <w:bCs/>
        </w:rPr>
        <w:t xml:space="preserve">Latence d'inférence compatible avec les exigences temps réel</w:t>
      </w:r>
    </w:p>
    <w:p>
      <w:pPr>
        <w:pStyle w:val="ListParagraph"/>
        <w:numPr>
          <w:ilvl w:val="0"/>
          <w:numId w:val="2"/>
        </w:numPr>
      </w:pPr>
      <w:r>
        <w:rPr>
          <w:b/>
          <w:bCs/>
        </w:rPr>
        <w:t xml:space="preserve">Architecture adaptée aux contraintes des microcontrôleurs</w:t>
      </w:r>
    </w:p>
    <w:p>
      <w:pPr>
        <w:spacing w:before="240" w:after="240"/>
      </w:pPr>
      <w:r>
        <w:t xml:space="preserve">Au-delà des performances techniques, ce dispositif représente un enjeu majeur pour l'amélioration de la qualité de vie des patients épileptiques. La détection précoce des crises permet de :</w:t>
      </w:r>
    </w:p>
    <w:p>
      <w:pPr>
        <w:pStyle w:val="ListParagraph"/>
        <w:numPr>
          <w:ilvl w:val="0"/>
          <w:numId w:val="2"/>
        </w:numPr>
      </w:pPr>
      <w:r>
        <w:t xml:space="preserve">Réduire le risque de blessures et d'accidents</w:t>
      </w:r>
    </w:p>
    <w:p>
      <w:pPr>
        <w:pStyle w:val="ListParagraph"/>
        <w:numPr>
          <w:ilvl w:val="0"/>
          <w:numId w:val="2"/>
        </w:numPr>
      </w:pPr>
      <w:r>
        <w:t xml:space="preserve">Diminuer l'anxiété des patients et de leur entourage</w:t>
      </w:r>
    </w:p>
    <w:p>
      <w:pPr>
        <w:pStyle w:val="ListParagraph"/>
        <w:numPr>
          <w:ilvl w:val="0"/>
          <w:numId w:val="2"/>
        </w:numPr>
      </w:pPr>
      <w:r>
        <w:t xml:space="preserve">Favoriser l'autonomie et l'inclusion sociale</w:t>
      </w:r>
    </w:p>
    <w:p>
      <w:pPr>
        <w:pStyle w:val="ListParagraph"/>
        <w:numPr>
          <w:ilvl w:val="0"/>
          <w:numId w:val="2"/>
        </w:numPr>
      </w:pPr>
      <w:r>
        <w:t xml:space="preserve">Optimiser le suivi médical et les traitements</w:t>
      </w:r>
    </w:p>
    <w:p>
      <w:pPr>
        <w:spacing w:before="480"/>
      </w:pPr>
      <w:r>
        <w:rPr>
          <w:i/>
          <w:iCs/>
        </w:rPr>
        <w:t xml:space="preserve">Cependant, le chemin vers la commercialisation reste long et exige une validation clinique rigoureuse, le respect des normes médicales et réglementaires, ainsi qu'une collaboration étroite avec les professionnels de santé. Le prototype développé dans le cadre de ce projet constitue une première étape prometteuse vers un dispositif médical qui pourrait transformer la prise en charge de l'épilepsie.</w:t>
      </w:r>
    </w:p>
    <w:p>
      <w:pPr>
        <w:pageBreakBefore/>
      </w:pPr>
    </w:p>
    <w:p>
      <w:pPr>
        <w:pStyle w:val="Heading1"/>
      </w:pPr>
      <w:r>
        <w:t xml:space="preserve">Annexes</w:t>
      </w:r>
    </w:p>
    <w:p>
      <w:pPr>
        <w:pStyle w:val="Heading2"/>
      </w:pPr>
      <w:r>
        <w:t xml:space="preserve">A. Fichiers Techniques Générés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Fichier</w:t>
            </w:r>
          </w:p>
        </w:tc>
        <w:tc>
          <w:tcPr>
            <w:tcW w:type="dxa" w:w="624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epilepsy_data_prepared.npz</w:t>
            </w:r>
          </w:p>
        </w:tc>
        <w:tc>
          <w:tcPr>
            <w:tcW w:type="dxa" w:w="6240"/>
            <w:tcBorders>
              <w:top w:val="single" w:color="CCCCCC" w:sz="1"/>
              <w:left w:val="single" w:color="CCCCCC" w:sz="1"/>
              <w:bottom w:val="single" w:color="CCCCCC" w:sz="1"/>
              <w:right w:val="single" w:color="CCCCCC" w:sz="1"/>
            </w:tcBorders>
          </w:tcPr>
          <w:p>
            <w:r>
              <w:t xml:space="preserve">Données Train/Validation/Test normalisées et prêtes à l'emploi</w:t>
            </w:r>
          </w:p>
        </w:tc>
      </w:tr>
      <w:tr>
        <w:tc>
          <w:tcPr>
            <w:tcW w:type="dxa" w:w="3120"/>
            <w:tcBorders>
              <w:top w:val="single" w:color="CCCCCC" w:sz="1"/>
              <w:left w:val="single" w:color="CCCCCC" w:sz="1"/>
              <w:bottom w:val="single" w:color="CCCCCC" w:sz="1"/>
              <w:right w:val="single" w:color="CCCCCC" w:sz="1"/>
            </w:tcBorders>
          </w:tcPr>
          <w:p>
            <w:r>
              <w:rPr>
                <w:b/>
                <w:bCs/>
              </w:rPr>
              <w:t xml:space="preserve">scaler.pkl</w:t>
            </w:r>
          </w:p>
        </w:tc>
        <w:tc>
          <w:tcPr>
            <w:tcW w:type="dxa" w:w="6240"/>
            <w:tcBorders>
              <w:top w:val="single" w:color="CCCCCC" w:sz="1"/>
              <w:left w:val="single" w:color="CCCCCC" w:sz="1"/>
              <w:bottom w:val="single" w:color="CCCCCC" w:sz="1"/>
              <w:right w:val="single" w:color="CCCCCC" w:sz="1"/>
            </w:tcBorders>
          </w:tcPr>
          <w:p>
            <w:r>
              <w:t xml:space="preserve">Paramètres de normalisation pour déploiement</w:t>
            </w:r>
          </w:p>
        </w:tc>
      </w:tr>
      <w:tr>
        <w:tc>
          <w:tcPr>
            <w:tcW w:type="dxa" w:w="3120"/>
            <w:tcBorders>
              <w:top w:val="single" w:color="CCCCCC" w:sz="1"/>
              <w:left w:val="single" w:color="CCCCCC" w:sz="1"/>
              <w:bottom w:val="single" w:color="CCCCCC" w:sz="1"/>
              <w:right w:val="single" w:color="CCCCCC" w:sz="1"/>
            </w:tcBorders>
          </w:tcPr>
          <w:p>
            <w:r>
              <w:rPr>
                <w:b/>
                <w:bCs/>
              </w:rPr>
              <w:t xml:space="preserve">epilepsy_features.csv</w:t>
            </w:r>
          </w:p>
        </w:tc>
        <w:tc>
          <w:tcPr>
            <w:tcW w:type="dxa" w:w="6240"/>
            <w:tcBorders>
              <w:top w:val="single" w:color="CCCCCC" w:sz="1"/>
              <w:left w:val="single" w:color="CCCCCC" w:sz="1"/>
              <w:bottom w:val="single" w:color="CCCCCC" w:sz="1"/>
              <w:right w:val="single" w:color="CCCCCC" w:sz="1"/>
            </w:tcBorders>
          </w:tcPr>
          <w:p>
            <w:r>
              <w:t xml:space="preserve">Dataset avec features extraites pour analyse</w:t>
            </w:r>
          </w:p>
        </w:tc>
      </w:tr>
      <w:tr>
        <w:tc>
          <w:tcPr>
            <w:tcW w:type="dxa" w:w="3120"/>
            <w:tcBorders>
              <w:top w:val="single" w:color="CCCCCC" w:sz="1"/>
              <w:left w:val="single" w:color="CCCCCC" w:sz="1"/>
              <w:bottom w:val="single" w:color="CCCCCC" w:sz="1"/>
              <w:right w:val="single" w:color="CCCCCC" w:sz="1"/>
            </w:tcBorders>
          </w:tcPr>
          <w:p>
            <w:r>
              <w:rPr>
                <w:b/>
                <w:bCs/>
              </w:rPr>
              <w:t xml:space="preserve">epilepsy_model.h5</w:t>
            </w:r>
          </w:p>
        </w:tc>
        <w:tc>
          <w:tcPr>
            <w:tcW w:type="dxa" w:w="6240"/>
            <w:tcBorders>
              <w:top w:val="single" w:color="CCCCCC" w:sz="1"/>
              <w:left w:val="single" w:color="CCCCCC" w:sz="1"/>
              <w:bottom w:val="single" w:color="CCCCCC" w:sz="1"/>
              <w:right w:val="single" w:color="CCCCCC" w:sz="1"/>
            </w:tcBorders>
          </w:tcPr>
          <w:p>
            <w:r>
              <w:t xml:space="preserve">Modèle TensorFlow complet (59 KB)</w:t>
            </w:r>
          </w:p>
        </w:tc>
      </w:tr>
      <w:tr>
        <w:tc>
          <w:tcPr>
            <w:tcW w:type="dxa" w:w="3120"/>
            <w:tcBorders>
              <w:top w:val="single" w:color="CCCCCC" w:sz="1"/>
              <w:left w:val="single" w:color="CCCCCC" w:sz="1"/>
              <w:bottom w:val="single" w:color="CCCCCC" w:sz="1"/>
              <w:right w:val="single" w:color="CCCCCC" w:sz="1"/>
            </w:tcBorders>
          </w:tcPr>
          <w:p>
            <w:r>
              <w:rPr>
                <w:b/>
                <w:bCs/>
              </w:rPr>
              <w:t xml:space="preserve">epilepsy_model.tflite</w:t>
            </w:r>
          </w:p>
        </w:tc>
        <w:tc>
          <w:tcPr>
            <w:tcW w:type="dxa" w:w="6240"/>
            <w:tcBorders>
              <w:top w:val="single" w:color="CCCCCC" w:sz="1"/>
              <w:left w:val="single" w:color="CCCCCC" w:sz="1"/>
              <w:bottom w:val="single" w:color="CCCCCC" w:sz="1"/>
              <w:right w:val="single" w:color="CCCCCC" w:sz="1"/>
            </w:tcBorders>
          </w:tcPr>
          <w:p>
            <w:r>
              <w:t xml:space="preserve">Modèle TensorFlow Lite Float32 (61.38 KB)</w:t>
            </w:r>
          </w:p>
        </w:tc>
      </w:tr>
      <w:tr>
        <w:tc>
          <w:tcPr>
            <w:tcW w:type="dxa" w:w="3120"/>
            <w:tcBorders>
              <w:top w:val="single" w:color="CCCCCC" w:sz="1"/>
              <w:left w:val="single" w:color="CCCCCC" w:sz="1"/>
              <w:bottom w:val="single" w:color="CCCCCC" w:sz="1"/>
              <w:right w:val="single" w:color="CCCCCC" w:sz="1"/>
            </w:tcBorders>
            <w:shd w:fill="E8F5E9" w:val="clear"/>
          </w:tcPr>
          <w:p>
            <w:r>
              <w:rPr>
                <w:b/>
                <w:bCs/>
                <w:color w:val="008000"/>
              </w:rPr>
              <w:t xml:space="preserve">epilepsy_model_quantized.tflite</w:t>
            </w:r>
          </w:p>
        </w:tc>
        <w:tc>
          <w:tcPr>
            <w:tcW w:type="dxa" w:w="6240"/>
            <w:tcBorders>
              <w:top w:val="single" w:color="CCCCCC" w:sz="1"/>
              <w:left w:val="single" w:color="CCCCCC" w:sz="1"/>
              <w:bottom w:val="single" w:color="CCCCCC" w:sz="1"/>
              <w:right w:val="single" w:color="CCCCCC" w:sz="1"/>
            </w:tcBorders>
            <w:shd w:fill="E8F5E9" w:val="clear"/>
          </w:tcPr>
          <w:p>
            <w:r>
              <w:rPr>
                <w:b/>
                <w:bCs/>
              </w:rPr>
              <w:t xml:space="preserve">Modèle optimisé pour ESP32/Arduino (20.46 KB)</w:t>
            </w:r>
          </w:p>
        </w:tc>
      </w:tr>
      <w:tr>
        <w:tc>
          <w:tcPr>
            <w:tcW w:type="dxa" w:w="3120"/>
            <w:tcBorders>
              <w:top w:val="single" w:color="CCCCCC" w:sz="1"/>
              <w:left w:val="single" w:color="CCCCCC" w:sz="1"/>
              <w:bottom w:val="single" w:color="CCCCCC" w:sz="1"/>
              <w:right w:val="single" w:color="CCCCCC" w:sz="1"/>
            </w:tcBorders>
          </w:tcPr>
          <w:p>
            <w:r>
              <w:rPr>
                <w:b/>
                <w:bCs/>
              </w:rPr>
              <w:t xml:space="preserve">arduino_epilepsy_detector.cpp</w:t>
            </w:r>
          </w:p>
        </w:tc>
        <w:tc>
          <w:tcPr>
            <w:tcW w:type="dxa" w:w="6240"/>
            <w:tcBorders>
              <w:top w:val="single" w:color="CCCCCC" w:sz="1"/>
              <w:left w:val="single" w:color="CCCCCC" w:sz="1"/>
              <w:bottom w:val="single" w:color="CCCCCC" w:sz="1"/>
              <w:right w:val="single" w:color="CCCCCC" w:sz="1"/>
            </w:tcBorders>
          </w:tcPr>
          <w:p>
            <w:r>
              <w:t xml:space="preserve">Code Arduino/ESP32 pour déploiement</w:t>
            </w:r>
          </w:p>
        </w:tc>
      </w:tr>
      <w:tr>
        <w:tc>
          <w:tcPr>
            <w:tcW w:type="dxa" w:w="3120"/>
            <w:tcBorders>
              <w:top w:val="single" w:color="CCCCCC" w:sz="1"/>
              <w:left w:val="single" w:color="CCCCCC" w:sz="1"/>
              <w:bottom w:val="single" w:color="CCCCCC" w:sz="1"/>
              <w:right w:val="single" w:color="CCCCCC" w:sz="1"/>
            </w:tcBorders>
          </w:tcPr>
          <w:p>
            <w:r>
              <w:rPr>
                <w:b/>
                <w:bCs/>
              </w:rPr>
              <w:t xml:space="preserve">training_history.png</w:t>
            </w:r>
          </w:p>
        </w:tc>
        <w:tc>
          <w:tcPr>
            <w:tcW w:type="dxa" w:w="6240"/>
            <w:tcBorders>
              <w:top w:val="single" w:color="CCCCCC" w:sz="1"/>
              <w:left w:val="single" w:color="CCCCCC" w:sz="1"/>
              <w:bottom w:val="single" w:color="CCCCCC" w:sz="1"/>
              <w:right w:val="single" w:color="CCCCCC" w:sz="1"/>
            </w:tcBorders>
          </w:tcPr>
          <w:p>
            <w:r>
              <w:t xml:space="preserve">Graphiques d'entraînement (accuracy, loss, precision, recall)</w:t>
            </w:r>
          </w:p>
        </w:tc>
      </w:tr>
      <w:tr>
        <w:tc>
          <w:tcPr>
            <w:tcW w:type="dxa" w:w="3120"/>
            <w:tcBorders>
              <w:top w:val="single" w:color="CCCCCC" w:sz="1"/>
              <w:left w:val="single" w:color="CCCCCC" w:sz="1"/>
              <w:bottom w:val="single" w:color="CCCCCC" w:sz="1"/>
              <w:right w:val="single" w:color="CCCCCC" w:sz="1"/>
            </w:tcBorders>
          </w:tcPr>
          <w:p>
            <w:r>
              <w:rPr>
                <w:b/>
                <w:bCs/>
              </w:rPr>
              <w:t xml:space="preserve">model_size_comparison.png</w:t>
            </w:r>
          </w:p>
        </w:tc>
        <w:tc>
          <w:tcPr>
            <w:tcW w:type="dxa" w:w="6240"/>
            <w:tcBorders>
              <w:top w:val="single" w:color="CCCCCC" w:sz="1"/>
              <w:left w:val="single" w:color="CCCCCC" w:sz="1"/>
              <w:bottom w:val="single" w:color="CCCCCC" w:sz="1"/>
              <w:right w:val="single" w:color="CCCCCC" w:sz="1"/>
            </w:tcBorders>
          </w:tcPr>
          <w:p>
            <w:r>
              <w:t xml:space="preserve">Comparaison visuelle des tailles de modèle</w:t>
            </w:r>
          </w:p>
        </w:tc>
      </w:tr>
    </w:tbl>
    <w:p>
      <w:pPr>
        <w:pStyle w:val="Heading2"/>
      </w:pPr>
      <w:r>
        <w:t xml:space="preserve">B. Références</w:t>
      </w:r>
    </w:p>
    <w:p>
      <w:pPr>
        <w:pStyle w:val="ListParagraph"/>
        <w:numPr>
          <w:ilvl w:val="0"/>
          <w:numId w:val="3"/>
        </w:numPr>
      </w:pPr>
      <w:r>
        <w:t xml:space="preserve">Dataset : Epileptic Seizure Recognition (UCI Machine Learning Repository)</w:t>
      </w:r>
    </w:p>
    <w:p>
      <w:pPr>
        <w:pStyle w:val="ListParagraph"/>
        <w:numPr>
          <w:ilvl w:val="0"/>
          <w:numId w:val="3"/>
        </w:numPr>
      </w:pPr>
      <w:r>
        <w:t xml:space="preserve">TensorFlow Lite for Microcontrollers : https://www.tensorflow.org/lite/microcontrollers</w:t>
      </w:r>
    </w:p>
    <w:p>
      <w:pPr>
        <w:pStyle w:val="ListParagraph"/>
        <w:numPr>
          <w:ilvl w:val="0"/>
          <w:numId w:val="3"/>
        </w:numPr>
      </w:pPr>
      <w:r>
        <w:t xml:space="preserve">ESP32 Documentation : https://docs.espressif.com/</w:t>
      </w:r>
    </w:p>
    <w:p>
      <w:pPr>
        <w:pStyle w:val="ListParagraph"/>
        <w:numPr>
          <w:ilvl w:val="0"/>
          <w:numId w:val="3"/>
        </w:numPr>
      </w:pPr>
      <w:r>
        <w:t xml:space="preserve">Arduino Nano 33 BLE Sense : https://docs.arduino.cc/</w:t>
      </w:r>
    </w:p>
    <w:p>
      <w:pPr>
        <w:pStyle w:val="ListParagraph"/>
        <w:numPr>
          <w:ilvl w:val="0"/>
          <w:numId w:val="3"/>
        </w:numPr>
      </w:pPr>
      <w:r>
        <w:t xml:space="preserve">Règlement (UE) 2017/745 sur les dispositifs médicaux</w:t>
      </w:r>
    </w:p>
    <w:p>
      <w:pPr>
        <w:spacing w:before="480"/>
        <w:jc w:val="center"/>
      </w:pPr>
      <w:r>
        <w:rPr>
          <w:b/>
          <w:bCs/>
          <w:color w:val="1F4788"/>
          <w:sz w:val="32"/>
          <w:szCs w:val="32"/>
        </w:rPr>
        <w:t xml:space="preserve">---</w:t>
      </w:r>
    </w:p>
    <w:p>
      <w:pPr>
        <w:spacing w:before="240"/>
        <w:jc w:val="center"/>
      </w:pPr>
      <w:r>
        <w:rPr>
          <w:i/>
          <w:iCs/>
          <w:color w:val="666666"/>
          <w:sz w:val="20"/>
          <w:szCs w:val="20"/>
        </w:rPr>
        <w:t xml:space="preserve">Projet réalisé dans le cadre du cours d'IoT
ISIS Castres - Double diplôme Pharmacie/Ingénieur Informatique
Décembre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ISIS Castres - Double diplôme Pharmacie/Ingénieur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Projet IoT - Détection de crises épileptiques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2"/>
      <w:szCs w:val="52"/>
    </w:rPr>
  </w:style>
  <w:style w:type="paragraph" w:styleId="Heading1">
    <w:name w:val="Heading 1"/>
    <w:basedOn w:val="Normal"/>
    <w:next w:val="Normal"/>
    <w:qFormat/>
    <w:pPr>
      <w:spacing w:before="48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2025-12-10T08:59:50.745Z</dcterms:created>
  <dcterms:modified xsi:type="dcterms:W3CDTF">2025-12-10T08:59:50.746Z</dcterms:modified>
</cp:coreProperties>
</file>

<file path=docProps/custom.xml><?xml version="1.0" encoding="utf-8"?>
<Properties xmlns="http://schemas.openxmlformats.org/officeDocument/2006/custom-properties" xmlns:vt="http://schemas.openxmlformats.org/officeDocument/2006/docPropsVTypes"/>
</file>