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jc w:val="center"/>
      </w:pPr>
      <w:r>
        <w:drawing>
          <wp:inline distT="0" distB="0" distL="0" distR="0">
            <wp:extent cx="1238250" cy="1028700"/>
            <wp:effectExtent t="0" r="0" b="0" l="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028700"/>
                    </a:xfrm>
                    <a:prstGeom prst="rect">
                      <a:avLst/>
                    </a:prstGeom>
                  </pic:spPr>
                </pic:pic>
              </a:graphicData>
            </a:graphic>
          </wp:inline>
        </w:drawing>
      </w:r>
    </w:p>
    <w:p>
      <w:pPr>
        <w:spacing w:after="0" w:before="500"/>
        <w:jc w:val="center"/>
      </w:pPr>
      <w:r>
        <w:rPr>
          <w:b/>
          <w:bCs/>
          <w:color w:val="5A5A5A"/>
          <w:sz w:val="18"/>
          <w:szCs w:val="18"/>
        </w:rPr>
        <w:t xml:space="preserve">MAGÍSTER EN CIENCIA DE DATOS E INTELIGENCIA ARTIFICIAL</w:t>
      </w:r>
    </w:p>
    <w:p>
      <w:pPr>
        <w:spacing w:after="700" w:before="60"/>
        <w:jc w:val="center"/>
      </w:pPr>
      <w:r>
        <w:rPr>
          <w:i/>
          <w:iCs/>
          <w:color w:val="8C8C8C"/>
          <w:sz w:val="18"/>
          <w:szCs w:val="18"/>
        </w:rPr>
        <w:t xml:space="preserve">MCDI501: Estadística Computacional para la Toma de Decisiones</w:t>
      </w:r>
    </w:p>
    <w:p>
      <w:pPr>
        <w:spacing w:after="160" w:before="0"/>
        <w:jc w:val="center"/>
      </w:pPr>
      <w:r>
        <w:rPr>
          <w:b/>
          <w:bCs/>
          <w:color w:val="000000"/>
          <w:sz w:val="32"/>
          <w:szCs w:val="32"/>
        </w:rPr>
        <w:t xml:space="preserve">Evaluación Sumativa 2</w:t>
      </w:r>
    </w:p>
    <w:p>
      <w:pPr>
        <w:spacing w:after="700" w:before="0"/>
        <w:jc w:val="center"/>
      </w:pPr>
      <w:r>
        <w:rPr>
          <w:color w:val="000000"/>
          <w:sz w:val="26"/>
          <w:szCs w:val="26"/>
        </w:rPr>
        <w:t xml:space="preserve">Validación, Simulación y Métodos de Remuestreo</w:t>
      </w:r>
    </w:p>
    <w:p>
      <w:pPr>
        <w:spacing w:after="900" w:before="0"/>
        <w:jc w:val="center"/>
      </w:pPr>
      <w:r>
        <w:rPr>
          <w:i/>
          <w:iCs/>
          <w:color w:val="5A5A5A"/>
          <w:sz w:val="20"/>
          <w:szCs w:val="20"/>
        </w:rPr>
        <w:t xml:space="preserve">Informe técnico grupal · 20 %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600"/>
        <w:gridCol w:w="6472"/>
      </w:tblGrid>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Título del proyecto:</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Factores asociados al riesgo de enfermedad coronaria a 10 años</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Integrantes:</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Víctor Bravo Barrera, Nayadeth Garrido Ibáñez, Mauricio Cid</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Dataset:</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Framingham Heart Study (Kaggle)</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Docente:</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Jean Paul Maidana González</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Fecha:</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21/10/2026</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Repositorio GitHub:</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https://github.com/vbravo29/MCDI501-estadistica-computacional</w:t>
            </w:r>
          </w:p>
        </w:tc>
      </w:tr>
    </w:tbl>
    <w:p>
      <w:r>
        <w:br w:type="page"/>
      </w:r>
    </w:p>
    <w:p>
      <w:pPr>
        <w:spacing w:after="200"/>
      </w:pPr>
    </w:p>
    <w:p>
      <w:pPr>
        <w:pStyle w:val="TOCHeading"/>
      </w:pPr>
      <w:r>
        <w:t xml:space="preserve">Índice</w:t>
      </w:r>
    </w:p>
    <w:p>
      <w:pPr>
        <w:pStyle w:val="TOC1"/>
      </w:pPr>
      <w:r>
        <w:fldChar w:fldCharType="begin"/>
      </w:r>
      <w:r>
        <w:instrText xml:space="preserve"> TOC \o "1-2" \h \z \u </w:instrText>
      </w:r>
      <w:r>
        <w:fldChar w:fldCharType="separate"/>
      </w:r>
      <w:hyperlink w:anchor="_Toc000000201" w:history="1">
        <w:r>
          <w:t xml:space="preserve">1. Validación de los intervalos de confianza mediante bootstrap</w:t>
        </w:r>
        <w:r>
          <w:tab/>
        </w:r>
        <w:r>
          <w:fldChar w:fldCharType="begin"/>
        </w:r>
        <w:r>
          <w:instrText xml:space="preserve"> PAGEREF _Toc000000201 \h </w:instrText>
        </w:r>
        <w:r>
          <w:fldChar w:fldCharType="separate"/>
        </w:r>
        <w:r>
          <w:t>3</w:t>
        </w:r>
        <w:r>
          <w:fldChar w:fldCharType="end"/>
        </w:r>
      </w:hyperlink>
    </w:p>
    <w:p>
      <w:pPr>
        <w:pStyle w:val="TOC1"/>
      </w:pPr>
      <w:hyperlink w:anchor="_Toc000000202" w:history="1">
        <w:r>
          <w:t xml:space="preserve">2. Validación de las pruebas de hipótesis mediante permutación</w:t>
        </w:r>
        <w:r>
          <w:tab/>
        </w:r>
        <w:r>
          <w:fldChar w:fldCharType="begin"/>
        </w:r>
        <w:r>
          <w:instrText xml:space="preserve"> PAGEREF _Toc000000202 \h </w:instrText>
        </w:r>
        <w:r>
          <w:fldChar w:fldCharType="separate"/>
        </w:r>
        <w:r>
          <w:t>3</w:t>
        </w:r>
        <w:r>
          <w:fldChar w:fldCharType="end"/>
        </w:r>
      </w:hyperlink>
    </w:p>
    <w:p>
      <w:pPr>
        <w:pStyle w:val="TOC1"/>
      </w:pPr>
      <w:hyperlink w:anchor="_Toc000000203" w:history="1">
        <w:r>
          <w:t xml:space="preserve">3. Estabilidad de las correlaciones</w:t>
        </w:r>
        <w:r>
          <w:tab/>
        </w:r>
        <w:r>
          <w:fldChar w:fldCharType="begin"/>
        </w:r>
        <w:r>
          <w:instrText xml:space="preserve"> PAGEREF _Toc000000203 \h </w:instrText>
        </w:r>
        <w:r>
          <w:fldChar w:fldCharType="separate"/>
        </w:r>
        <w:r>
          <w:t>3</w:t>
        </w:r>
        <w:r>
          <w:fldChar w:fldCharType="end"/>
        </w:r>
      </w:hyperlink>
    </w:p>
    <w:p>
      <w:pPr>
        <w:pStyle w:val="TOC1"/>
      </w:pPr>
      <w:hyperlink w:anchor="_Toc000000204" w:history="1">
        <w:r>
          <w:t xml:space="preserve">4. Simulación Monte Carlo con los parámetros de la Sumativa 1</w:t>
        </w:r>
        <w:r>
          <w:tab/>
        </w:r>
        <w:r>
          <w:fldChar w:fldCharType="begin"/>
        </w:r>
        <w:r>
          <w:instrText xml:space="preserve"> PAGEREF _Toc000000204 \h </w:instrText>
        </w:r>
        <w:r>
          <w:fldChar w:fldCharType="separate"/>
        </w:r>
        <w:r>
          <w:t>3</w:t>
        </w:r>
        <w:r>
          <w:fldChar w:fldCharType="end"/>
        </w:r>
      </w:hyperlink>
    </w:p>
    <w:p>
      <w:pPr>
        <w:pStyle w:val="TOC2"/>
      </w:pPr>
      <w:hyperlink w:anchor="_Toc000000205" w:history="1">
        <w:r>
          <w:t xml:space="preserve">4.1 Diseño de los escenarios</w:t>
        </w:r>
        <w:r>
          <w:tab/>
        </w:r>
        <w:r>
          <w:fldChar w:fldCharType="begin"/>
        </w:r>
        <w:r>
          <w:instrText xml:space="preserve"> PAGEREF _Toc000000205 \h </w:instrText>
        </w:r>
        <w:r>
          <w:fldChar w:fldCharType="separate"/>
        </w:r>
        <w:r>
          <w:t>3</w:t>
        </w:r>
        <w:r>
          <w:fldChar w:fldCharType="end"/>
        </w:r>
      </w:hyperlink>
    </w:p>
    <w:p>
      <w:pPr>
        <w:pStyle w:val="TOC2"/>
      </w:pPr>
      <w:hyperlink w:anchor="_Toc000000206" w:history="1">
        <w:r>
          <w:t xml:space="preserve">4.2 Resultados de los escenarios</w:t>
        </w:r>
        <w:r>
          <w:tab/>
        </w:r>
        <w:r>
          <w:fldChar w:fldCharType="begin"/>
        </w:r>
        <w:r>
          <w:instrText xml:space="preserve"> PAGEREF _Toc000000206 \h </w:instrText>
        </w:r>
        <w:r>
          <w:fldChar w:fldCharType="separate"/>
        </w:r>
        <w:r>
          <w:t>3</w:t>
        </w:r>
        <w:r>
          <w:fldChar w:fldCharType="end"/>
        </w:r>
      </w:hyperlink>
    </w:p>
    <w:p>
      <w:pPr>
        <w:pStyle w:val="TOC2"/>
      </w:pPr>
      <w:hyperlink w:anchor="_Toc000000207" w:history="1">
        <w:r>
          <w:t xml:space="preserve">4.3 Convergencia y sensibilidad</w:t>
        </w:r>
        <w:r>
          <w:tab/>
        </w:r>
        <w:r>
          <w:fldChar w:fldCharType="begin"/>
        </w:r>
        <w:r>
          <w:instrText xml:space="preserve"> PAGEREF _Toc000000207 \h </w:instrText>
        </w:r>
        <w:r>
          <w:fldChar w:fldCharType="separate"/>
        </w:r>
        <w:r>
          <w:t>4</w:t>
        </w:r>
        <w:r>
          <w:fldChar w:fldCharType="end"/>
        </w:r>
      </w:hyperlink>
    </w:p>
    <w:p>
      <w:pPr>
        <w:pStyle w:val="TOC1"/>
      </w:pPr>
      <w:hyperlink w:anchor="_Toc000000208" w:history="1">
        <w:r>
          <w:t xml:space="preserve">5. Análisis de robustez</w:t>
        </w:r>
        <w:r>
          <w:tab/>
        </w:r>
        <w:r>
          <w:fldChar w:fldCharType="begin"/>
        </w:r>
        <w:r>
          <w:instrText xml:space="preserve"> PAGEREF _Toc000000208 \h </w:instrText>
        </w:r>
        <w:r>
          <w:fldChar w:fldCharType="separate"/>
        </w:r>
        <w:r>
          <w:t>5</w:t>
        </w:r>
        <w:r>
          <w:fldChar w:fldCharType="end"/>
        </w:r>
      </w:hyperlink>
    </w:p>
    <w:p>
      <w:pPr>
        <w:pStyle w:val="TOC1"/>
      </w:pPr>
      <w:hyperlink w:anchor="_Toc000000209" w:history="1">
        <w:r>
          <w:t xml:space="preserve">6. Preparación para la Sumativa 3</w:t>
        </w:r>
        <w:r>
          <w:tab/>
        </w:r>
        <w:r>
          <w:fldChar w:fldCharType="begin"/>
        </w:r>
        <w:r>
          <w:instrText xml:space="preserve"> PAGEREF _Toc000000209 \h </w:instrText>
        </w:r>
        <w:r>
          <w:fldChar w:fldCharType="separate"/>
        </w:r>
        <w:r>
          <w:t>5</w:t>
        </w:r>
        <w:r>
          <w:fldChar w:fldCharType="end"/>
        </w:r>
      </w:hyperlink>
    </w:p>
    <w:p>
      <w:pPr>
        <w:pStyle w:val="TOC2"/>
      </w:pPr>
      <w:hyperlink w:anchor="_Toc000000210" w:history="1">
        <w:r>
          <w:t xml:space="preserve">6.1 Resultados validados</w:t>
        </w:r>
        <w:r>
          <w:tab/>
        </w:r>
        <w:r>
          <w:fldChar w:fldCharType="begin"/>
        </w:r>
        <w:r>
          <w:instrText xml:space="preserve"> PAGEREF _Toc000000210 \h </w:instrText>
        </w:r>
        <w:r>
          <w:fldChar w:fldCharType="separate"/>
        </w:r>
        <w:r>
          <w:t>5</w:t>
        </w:r>
        <w:r>
          <w:fldChar w:fldCharType="end"/>
        </w:r>
      </w:hyperlink>
    </w:p>
    <w:p>
      <w:pPr>
        <w:pStyle w:val="TOC2"/>
      </w:pPr>
      <w:hyperlink w:anchor="_Toc000000211" w:history="1">
        <w:r>
          <w:t xml:space="preserve">6.2 Recomendaciones metodológicas</w:t>
        </w:r>
        <w:r>
          <w:tab/>
        </w:r>
        <w:r>
          <w:fldChar w:fldCharType="begin"/>
        </w:r>
        <w:r>
          <w:instrText xml:space="preserve"> PAGEREF _Toc000000211 \h </w:instrText>
        </w:r>
        <w:r>
          <w:fldChar w:fldCharType="separate"/>
        </w:r>
        <w:r>
          <w:t>5</w:t>
        </w:r>
        <w:r>
          <w:fldChar w:fldCharType="end"/>
        </w:r>
      </w:hyperlink>
    </w:p>
    <w:p>
      <w:pPr>
        <w:pStyle w:val="TOC1"/>
      </w:pPr>
      <w:hyperlink w:anchor="_Toc000000212" w:history="1">
        <w:r>
          <w:t xml:space="preserve">7. Bibliografía (APA 7)</w:t>
        </w:r>
        <w:r>
          <w:tab/>
        </w:r>
        <w:r>
          <w:fldChar w:fldCharType="begin"/>
        </w:r>
        <w:r>
          <w:instrText xml:space="preserve"> PAGEREF _Toc000000212 \h </w:instrText>
        </w:r>
        <w:r>
          <w:fldChar w:fldCharType="separate"/>
        </w:r>
        <w:r>
          <w:t>5</w:t>
        </w:r>
        <w:r>
          <w:fldChar w:fldCharType="end"/>
        </w:r>
      </w:hyperlink>
      <w:r>
        <w:fldChar w:fldCharType="end"/>
      </w:r>
    </w:p>
    <w:p>
      <w:r>
        <w:br w:type="page"/>
      </w:r>
    </w:p>
    <w:p>
      <w:pPr>
        <w:pStyle w:val="Heading1"/>
      </w:pPr>
      <w:bookmarkStart w:id="201" w:name="_Toc000000201"/>
      <w:r>
        <w:t xml:space="preserve">Validación de los intervalos de confianza mediante bootstrap</w:t>
      </w:r>
      <w:bookmarkEnd w:id="201"/>
    </w:p>
    <w:p>
      <w:pPr>
        <w:pStyle w:val="CuerpoInforme"/>
      </w:pPr>
      <w:r>
        <w:rPr>
          <w:highlight w:val="yellow"/>
        </w:rPr>
        <w:t xml:space="preserve">[Bloque A] Completar esta sección (máx. 1,5 páginas).</w:t>
      </w:r>
    </w:p>
    <w:p>
      <w:pPr>
        <w:pStyle w:val="Heading1"/>
      </w:pPr>
      <w:bookmarkStart w:id="202" w:name="_Toc000000202"/>
      <w:r>
        <w:t xml:space="preserve">Validación de las pruebas de hipótesis mediante permutación</w:t>
      </w:r>
      <w:bookmarkEnd w:id="202"/>
    </w:p>
    <w:p>
      <w:pPr>
        <w:pStyle w:val="CuerpoInforme"/>
      </w:pPr>
      <w:r>
        <w:rPr>
          <w:highlight w:val="yellow"/>
        </w:rPr>
        <w:t xml:space="preserve">[Bloque B] Completar esta sección (máx. 1 página).</w:t>
      </w:r>
    </w:p>
    <w:p>
      <w:pPr>
        <w:pStyle w:val="Heading1"/>
      </w:pPr>
      <w:bookmarkStart w:id="203" w:name="_Toc000000203"/>
      <w:r>
        <w:t xml:space="preserve">Estabilidad de las correlaciones</w:t>
      </w:r>
      <w:bookmarkEnd w:id="203"/>
    </w:p>
    <w:p>
      <w:pPr>
        <w:pStyle w:val="CuerpoInforme"/>
      </w:pPr>
      <w:r>
        <w:rPr>
          <w:highlight w:val="yellow"/>
        </w:rPr>
        <w:t xml:space="preserve">[Bloque A] Completar esta sección (máx. 0,5 páginas).</w:t>
      </w:r>
    </w:p>
    <w:p>
      <w:pPr>
        <w:pStyle w:val="Heading1"/>
      </w:pPr>
      <w:bookmarkStart w:id="204" w:name="_Toc000000204"/>
      <w:r>
        <w:t xml:space="preserve">Simulación Monte Carlo con los parámetros de la Sumativa 1</w:t>
      </w:r>
      <w:bookmarkEnd w:id="204"/>
    </w:p>
    <w:p>
      <w:pPr>
        <w:pStyle w:val="CuerpoInforme"/>
      </w:pPr>
      <w:r>
        <w:t xml:space="preserve">Se diseñaron dos simulaciones de 10.000 iteraciones que usan solo parámetros estimados en la Sumativa 1 (S1): un escenario de decisión sobre el control de la hipertensión y otro con datos sintéticos, que evalúa si la prueba de Welch aplicada en la S1 es confiable.</w:t>
      </w:r>
    </w:p>
    <w:p>
      <w:pPr>
        <w:pStyle w:val="Heading2"/>
      </w:pPr>
      <w:bookmarkStart w:id="205" w:name="_Toc000000205"/>
      <w:r>
        <w:t xml:space="preserve">Diseño de los escenarios</w:t>
      </w:r>
      <w:bookmarkEnd w:id="205"/>
    </w:p>
    <w:p>
      <w:pPr>
        <w:pStyle w:val="CuerpoInforme"/>
      </w:pPr>
      <w:r>
        <w:rPr>
          <w:b/>
          <w:bCs/>
        </w:rPr>
        <w:t xml:space="preserve">Escenario A: programa de control de la hipertensión.</w:t>
      </w:r>
      <w:r>
        <w:t xml:space="preserve"> En la S1, la hipertensión fue uno de los factores más claramente asociados con la CHD (24,7 % frente a 10,9 %) y, a diferencia de la edad o el sexo, es modificable. Se simuló una cohorte de 1.000 personas con la prevalencia de hipertensión de la muestra (31,1 %) y un programa que controla al 20 %, 40 % o 60 % de los hipertensos. Se supuso que los hipertensos controlados pasan a tener la tasa de CHD de los no hipertensos. En cada iteración, el número de hipertensos, de controlados y de casos de CHD se obtiene de distribuciones binomiales. Las situaciones con y sin programa usan los mismos números aleatorios para los controlados, de modo que la diferencia entre ambas refleja solo el efecto del programa (Robert y Casella, 2004).</w:t>
      </w:r>
    </w:p>
    <w:p>
      <w:pPr>
        <w:pStyle w:val="CuerpoInforme"/>
      </w:pPr>
      <w:r>
        <w:t xml:space="preserve">Este supuesto es optimista: la asociación observada en la S1 es bivariada y en parte se explica por la edad, por lo que los casos evitados deben leerse como un límite superior del beneficio. Además, para incorporar la incertidumbre de la estimación, se repitió la simulación extrayendo en cada iteración la prevalencia y las tasas de una distribución normal centrada en su valor de la S1, con su error estándar.</w:t>
      </w:r>
    </w:p>
    <w:p>
      <w:pPr>
        <w:pStyle w:val="CuerpoInforme"/>
      </w:pPr>
      <w:r>
        <w:rPr>
          <w:b/>
          <w:bCs/>
        </w:rPr>
        <w:t xml:space="preserve">Escenario B: datos sintéticos de presión sistólica.</w:t>
      </w:r>
      <w:r>
        <w:t xml:space="preserve"> Como la presión sistólica es asimétrica (coeficiente de 1,06 sin CHD y 1,00 con CHD), en la S1 la prueba de Welch se justificó por el Teorema Central del Límite. Para comprobar ese supuesto, se generaron muestras de una distribución lognormal desplazada que reproduce la media, la desviación estándar y la asimetría de cada grupo. Con ellas se midieron la cobertura del IC 95 % de Welch y la potencia de la prueba, tanto con el tamaño muestral de la S1 como con muestras más pequeñas, manteniendo un 15,2 % de personas con CHD.</w:t>
      </w:r>
    </w:p>
    <w:p>
      <w:pPr>
        <w:pStyle w:val="Heading2"/>
      </w:pPr>
      <w:bookmarkStart w:id="206" w:name="_Toc000000206"/>
      <w:r>
        <w:t xml:space="preserve">Resultados de los escenarios</w:t>
      </w:r>
      <w:bookmarkEnd w:id="206"/>
    </w:p>
    <w:p>
      <w:pPr>
        <w:pStyle w:val="CuerpoInforme"/>
      </w:pPr>
      <w:r>
        <w:t xml:space="preserve">El escenario A es coherente con los datos reales: sin programa se esperan 151,7 casos por 1.000 personas (15,17 %), prácticamente igual a la tasa observada en la S1 (15,19 %; IC 95 %: 14,14 a 16,30). Los casos evitados aumentan en proporción a la cobertura del programa (Tabla 5 y Figura 5). Con 40 % de hipertensos controlados se evitan en promedio 17,1 casos (IC 95 %: 10 a 26), lo que equivale a controlar unos 7 hipertensos por caso evitado. Con 20 % de cobertura el beneficio es incierto, ya que solo el 35 % de las cohortes evita 10 casos o más. Incorporar la incertidumbre de los parámetros casi no cambia el resultado (la desviación estándar pasa de 4,1 a 4,5 casos): con más de 4.000 observaciones, la variabilidad se debe sobre todo al azar entre personas.</w:t>
      </w:r>
    </w:p>
    <w:p>
      <w:pPr>
        <w:pStyle w:val="Caption"/>
        <w:keepNext/>
      </w:pPr>
      <w:r>
        <w:rPr>
          <w:b/>
          <w:bCs/>
        </w:rPr>
        <w:t xml:space="preserve">Tabla 5.</w:t>
      </w:r>
      <w:r>
        <w:t xml:space="preserve"> Escenario A: casos de CHD a 10 años por 1.000 personas según la cobertura del programa (10.000 cohortes simuladas).</w:t>
      </w:r>
    </w:p>
    <w:tbl>
      <w:tblPr>
        <w:tblW w:w="9072" w:type="dxa"/>
        <w:jc w:val="center"/>
        <w:tblBorders>
          <w:top w:val="single" w:sz="8" w:space="0" w:color="000000"/>
          <w:bottom w:val="single" w:sz="8" w:space="0" w:color="000000"/>
        </w:tblBorders>
        <w:tblLayout w:type="fixed"/>
        <w:tblCellMar>
          <w:top w:w="30" w:type="dxa"/>
          <w:left w:w="70" w:type="dxa"/>
          <w:bottom w:w="30" w:type="dxa"/>
          <w:right w:w="70" w:type="dxa"/>
        </w:tblCellMar>
      </w:tblPr>
      <w:tblGrid>
        <w:gridCol w:w="1700"/>
        <w:gridCol w:w="1400"/>
        <w:gridCol w:w="1400"/>
        <w:gridCol w:w="1800"/>
        <w:gridCol w:w="1400"/>
        <w:gridCol w:w="1372"/>
      </w:tblGrid>
      <w:tr>
        <w:trPr>
          <w:cantSplit/>
          <w:tblHeader/>
        </w:trPr>
        <w:tc>
          <w:tcPr>
            <w:tcW w:w="1700" w:type="dxa"/>
            <w:tcBorders>
              <w:bottom w:val="single" w:sz="4" w:space="0" w:color="000000"/>
            </w:tcBorders>
            <w:vAlign w:val="center"/>
          </w:tcPr>
          <w:p>
            <w:pPr>
              <w:pStyle w:val="TablaInforme"/>
              <w:jc w:val="left"/>
            </w:pPr>
            <w:r>
              <w:rPr>
                <w:b/>
                <w:bCs/>
              </w:rPr>
              <w:t xml:space="preserve">Hipertensos controlados</w:t>
            </w:r>
          </w:p>
        </w:tc>
        <w:tc>
          <w:tcPr>
            <w:tcW w:w="1400" w:type="dxa"/>
            <w:tcBorders>
              <w:bottom w:val="single" w:sz="4" w:space="0" w:color="000000"/>
            </w:tcBorders>
            <w:vAlign w:val="center"/>
          </w:tcPr>
          <w:p>
            <w:pPr>
              <w:pStyle w:val="TablaInforme"/>
              <w:jc w:val="center"/>
            </w:pPr>
            <w:r>
              <w:rPr>
                <w:b/>
                <w:bCs/>
              </w:rPr>
              <w:t xml:space="preserve">Casos sin programa</w:t>
            </w:r>
          </w:p>
        </w:tc>
        <w:tc>
          <w:tcPr>
            <w:tcW w:w="1400" w:type="dxa"/>
            <w:tcBorders>
              <w:bottom w:val="single" w:sz="4" w:space="0" w:color="000000"/>
            </w:tcBorders>
            <w:vAlign w:val="center"/>
          </w:tcPr>
          <w:p>
            <w:pPr>
              <w:pStyle w:val="TablaInforme"/>
              <w:jc w:val="center"/>
            </w:pPr>
            <w:r>
              <w:rPr>
                <w:b/>
                <w:bCs/>
              </w:rPr>
              <w:t xml:space="preserve">Casos con programa</w:t>
            </w:r>
          </w:p>
        </w:tc>
        <w:tc>
          <w:tcPr>
            <w:tcW w:w="1800" w:type="dxa"/>
            <w:tcBorders>
              <w:bottom w:val="single" w:sz="4" w:space="0" w:color="000000"/>
            </w:tcBorders>
            <w:vAlign w:val="center"/>
          </w:tcPr>
          <w:p>
            <w:pPr>
              <w:pStyle w:val="TablaInforme"/>
              <w:jc w:val="center"/>
            </w:pPr>
            <w:r>
              <w:rPr>
                <w:b/>
                <w:bCs/>
              </w:rPr>
              <w:t xml:space="preserve">Casos evitados [IC 95 %]</w:t>
            </w:r>
          </w:p>
        </w:tc>
        <w:tc>
          <w:tcPr>
            <w:tcW w:w="1400" w:type="dxa"/>
            <w:tcBorders>
              <w:bottom w:val="single" w:sz="4" w:space="0" w:color="000000"/>
            </w:tcBorders>
            <w:vAlign w:val="center"/>
          </w:tcPr>
          <w:p>
            <w:pPr>
              <w:pStyle w:val="TablaInforme"/>
              <w:jc w:val="center"/>
            </w:pPr>
            <w:r>
              <w:rPr>
                <w:b/>
                <w:bCs/>
              </w:rPr>
              <w:t xml:space="preserve">Reducción de casos</w:t>
            </w:r>
          </w:p>
        </w:tc>
        <w:tc>
          <w:tcPr>
            <w:tcW w:w="1372" w:type="dxa"/>
            <w:tcBorders>
              <w:bottom w:val="single" w:sz="4" w:space="0" w:color="000000"/>
            </w:tcBorders>
            <w:vAlign w:val="center"/>
          </w:tcPr>
          <w:p>
            <w:pPr>
              <w:pStyle w:val="TablaInforme"/>
              <w:jc w:val="center"/>
            </w:pPr>
            <w:r>
              <w:rPr>
                <w:b/>
                <w:bCs/>
              </w:rPr>
              <w:t xml:space="preserve">Prob. de evitar ≥ 10</w:t>
            </w:r>
          </w:p>
        </w:tc>
      </w:tr>
      <w:tr>
        <w:trPr>
          <w:cantSplit/>
        </w:trPr>
        <w:tc>
          <w:tcPr>
            <w:tcW w:w="1700" w:type="dxa"/>
            <w:vAlign w:val="center"/>
          </w:tcPr>
          <w:p>
            <w:pPr>
              <w:pStyle w:val="TablaInforme"/>
              <w:jc w:val="left"/>
            </w:pPr>
            <w:r>
              <w:t xml:space="preserve">20 %</w:t>
            </w:r>
          </w:p>
        </w:tc>
        <w:tc>
          <w:tcPr>
            <w:tcW w:w="1400" w:type="dxa"/>
            <w:vAlign w:val="center"/>
          </w:tcPr>
          <w:p>
            <w:pPr>
              <w:pStyle w:val="TablaInforme"/>
              <w:jc w:val="center"/>
            </w:pPr>
            <w:r>
              <w:t xml:space="preserve">151,7</w:t>
            </w:r>
          </w:p>
        </w:tc>
        <w:tc>
          <w:tcPr>
            <w:tcW w:w="1400" w:type="dxa"/>
            <w:vAlign w:val="center"/>
          </w:tcPr>
          <w:p>
            <w:pPr>
              <w:pStyle w:val="TablaInforme"/>
              <w:jc w:val="center"/>
            </w:pPr>
            <w:r>
              <w:t xml:space="preserve">143,2</w:t>
            </w:r>
          </w:p>
        </w:tc>
        <w:tc>
          <w:tcPr>
            <w:tcW w:w="1800" w:type="dxa"/>
            <w:vAlign w:val="center"/>
          </w:tcPr>
          <w:p>
            <w:pPr>
              <w:pStyle w:val="TablaInforme"/>
              <w:jc w:val="center"/>
            </w:pPr>
            <w:r>
              <w:t xml:space="preserve">8,5 [3; 15]</w:t>
            </w:r>
          </w:p>
        </w:tc>
        <w:tc>
          <w:tcPr>
            <w:tcW w:w="1400" w:type="dxa"/>
            <w:vAlign w:val="center"/>
          </w:tcPr>
          <w:p>
            <w:pPr>
              <w:pStyle w:val="TablaInforme"/>
              <w:jc w:val="center"/>
            </w:pPr>
            <w:r>
              <w:t xml:space="preserve">5,6 %</w:t>
            </w:r>
          </w:p>
        </w:tc>
        <w:tc>
          <w:tcPr>
            <w:tcW w:w="1372" w:type="dxa"/>
            <w:vAlign w:val="center"/>
          </w:tcPr>
          <w:p>
            <w:pPr>
              <w:pStyle w:val="TablaInforme"/>
              <w:jc w:val="center"/>
            </w:pPr>
            <w:r>
              <w:t xml:space="preserve">0,35</w:t>
            </w:r>
          </w:p>
        </w:tc>
      </w:tr>
      <w:tr>
        <w:trPr>
          <w:cantSplit/>
        </w:trPr>
        <w:tc>
          <w:tcPr>
            <w:tcW w:w="1700" w:type="dxa"/>
            <w:vAlign w:val="center"/>
          </w:tcPr>
          <w:p>
            <w:pPr>
              <w:pStyle w:val="TablaInforme"/>
              <w:jc w:val="left"/>
            </w:pPr>
            <w:r>
              <w:t xml:space="preserve">40 %</w:t>
            </w:r>
          </w:p>
        </w:tc>
        <w:tc>
          <w:tcPr>
            <w:tcW w:w="1400" w:type="dxa"/>
            <w:vAlign w:val="center"/>
          </w:tcPr>
          <w:p>
            <w:pPr>
              <w:pStyle w:val="TablaInforme"/>
              <w:jc w:val="center"/>
            </w:pPr>
            <w:r>
              <w:t xml:space="preserve">151,7</w:t>
            </w:r>
          </w:p>
        </w:tc>
        <w:tc>
          <w:tcPr>
            <w:tcW w:w="1400" w:type="dxa"/>
            <w:vAlign w:val="center"/>
          </w:tcPr>
          <w:p>
            <w:pPr>
              <w:pStyle w:val="TablaInforme"/>
              <w:jc w:val="center"/>
            </w:pPr>
            <w:r>
              <w:t xml:space="preserve">134,6</w:t>
            </w:r>
          </w:p>
        </w:tc>
        <w:tc>
          <w:tcPr>
            <w:tcW w:w="1800" w:type="dxa"/>
            <w:vAlign w:val="center"/>
          </w:tcPr>
          <w:p>
            <w:pPr>
              <w:pStyle w:val="TablaInforme"/>
              <w:jc w:val="center"/>
            </w:pPr>
            <w:r>
              <w:t xml:space="preserve">17,1 [10; 26]</w:t>
            </w:r>
          </w:p>
        </w:tc>
        <w:tc>
          <w:tcPr>
            <w:tcW w:w="1400" w:type="dxa"/>
            <w:vAlign w:val="center"/>
          </w:tcPr>
          <w:p>
            <w:pPr>
              <w:pStyle w:val="TablaInforme"/>
              <w:jc w:val="center"/>
            </w:pPr>
            <w:r>
              <w:t xml:space="preserve">11,3 %</w:t>
            </w:r>
          </w:p>
        </w:tc>
        <w:tc>
          <w:tcPr>
            <w:tcW w:w="1372" w:type="dxa"/>
            <w:vAlign w:val="center"/>
          </w:tcPr>
          <w:p>
            <w:pPr>
              <w:pStyle w:val="TablaInforme"/>
              <w:jc w:val="center"/>
            </w:pPr>
            <w:r>
              <w:t xml:space="preserve">0,98</w:t>
            </w:r>
          </w:p>
        </w:tc>
      </w:tr>
      <w:tr>
        <w:trPr>
          <w:cantSplit/>
        </w:trPr>
        <w:tc>
          <w:tcPr>
            <w:tcW w:w="1700" w:type="dxa"/>
            <w:vAlign w:val="center"/>
          </w:tcPr>
          <w:p>
            <w:pPr>
              <w:pStyle w:val="TablaInforme"/>
              <w:jc w:val="left"/>
            </w:pPr>
            <w:r>
              <w:t xml:space="preserve">60 %</w:t>
            </w:r>
          </w:p>
        </w:tc>
        <w:tc>
          <w:tcPr>
            <w:tcW w:w="1400" w:type="dxa"/>
            <w:vAlign w:val="center"/>
          </w:tcPr>
          <w:p>
            <w:pPr>
              <w:pStyle w:val="TablaInforme"/>
              <w:jc w:val="center"/>
            </w:pPr>
            <w:r>
              <w:t xml:space="preserve">151,9</w:t>
            </w:r>
          </w:p>
        </w:tc>
        <w:tc>
          <w:tcPr>
            <w:tcW w:w="1400" w:type="dxa"/>
            <w:vAlign w:val="center"/>
          </w:tcPr>
          <w:p>
            <w:pPr>
              <w:pStyle w:val="TablaInforme"/>
              <w:jc w:val="center"/>
            </w:pPr>
            <w:r>
              <w:t xml:space="preserve">126,2</w:t>
            </w:r>
          </w:p>
        </w:tc>
        <w:tc>
          <w:tcPr>
            <w:tcW w:w="1800" w:type="dxa"/>
            <w:vAlign w:val="center"/>
          </w:tcPr>
          <w:p>
            <w:pPr>
              <w:pStyle w:val="TablaInforme"/>
              <w:jc w:val="center"/>
            </w:pPr>
            <w:r>
              <w:t xml:space="preserve">25,7 [16; 36]</w:t>
            </w:r>
          </w:p>
        </w:tc>
        <w:tc>
          <w:tcPr>
            <w:tcW w:w="1400" w:type="dxa"/>
            <w:vAlign w:val="center"/>
          </w:tcPr>
          <w:p>
            <w:pPr>
              <w:pStyle w:val="TablaInforme"/>
              <w:jc w:val="center"/>
            </w:pPr>
            <w:r>
              <w:t xml:space="preserve">16,9 %</w:t>
            </w:r>
          </w:p>
        </w:tc>
        <w:tc>
          <w:tcPr>
            <w:tcW w:w="1372" w:type="dxa"/>
            <w:vAlign w:val="center"/>
          </w:tcPr>
          <w:p>
            <w:pPr>
              <w:pStyle w:val="TablaInforme"/>
              <w:jc w:val="center"/>
            </w:pPr>
            <w:r>
              <w:t xml:space="preserve">1,00</w:t>
            </w:r>
          </w:p>
        </w:tc>
      </w:tr>
    </w:tbl>
    <w:p>
      <w:pPr>
        <w:pStyle w:val="Espacio"/>
      </w:pPr>
    </w:p>
    <w:p>
      <w:pPr>
        <w:pStyle w:val="Figura"/>
        <w:keepNext/>
      </w:pPr>
      <w:r>
        <w:drawing>
          <wp:inline distT="0" distB="0" distL="0" distR="0">
            <wp:extent cx="5580000" cy="2002017"/>
            <wp:effectExtent l="0" t="0" r="0" b="0"/>
            <wp:docPr id="301" name="Figura 301" descr="Casos de CHD por cohorte con y sin programa y casos evitados según co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fig1_escenario_programa.png"/>
                    <pic:cNvPicPr>
                      <a:picLocks noChangeAspect="1"/>
                    </pic:cNvPicPr>
                  </pic:nvPicPr>
                  <pic:blipFill>
                    <a:blip r:embed="rId301"/>
                    <a:stretch>
                      <a:fillRect/>
                    </a:stretch>
                  </pic:blipFill>
                  <pic:spPr>
                    <a:xfrm>
                      <a:off x="0" y="0"/>
                      <a:ext cx="5580000" cy="2002017"/>
                    </a:xfrm>
                    <a:prstGeom prst="rect">
                      <a:avLst/>
                    </a:prstGeom>
                  </pic:spPr>
                </pic:pic>
              </a:graphicData>
            </a:graphic>
          </wp:inline>
        </w:drawing>
      </w:r>
    </w:p>
    <w:p>
      <w:pPr>
        <w:pStyle w:val="Caption"/>
      </w:pPr>
      <w:r>
        <w:rPr>
          <w:b/>
          <w:bCs/>
        </w:rPr>
        <w:t xml:space="preserve">Figura 5.</w:t>
      </w:r>
      <w:r>
        <w:t xml:space="preserve"> Escenario A: casos de CHD por cohorte con y sin programa (izquierda) y casos evitados según la cobertura del programa (derecha).</w:t>
      </w:r>
    </w:p>
    <w:p>
      <w:pPr>
        <w:pStyle w:val="CuerpoInforme"/>
      </w:pPr>
      <w:r>
        <w:t xml:space="preserve">En el escenario B, los datos sintéticos reproducen la media, la desviación estándar y la asimetría de ambos grupos. Con el tamaño muestral de la S1, el IC de Welch cubre la diferencia verdadera en el 95,1 % de las réplicas (error estándar Monte Carlo de 0,2 puntos porcentuales) y la prueba detecta la diferencia en todas ellas (Figura 6), por lo que la conclusión de la S1 no depende del supuesto de normalidad. En cambio, la cobertura baja a 92,7 % con 33 personas y la potencia cae a 52 % con 132. Por ello, no conviene sacar conclusiones en subgrupos pequeños, como diabetes (n = 109) o ACV previo (n = 25).</w:t>
      </w:r>
    </w:p>
    <w:p>
      <w:pPr>
        <w:pStyle w:val="Figura"/>
        <w:keepNext/>
      </w:pPr>
      <w:r>
        <w:drawing>
          <wp:inline distT="0" distB="0" distL="0" distR="0">
            <wp:extent cx="5400000" cy="1866159"/>
            <wp:effectExtent l="0" t="0" r="0" b="0"/>
            <wp:docPr id="302" name="Figura 302" descr="Cobertura del IC 95 % de Welch y potencia según el tamaño mues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fig3_cobertura_potencia.png"/>
                    <pic:cNvPicPr>
                      <a:picLocks noChangeAspect="1"/>
                    </pic:cNvPicPr>
                  </pic:nvPicPr>
                  <pic:blipFill>
                    <a:blip r:embed="rId302"/>
                    <a:stretch>
                      <a:fillRect/>
                    </a:stretch>
                  </pic:blipFill>
                  <pic:spPr>
                    <a:xfrm>
                      <a:off x="0" y="0"/>
                      <a:ext cx="5400000" cy="1866159"/>
                    </a:xfrm>
                    <a:prstGeom prst="rect">
                      <a:avLst/>
                    </a:prstGeom>
                  </pic:spPr>
                </pic:pic>
              </a:graphicData>
            </a:graphic>
          </wp:inline>
        </w:drawing>
      </w:r>
    </w:p>
    <w:p>
      <w:pPr>
        <w:pStyle w:val="Caption"/>
      </w:pPr>
      <w:r>
        <w:rPr>
          <w:b/>
          <w:bCs/>
        </w:rPr>
        <w:t xml:space="preserve">Figura 6.</w:t>
      </w:r>
      <w:r>
        <w:t xml:space="preserve"> Escenario B: cobertura del IC 95 % de Welch (izquierda) y potencia de la prueba (derecha) según el tamaño muestral, con datos sintéticos asimétricos.</w:t>
      </w:r>
    </w:p>
    <w:p>
      <w:pPr>
        <w:pStyle w:val="Heading2"/>
      </w:pPr>
      <w:bookmarkStart w:id="207" w:name="_Toc000000207"/>
      <w:r>
        <w:t xml:space="preserve">Convergencia y sensibilidad</w:t>
      </w:r>
      <w:bookmarkEnd w:id="207"/>
    </w:p>
    <w:p>
      <w:pPr>
        <w:pStyle w:val="CuerpoInforme"/>
      </w:pPr>
      <w:r>
        <w:t xml:space="preserve">La media de casos evitados pasó de 15,95 con 100 iteraciones a 17,09 con 1.000 y 17,08 con 10.000, con un error estándar Monte Carlo final de 0,04 casos, y la cobertura del escenario B terminó en 95,08 % con un error de 0,22 puntos porcentuales. Con 10.000 iteraciones el error de simulación es despreciable frente a la variabilidad del fenómeno (las curvas de convergencia se encuentran en el notebook, sección 4.5).</w:t>
      </w:r>
    </w:p>
    <w:p>
      <w:pPr>
        <w:pStyle w:val="CuerpoInforme"/>
      </w:pPr>
      <w:r>
        <w:t xml:space="preserve">En el análisis de sensibilidad se varió cada parámetro dentro de su IC 95 % de la S1. El resultado depende sobre todo de la tasa de CHD de los hipertensos (14,3 a 20,1 casos evitados), seguida de la tasa de los no hipertensos (15,6 a 18,5) y, en menor medida, de la prevalencia (16,4 a 17,9). Como los casos evitados son proporcionales a la diferencia entre ambas tasas, el resultado descansa en un parámetro que proviene de una comparación bivariada. Por eso, en la Sumativa 3 conviene estimarlo ajustado por edad.</w:t>
      </w:r>
    </w:p>
    <w:p>
      <w:pPr>
        <w:pStyle w:val="Heading1"/>
      </w:pPr>
      <w:bookmarkStart w:id="208" w:name="_Toc000000208"/>
      <w:r>
        <w:t xml:space="preserve">Análisis de robustez</w:t>
      </w:r>
      <w:bookmarkEnd w:id="208"/>
    </w:p>
    <w:p>
      <w:pPr>
        <w:pStyle w:val="CuerpoInforme"/>
      </w:pPr>
      <w:r>
        <w:rPr>
          <w:highlight w:val="yellow"/>
        </w:rPr>
        <w:t xml:space="preserve">[Bloque B] Completar esta sección (máx. 1 página).</w:t>
      </w:r>
    </w:p>
    <w:p>
      <w:pPr>
        <w:pStyle w:val="Heading1"/>
      </w:pPr>
      <w:bookmarkStart w:id="209" w:name="_Toc000000209"/>
      <w:r>
        <w:t xml:space="preserve">Preparación para la Sumativa 3</w:t>
      </w:r>
      <w:bookmarkEnd w:id="209"/>
    </w:p>
    <w:p>
      <w:pPr>
        <w:pStyle w:val="Heading2"/>
      </w:pPr>
      <w:bookmarkStart w:id="210" w:name="_Toc000000210"/>
      <w:r>
        <w:t xml:space="preserve">Resultados validados</w:t>
      </w:r>
      <w:bookmarkEnd w:id="210"/>
    </w:p>
    <w:p>
      <w:pPr>
        <w:pStyle w:val="CuerpoInforme"/>
      </w:pPr>
      <w:r>
        <w:rPr>
          <w:highlight w:val="yellow"/>
        </w:rPr>
        <w:t xml:space="preserve">[Bloque C] Completar con la tabla de resultados validados.</w:t>
      </w:r>
    </w:p>
    <w:p>
      <w:pPr>
        <w:pStyle w:val="Heading2"/>
      </w:pPr>
      <w:bookmarkStart w:id="211" w:name="_Toc000000211"/>
      <w:r>
        <w:t xml:space="preserve">Recomendaciones metodológicas</w:t>
      </w:r>
      <w:bookmarkEnd w:id="211"/>
    </w:p>
    <w:p>
      <w:pPr>
        <w:pStyle w:val="CuerpoInforme"/>
      </w:pPr>
      <w:r>
        <w:t xml:space="preserve">A partir de esta validación y de la retroalimentación recibida en la S1, se proponen las siguientes decisiones para la etapa de modelamiento:</w:t>
      </w:r>
    </w:p>
    <w:p>
      <w:pPr>
        <w:pStyle w:val="CuerpoInforme"/>
        <w:numPr>
          <w:ilvl w:val="0"/>
          <w:numId w:val="20"/>
        </w:numPr>
        <w:spacing w:after="40"/>
      </w:pPr>
      <w:r>
        <w:t xml:space="preserve">Evaluar los modelos con métricas para la clase minoritaria (sensibilidad, precisión, F1 y AUC-PR), porque solo el 15,2 % de los participantes desarrolló CHD.</w:t>
      </w:r>
    </w:p>
    <w:p>
      <w:pPr>
        <w:pStyle w:val="CuerpoInforme"/>
        <w:numPr>
          <w:ilvl w:val="0"/>
          <w:numId w:val="20"/>
        </w:numPr>
        <w:spacing w:after="40"/>
      </w:pPr>
      <w:r>
        <w:t xml:space="preserve">Imputar la glucosa dentro de cada partición de validación, ajustando la imputación solo con los datos de entrenamiento, para evitar fuga de información.</w:t>
      </w:r>
    </w:p>
    <w:p>
      <w:pPr>
        <w:pStyle w:val="CuerpoInforme"/>
        <w:numPr>
          <w:ilvl w:val="0"/>
          <w:numId w:val="20"/>
        </w:numPr>
        <w:spacing w:after="40"/>
      </w:pPr>
      <w:r>
        <w:t xml:space="preserve">Incluir solo una de las dos presiones (sistólica o diastólica), porque están fuertemente correlacionadas (ρ = 0,78).</w:t>
      </w:r>
    </w:p>
    <w:p>
      <w:pPr>
        <w:pStyle w:val="CuerpoInforme"/>
      </w:pPr>
      <w:r>
        <w:rPr>
          <w:highlight w:val="yellow"/>
        </w:rPr>
        <w:t xml:space="preserve">[Bloque C] Indicar qué presión se mantiene y por qué.</w:t>
      </w:r>
    </w:p>
    <w:p>
      <w:pPr>
        <w:pStyle w:val="CuerpoInforme"/>
        <w:numPr>
          <w:ilvl w:val="0"/>
          <w:numId w:val="20"/>
        </w:numPr>
        <w:spacing w:after="40"/>
      </w:pPr>
      <w:r>
        <w:t xml:space="preserve">Estimar el efecto de la hipertensión y del tabaquismo ajustado por edad mediante regresión logística múltiple, porque el resultado de la simulación depende de ese efecto y en la S1 se observó confusión por edad.</w:t>
      </w:r>
    </w:p>
    <w:p>
      <w:pPr>
        <w:pStyle w:val="CuerpoInforme"/>
        <w:numPr>
          <w:ilvl w:val="0"/>
          <w:numId w:val="20"/>
        </w:numPr>
        <w:spacing w:after="40"/>
      </w:pPr>
      <w:r>
        <w:t xml:space="preserve">Evitar conclusiones en subgrupos pequeños, como diabetes (n = 109) o ACV previo (n = 25), donde la simulación indica una potencia inferior al 55 %.</w:t>
      </w:r>
    </w:p>
    <w:p>
      <w:pPr>
        <w:pStyle w:val="CuerpoInforme"/>
      </w:pPr>
      <w:r>
        <w:t xml:space="preserve">El notebook S2/notebook.ipynb reúne las cinco partes del análisis en el orden de este informe, genera todas las tablas y figuras, y fija la semilla 42 para asegurar la reproducibilidad. El repositorio incluye las carpetas S1 y S2 y el archivo de resultados validados S2/resultados_validados.md, que servirá de base para la Sumativa 3: https://github.com/vbravo29/MCDI501-estadistica-computacional.</w:t>
      </w:r>
    </w:p>
    <w:p>
      <w:pPr>
        <w:pStyle w:val="Heading1"/>
      </w:pPr>
      <w:bookmarkStart w:id="212" w:name="_Toc000000212"/>
      <w:r>
        <w:t xml:space="preserve">Bibliografía (APA 7)</w:t>
      </w:r>
      <w:bookmarkEnd w:id="212"/>
    </w:p>
    <w:p>
      <w:pPr>
        <w:pStyle w:val="Bibliografia"/>
      </w:pPr>
      <w:r>
        <w:t xml:space="preserve">Dawber, T. R., Meadors, G. F., &amp; Moore, F. E., Jr. (1951). Epidemiological approaches to heart disease: The Framingham Study. </w:t>
      </w:r>
      <w:r>
        <w:rPr>
          <w:i/>
          <w:iCs/>
        </w:rPr>
        <w:t xml:space="preserve">American Journal of Public Health and the Nation's Health, 41</w:t>
      </w:r>
      <w:r>
        <w:t xml:space="preserve">(3), 279–286. https://doi.org/10.2105/AJPH.41.3.279</w:t>
      </w:r>
    </w:p>
    <w:p>
      <w:pPr>
        <w:pStyle w:val="Bibliografia"/>
      </w:pPr>
      <w:r>
        <w:t xml:space="preserve">dileep070. (s. f.). </w:t>
      </w:r>
      <w:r>
        <w:rPr>
          <w:i/>
          <w:iCs/>
        </w:rPr>
        <w:t xml:space="preserve">Heart disease prediction using logistic regression</w:t>
      </w:r>
      <w:r>
        <w:t xml:space="preserve"> [Conjunto de datos]. Kaggle. https://www.kaggle.com/datasets/dileep070/heart-disease-prediction-using-logistic-regression</w:t>
      </w:r>
    </w:p>
    <w:p>
      <w:pPr>
        <w:pStyle w:val="Bibliografia"/>
      </w:pPr>
      <w:r>
        <w:t xml:space="preserve">Efron, B. (1987). Better bootstrap confidence intervals. </w:t>
      </w:r>
      <w:r>
        <w:rPr>
          <w:i/>
          <w:iCs/>
        </w:rPr>
        <w:t xml:space="preserve">Journal of the American Statistical Association, 82</w:t>
      </w:r>
      <w:r>
        <w:t xml:space="preserve">(397), 171–185. https://doi.org/10.1080/01621459.1987.10478410</w:t>
      </w:r>
    </w:p>
    <w:p>
      <w:pPr>
        <w:pStyle w:val="Bibliografia"/>
      </w:pPr>
      <w:r>
        <w:t xml:space="preserve">Efron, B., &amp; Tibshirani, R. J. (1993). </w:t>
      </w:r>
      <w:r>
        <w:rPr>
          <w:i/>
          <w:iCs/>
        </w:rPr>
        <w:t xml:space="preserve">An introduction to the bootstrap</w:t>
      </w:r>
      <w:r>
        <w:t xml:space="preserve">. Chapman &amp; Hall.</w:t>
      </w:r>
    </w:p>
    <w:p>
      <w:pPr>
        <w:pStyle w:val="Bibliografia"/>
      </w:pPr>
      <w:r>
        <w:t xml:space="preserve">Good, P. I. (2005). </w:t>
      </w:r>
      <w:r>
        <w:rPr>
          <w:i/>
          <w:iCs/>
        </w:rPr>
        <w:t xml:space="preserve">Permutation, parametric, and bootstrap tests of hypotheses</w:t>
      </w:r>
      <w:r>
        <w:t xml:space="preserve"> (3.ª ed.). Springer.</w:t>
      </w:r>
    </w:p>
    <w:p>
      <w:pPr>
        <w:pStyle w:val="Bibliografia"/>
      </w:pPr>
      <w:r>
        <w:t xml:space="preserve">Robert, C. P., &amp; Casella, G. (2004). </w:t>
      </w:r>
      <w:r>
        <w:rPr>
          <w:i/>
          <w:iCs/>
        </w:rPr>
        <w:t xml:space="preserve">Monte Carlo statistical methods</w:t>
      </w:r>
      <w:r>
        <w:t xml:space="preserve"> (2.ª ed.). Springer.</w:t>
      </w:r>
    </w:p>
    <w:p>
      <w:pPr>
        <w:pStyle w:val="Bibliografia"/>
      </w:pPr>
      <w:r>
        <w:t xml:space="preserve">Virtanen, P., Gommers, R., Oliphant, T. E., Haberland, M., Reddy, T., Cournapeau, D., … SciPy 1.0 Contributors. (2020). SciPy 1.0: Fundamental algorithms for scientific computing in Python. </w:t>
      </w:r>
      <w:r>
        <w:rPr>
          <w:i/>
          <w:iCs/>
        </w:rPr>
        <w:t xml:space="preserve">Nature Methods, 17</w:t>
      </w:r>
      <w:r>
        <w:t xml:space="preserve">(3), 261–272. https://doi.org/10.1038/s41592-019-0686-2</w:t>
      </w:r>
    </w:p>
    <w:p>
      <w:pPr>
        <w:pStyle w:val="Bibliografia"/>
      </w:pPr>
      <w:r>
        <w:t xml:space="preserve">Welch, B. L. (1947). The generalization of “Student's” problem when several different population variances are involved. </w:t>
      </w:r>
      <w:r>
        <w:rPr>
          <w:i/>
          <w:iCs/>
        </w:rPr>
        <w:t xml:space="preserve">Biometrika, 34</w:t>
      </w:r>
      <w:r>
        <w:t xml:space="preserve">(1–2), 28–35. https://doi.org/10.1093/biomet/34.1-2.28</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tabs>
        <w:tab w:val="right" w:pos="9026"/>
      </w:tabs>
    </w:pPr>
    <w:r>
      <w:rPr>
        <w:color w:val="5A5A5A"/>
        <w:sz w:val="16"/>
        <w:szCs w:val="16"/>
      </w:rPr>
      <w:t xml:space="preserve">Magíster en Ciencia de Datos e Inteligencia Artificial</w:t>
    </w:r>
    <w:r>
      <w:t xml:space="preserv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1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abstractNum>
  <w:abstractNum w:abstractNumId="20">
    <w:multiLevelType w:val="hybridMultilevel"/>
    <w:lvl w:ilvl="0">
      <w:start w:val="1"/>
      <w:numFmt w:val="bullet"/>
      <w:lvlText w:val="•"/>
      <w:lvlJc w:val="left"/>
      <w:pPr>
        <w:ind w:left="567" w:hanging="283"/>
      </w:pPr>
      <w:rPr>
        <w:rFonts w:ascii="Calibri" w:cs="Calibri" w:eastAsia="Calibri" w:hAnsi="Calibri"/>
      </w:rPr>
    </w:lvl>
  </w:abstractNum>
  <w:num w:numId="1">
    <w:abstractNumId w:val="1"/>
    <w:lvlOverride w:ilvl="0">
      <w:startOverride w:val="1"/>
    </w:lvlOverride>
  </w:num>
  <w:num w:numId="10">
    <w:abstractNumId w:val="10"/>
  </w:num>
  <w:num w:numId="20">
    <w:abstractNumId w:val="2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numPr>
        <w:ilvl w:val="0"/>
        <w:numId w:val="10"/>
      </w:numPr>
      <w:spacing w:after="160" w:before="360"/>
      <w:outlineLvl w:val="0"/>
    </w:pPr>
    <w:rPr>
      <w:rFonts w:ascii="Calibri" w:cs="Calibri" w:eastAsia="Calibri" w:hAnsi="Calibri"/>
      <w:b/>
      <w:bCs/>
      <w:color w:val="000000"/>
      <w:sz w:val="28"/>
      <w:szCs w:val="28"/>
    </w:rPr>
  </w:style>
  <w:style w:type="paragraph" w:styleId="Heading2">
    <w:name w:val="Heading 2"/>
    <w:basedOn w:val="Normal"/>
    <w:next w:val="Normal"/>
    <w:qFormat/>
    <w:pPr>
      <w:keepNext/>
      <w:keepLines/>
      <w:numPr>
        <w:ilvl w:val="1"/>
        <w:numId w:val="10"/>
      </w:numPr>
      <w:spacing w:after="120" w:before="260"/>
      <w:outlineLvl w:val="1"/>
    </w:pPr>
    <w:rPr>
      <w:rFonts w:ascii="Calibri" w:cs="Calibri" w:eastAsia="Calibri" w:hAnsi="Calibri"/>
      <w:b/>
      <w:bCs/>
      <w:color w:val="000000"/>
      <w:sz w:val="24"/>
      <w:szCs w:val="24"/>
    </w:rPr>
  </w:style>
  <w:style w:type="paragraph" w:default="1" w:styleId="Normal">
    <w:name w:val="Normal"/>
    <w:qFormat/>
  </w:style>
  <w:style w:type="paragraph" w:customStyle="1" w:styleId="CuerpoInforme">
    <w:name w:val="Cuerpo informe"/>
    <w:basedOn w:val="Normal"/>
    <w:qFormat/>
    <w:pPr>
      <w:spacing w:after="100" w:line="252" w:lineRule="auto"/>
      <w:jc w:val="both"/>
    </w:pPr>
    <w:rPr>
      <w:rFonts w:ascii="Calibri" w:cs="Calibri" w:eastAsia="Calibri" w:hAnsi="Calibri"/>
      <w:sz w:val="22"/>
      <w:szCs w:val="22"/>
    </w:rPr>
  </w:style>
  <w:style w:type="paragraph" w:customStyle="1" w:styleId="TablaInforme">
    <w:name w:val="Tabla informe"/>
    <w:basedOn w:val="Normal"/>
    <w:qFormat/>
    <w:pPr>
      <w:spacing w:after="0" w:line="240" w:lineRule="auto"/>
    </w:pPr>
    <w:rPr>
      <w:rFonts w:ascii="Calibri" w:cs="Calibri" w:eastAsia="Calibri" w:hAnsi="Calibri"/>
      <w:sz w:val="18"/>
      <w:szCs w:val="18"/>
    </w:rPr>
  </w:style>
  <w:style w:type="paragraph" w:customStyle="1" w:styleId="Figura">
    <w:name w:val="Figura informe"/>
    <w:basedOn w:val="Normal"/>
    <w:qFormat/>
    <w:pPr>
      <w:spacing w:before="120" w:after="60"/>
      <w:jc w:val="center"/>
    </w:pPr>
  </w:style>
  <w:style w:type="paragraph" w:customStyle="1" w:styleId="Espacio">
    <w:name w:val="Espacio tras tabla"/>
    <w:basedOn w:val="Normal"/>
    <w:pPr>
      <w:spacing w:after="0" w:line="120" w:lineRule="exact"/>
    </w:pPr>
    <w:rPr>
      <w:sz w:val="12"/>
      <w:szCs w:val="12"/>
    </w:rPr>
  </w:style>
  <w:style w:type="paragraph" w:customStyle="1" w:styleId="Bibliografia">
    <w:name w:val="Bibliografía informe"/>
    <w:basedOn w:val="Normal"/>
    <w:qFormat/>
    <w:pPr>
      <w:spacing w:after="60" w:line="240" w:lineRule="auto"/>
      <w:ind w:left="567" w:hanging="567"/>
    </w:pPr>
    <w:rPr>
      <w:rFonts w:ascii="Calibri" w:cs="Calibri" w:eastAsia="Calibri" w:hAnsi="Calibri"/>
      <w:sz w:val="20"/>
      <w:szCs w:val="20"/>
    </w:rPr>
  </w:style>
  <w:style w:type="paragraph" w:styleId="Caption">
    <w:name w:val="caption"/>
    <w:basedOn w:val="Normal"/>
    <w:next w:val="CuerpoInforme"/>
    <w:qFormat/>
    <w:pPr>
      <w:spacing w:before="60" w:after="200"/>
      <w:jc w:val="center"/>
    </w:pPr>
    <w:rPr>
      <w:rFonts w:ascii="Calibri" w:cs="Calibri" w:eastAsia="Calibri" w:hAnsi="Calibri"/>
      <w:color w:val="404040"/>
      <w:sz w:val="18"/>
      <w:szCs w:val="18"/>
    </w:rPr>
  </w:style>
  <w:style w:type="paragraph" w:styleId="TOCHeading">
    <w:name w:val="TOC Heading"/>
    <w:basedOn w:val="Normal"/>
    <w:next w:val="Normal"/>
    <w:uiPriority w:val="39"/>
    <w:unhideWhenUsed/>
    <w:qFormat/>
    <w:pPr>
      <w:keepNext/>
      <w:spacing w:before="360" w:after="160"/>
      <w:outlineLvl w:val="9"/>
    </w:pPr>
    <w:rPr>
      <w:rFonts w:ascii="Calibri" w:cs="Calibri" w:eastAsia="Calibri" w:hAnsi="Calibri"/>
      <w:b/>
      <w:bCs/>
      <w:color w:val="000000"/>
      <w:sz w:val="28"/>
      <w:szCs w:val="28"/>
    </w:rPr>
  </w:style>
  <w:style w:type="paragraph" w:styleId="TOC1">
    <w:name w:val="toc 1"/>
    <w:basedOn w:val="Normal"/>
    <w:next w:val="Normal"/>
    <w:uiPriority w:val="39"/>
    <w:unhideWhenUsed/>
    <w:pPr>
      <w:tabs>
        <w:tab w:val="right" w:leader="dot" w:pos="9062"/>
      </w:tabs>
      <w:spacing w:before="120" w:after="40"/>
    </w:pPr>
    <w:rPr>
      <w:rFonts w:ascii="Calibri" w:cs="Calibri" w:eastAsia="Calibri" w:hAnsi="Calibri"/>
      <w:b/>
      <w:bCs/>
      <w:sz w:val="22"/>
      <w:szCs w:val="22"/>
    </w:rPr>
  </w:style>
  <w:style w:type="paragraph" w:styleId="TOC2">
    <w:name w:val="toc 2"/>
    <w:basedOn w:val="Normal"/>
    <w:next w:val="Normal"/>
    <w:uiPriority w:val="39"/>
    <w:unhideWhenUsed/>
    <w:pPr>
      <w:tabs>
        <w:tab w:val="right" w:leader="dot" w:pos="9062"/>
      </w:tabs>
      <w:spacing w:after="40"/>
      <w:ind w:left="440"/>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ba9d4b85755b26c34cf374a1252d3d51c5da297.png"/><Relationship Id="rId9" Type="http://schemas.openxmlformats.org/officeDocument/2006/relationships/fontTable" Target="fontTable.xml"/><Relationship Id="rId301" Type="http://schemas.openxmlformats.org/officeDocument/2006/relationships/image" Target="media/p4_fig1_escenario_programa.png"/><Relationship Id="rId302" Type="http://schemas.openxmlformats.org/officeDocument/2006/relationships/image" Target="media/p4_fig3_cobertura_potenci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Sumativa 2</dc:title>
  <dc:creator>Grupo MCDI501</dc:creator>
  <cp:lastModifiedBy>Grupo MCDI501</cp:lastModifiedBy>
  <cp:revision>1</cp:revision>
  <dcterms:created xsi:type="dcterms:W3CDTF">2026-10-13T20:30:00Z</dcterms:created>
  <dcterms:modified xsi:type="dcterms:W3CDTF">2026-10-13T22:50:00Z</dcterms:modified>
</cp:coreProperties>
</file>

<file path=docProps/custom.xml><?xml version="1.0" encoding="utf-8"?>
<Properties xmlns="http://schemas.openxmlformats.org/officeDocument/2006/custom-properties" xmlns:vt="http://schemas.openxmlformats.org/officeDocument/2006/docPropsVTypes"/>
</file>