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drawing>
          <wp:inline distT="0" distB="0" distL="0" distR="0">
            <wp:extent cx="1238250" cy="1028700"/>
            <wp:effectExtent t="0" r="0" b="0" l="0"/>
            <wp:docPr id="1" name="Logo UNAB" descr="Logo institucional" title="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028700"/>
                    </a:xfrm>
                    <a:prstGeom prst="rect">
                      <a:avLst/>
                    </a:prstGeom>
                  </pic:spPr>
                </pic:pic>
              </a:graphicData>
            </a:graphic>
          </wp:inline>
        </w:drawing>
      </w:r>
    </w:p>
    <w:p>
      <w:pPr>
        <w:spacing w:after="0" w:before="500"/>
        <w:jc w:val="center"/>
      </w:pPr>
      <w:r>
        <w:rPr>
          <w:b/>
          <w:bCs/>
          <w:color w:val="5A5A5A"/>
          <w:sz w:val="18"/>
          <w:szCs w:val="18"/>
        </w:rPr>
        <w:t xml:space="preserve">MAGÍSTER EN CIENCIA DE DATOS E INTELIGENCIA ARTIFICIAL</w:t>
      </w:r>
    </w:p>
    <w:p>
      <w:pPr>
        <w:spacing w:after="700" w:before="60"/>
        <w:jc w:val="center"/>
      </w:pPr>
      <w:r>
        <w:rPr>
          <w:i/>
          <w:iCs/>
          <w:color w:val="8C8C8C"/>
          <w:sz w:val="18"/>
          <w:szCs w:val="18"/>
        </w:rPr>
        <w:t xml:space="preserve">MCDI501: Estadística Computacional para la Toma de Decisiones</w:t>
      </w:r>
    </w:p>
    <w:p>
      <w:pPr>
        <w:spacing w:after="160" w:before="0"/>
        <w:jc w:val="center"/>
      </w:pPr>
      <w:r>
        <w:rPr>
          <w:b/>
          <w:bCs/>
          <w:color w:val="000000"/>
          <w:sz w:val="32"/>
          <w:szCs w:val="32"/>
        </w:rPr>
        <w:t xml:space="preserve">Evaluación Sumativa 1</w:t>
      </w:r>
    </w:p>
    <w:p>
      <w:pPr>
        <w:spacing w:after="700" w:before="0"/>
        <w:jc w:val="center"/>
      </w:pPr>
      <w:r>
        <w:rPr>
          <w:color w:val="000000"/>
          <w:sz w:val="26"/>
          <w:szCs w:val="26"/>
        </w:rPr>
        <w:t xml:space="preserve">Análisis Exploratorio e Inferencial</w:t>
      </w:r>
    </w:p>
    <w:p>
      <w:pPr>
        <w:spacing w:after="900" w:before="0"/>
        <w:jc w:val="center"/>
      </w:pPr>
      <w:r>
        <w:rPr>
          <w:i/>
          <w:iCs/>
          <w:color w:val="5A5A5A"/>
          <w:sz w:val="20"/>
          <w:szCs w:val="20"/>
        </w:rPr>
        <w:t xml:space="preserve">Informe técnico grupal · 20 %</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600"/>
        <w:gridCol w:w="6472"/>
      </w:tblGrid>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Título del proyecto:</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Factores asociados al riesgo de enfermedad coronaria a 10 años</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Integrantes:</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Víctor Bravo Barrera, Nayadeth Garrido Ibáñez, Mauricio Cid</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Dataset:</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Framingham Heart Study (Kaggle)</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Docente:</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Jean Paul Maidana González</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Fecha:</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14/10/2026</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sz w:val="20"/>
                <w:szCs w:val="20"/>
              </w:rPr>
              <w:t xml:space="preserve">Repositorio GitHub:</w:t>
            </w:r>
          </w:p>
        </w:tc>
        <w:tc>
          <w:tcPr>
            <w:tcW w:type="dxa" w:w="6472"/>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https://github.com/vbravo29/MCDI501-estadistica-computacional</w:t>
            </w:r>
          </w:p>
        </w:tc>
      </w:tr>
    </w:tbl>
    <w:p>
      <w:r>
        <w:br w:type="page"/>
      </w:r>
    </w:p>
    <w:p>
      <w:pPr>
        <w:spacing w:after="200"/>
      </w:pPr>
    </w:p>
    <w:p>
      <w:pPr>
        <w:pStyle w:val="TOCHeading"/>
      </w:pPr>
      <w:r>
        <w:t xml:space="preserve">Índice</w:t>
      </w:r>
    </w:p>
    <w:sdt>
      <w:sdtPr>
        <w:alias w:val="Índice"/>
        <w:docPartObj>
          <w:docPartGallery w:val="Table of Contents"/>
          <w:docPartUnique/>
        </w:docPartObj>
      </w:sdtPr>
      <w:sdtContent>
        <w:p>
          <w:pPr>
            <w:pStyle w:val="TOC1"/>
          </w:pPr>
          <w:r>
            <w:fldChar w:fldCharType="begin"/>
          </w:r>
          <w:r>
            <w:instrText xml:space="preserve"> TOC \o "1-2" \h \z \u </w:instrText>
          </w:r>
          <w:r>
            <w:fldChar w:fldCharType="separate"/>
          </w:r>
          <w:hyperlink w:anchor="_Toc000000105" w:history="1">
            <w:r>
              <w:t xml:space="preserve">1. Preparación y carga de datos</w:t>
            </w:r>
            <w:r>
              <w:tab/>
            </w:r>
            <w:r>
              <w:fldChar w:fldCharType="begin"/>
            </w:r>
            <w:r>
              <w:instrText xml:space="preserve"> PAGEREF _Toc000000105 \h </w:instrText>
            </w:r>
            <w:r>
              <w:fldChar w:fldCharType="separate"/>
            </w:r>
            <w:r>
              <w:t>3</w:t>
            </w:r>
            <w:r>
              <w:fldChar w:fldCharType="end"/>
            </w:r>
          </w:hyperlink>
        </w:p>
        <w:p>
          <w:pPr>
            <w:pStyle w:val="TOC1"/>
          </w:pPr>
          <w:hyperlink w:anchor="_Toc000000106" w:history="1">
            <w:r>
              <w:t xml:space="preserve">2. Análisis exploratorio de datos</w:t>
            </w:r>
            <w:r>
              <w:tab/>
            </w:r>
            <w:r>
              <w:fldChar w:fldCharType="begin"/>
            </w:r>
            <w:r>
              <w:instrText xml:space="preserve"> PAGEREF _Toc000000106 \h </w:instrText>
            </w:r>
            <w:r>
              <w:fldChar w:fldCharType="separate"/>
            </w:r>
            <w:r>
              <w:t>3</w:t>
            </w:r>
            <w:r>
              <w:fldChar w:fldCharType="end"/>
            </w:r>
          </w:hyperlink>
        </w:p>
        <w:p>
          <w:pPr>
            <w:pStyle w:val="TOC2"/>
          </w:pPr>
          <w:hyperlink w:anchor="_Toc000000101" w:history="1">
            <w:r>
              <w:t xml:space="preserve">2.1 Estadística descriptiva</w:t>
            </w:r>
            <w:r>
              <w:tab/>
            </w:r>
            <w:r>
              <w:fldChar w:fldCharType="begin"/>
            </w:r>
            <w:r>
              <w:instrText xml:space="preserve"> PAGEREF _Toc000000101 \h </w:instrText>
            </w:r>
            <w:r>
              <w:fldChar w:fldCharType="separate"/>
            </w:r>
            <w:r>
              <w:t>3</w:t>
            </w:r>
            <w:r>
              <w:fldChar w:fldCharType="end"/>
            </w:r>
          </w:hyperlink>
        </w:p>
        <w:p>
          <w:pPr>
            <w:pStyle w:val="TOC2"/>
          </w:pPr>
          <w:hyperlink w:anchor="_Toc000000102" w:history="1">
            <w:r>
              <w:t xml:space="preserve">2.2 Análisis bivariado</w:t>
            </w:r>
            <w:r>
              <w:tab/>
            </w:r>
            <w:r>
              <w:fldChar w:fldCharType="begin"/>
            </w:r>
            <w:r>
              <w:instrText xml:space="preserve"> PAGEREF _Toc000000102 \h </w:instrText>
            </w:r>
            <w:r>
              <w:fldChar w:fldCharType="separate"/>
            </w:r>
            <w:r>
              <w:t>4</w:t>
            </w:r>
            <w:r>
              <w:fldChar w:fldCharType="end"/>
            </w:r>
          </w:hyperlink>
        </w:p>
        <w:p>
          <w:pPr>
            <w:pStyle w:val="TOC1"/>
          </w:pPr>
          <w:hyperlink w:anchor="_Toc000000107" w:history="1">
            <w:r>
              <w:t xml:space="preserve">3. Estimación de parámetros</w:t>
            </w:r>
            <w:r>
              <w:tab/>
            </w:r>
            <w:r>
              <w:fldChar w:fldCharType="begin"/>
            </w:r>
            <w:r>
              <w:instrText xml:space="preserve"> PAGEREF _Toc000000107 \h </w:instrText>
            </w:r>
            <w:r>
              <w:fldChar w:fldCharType="separate"/>
            </w:r>
            <w:r>
              <w:t>6</w:t>
            </w:r>
            <w:r>
              <w:fldChar w:fldCharType="end"/>
            </w:r>
          </w:hyperlink>
        </w:p>
        <w:p>
          <w:pPr>
            <w:pStyle w:val="TOC1"/>
          </w:pPr>
          <w:hyperlink w:anchor="_Toc000000108" w:history="1">
            <w:r>
              <w:t xml:space="preserve">4. Pruebas de hipótesis</w:t>
            </w:r>
            <w:r>
              <w:tab/>
            </w:r>
            <w:r>
              <w:fldChar w:fldCharType="begin"/>
            </w:r>
            <w:r>
              <w:instrText xml:space="preserve"> PAGEREF _Toc000000108 \h </w:instrText>
            </w:r>
            <w:r>
              <w:fldChar w:fldCharType="separate"/>
            </w:r>
            <w:r>
              <w:t>6</w:t>
            </w:r>
            <w:r>
              <w:fldChar w:fldCharType="end"/>
            </w:r>
          </w:hyperlink>
        </w:p>
        <w:p>
          <w:pPr>
            <w:pStyle w:val="TOC2"/>
          </w:pPr>
          <w:hyperlink w:anchor="_Toc000000103" w:history="1">
            <w:r>
              <w:t xml:space="preserve">4.1 Prueba 1: presión sistólica y enfermedad coronaria</w:t>
            </w:r>
            <w:r>
              <w:tab/>
            </w:r>
            <w:r>
              <w:fldChar w:fldCharType="begin"/>
            </w:r>
            <w:r>
              <w:instrText xml:space="preserve"> PAGEREF _Toc000000103 \h </w:instrText>
            </w:r>
            <w:r>
              <w:fldChar w:fldCharType="separate"/>
            </w:r>
            <w:r>
              <w:t>6</w:t>
            </w:r>
            <w:r>
              <w:fldChar w:fldCharType="end"/>
            </w:r>
          </w:hyperlink>
        </w:p>
        <w:p>
          <w:pPr>
            <w:pStyle w:val="TOC2"/>
          </w:pPr>
          <w:hyperlink w:anchor="_Toc000000104" w:history="1">
            <w:r>
              <w:t xml:space="preserve">4.2 Prueba 2: tabaquismo y enfermedad coronaria</w:t>
            </w:r>
            <w:r>
              <w:tab/>
            </w:r>
            <w:r>
              <w:fldChar w:fldCharType="begin"/>
            </w:r>
            <w:r>
              <w:instrText xml:space="preserve"> PAGEREF _Toc000000104 \h </w:instrText>
            </w:r>
            <w:r>
              <w:fldChar w:fldCharType="separate"/>
            </w:r>
            <w:r>
              <w:t>7</w:t>
            </w:r>
            <w:r>
              <w:fldChar w:fldCharType="end"/>
            </w:r>
          </w:hyperlink>
        </w:p>
        <w:p>
          <w:pPr>
            <w:pStyle w:val="TOC1"/>
          </w:pPr>
          <w:hyperlink w:anchor="_Toc000000109" w:history="1">
            <w:r>
              <w:t xml:space="preserve">5. Informe de avance del proyecto</w:t>
            </w:r>
            <w:r>
              <w:tab/>
            </w:r>
            <w:r>
              <w:fldChar w:fldCharType="begin"/>
            </w:r>
            <w:r>
              <w:instrText xml:space="preserve"> PAGEREF _Toc000000109 \h </w:instrText>
            </w:r>
            <w:r>
              <w:fldChar w:fldCharType="separate"/>
            </w:r>
            <w:r>
              <w:t>7</w:t>
            </w:r>
            <w:r>
              <w:fldChar w:fldCharType="end"/>
            </w:r>
          </w:hyperlink>
        </w:p>
        <w:p>
          <w:pPr>
            <w:pStyle w:val="TOC1"/>
          </w:pPr>
          <w:hyperlink w:anchor="_Toc000000110" w:history="1">
            <w:r>
              <w:t xml:space="preserve">6. Notebook y repositorio GitHub</w:t>
            </w:r>
            <w:r>
              <w:tab/>
            </w:r>
            <w:r>
              <w:fldChar w:fldCharType="begin"/>
            </w:r>
            <w:r>
              <w:instrText xml:space="preserve"> PAGEREF _Toc000000110 \h </w:instrText>
            </w:r>
            <w:r>
              <w:fldChar w:fldCharType="separate"/>
            </w:r>
            <w:r>
              <w:t>8</w:t>
            </w:r>
            <w:r>
              <w:fldChar w:fldCharType="end"/>
            </w:r>
          </w:hyperlink>
        </w:p>
        <w:p>
          <w:pPr>
            <w:pStyle w:val="TOC1"/>
          </w:pPr>
          <w:hyperlink w:anchor="_Toc000000111" w:history="1">
            <w:r>
              <w:t xml:space="preserve">7. Bibliografía (APA 7)</w:t>
            </w:r>
            <w:r>
              <w:tab/>
            </w:r>
            <w:r>
              <w:fldChar w:fldCharType="begin"/>
            </w:r>
            <w:r>
              <w:instrText xml:space="preserve"> PAGEREF _Toc000000111 \h </w:instrText>
            </w:r>
            <w:r>
              <w:fldChar w:fldCharType="separate"/>
            </w:r>
            <w:r>
              <w:t>8</w:t>
            </w:r>
            <w:r>
              <w:fldChar w:fldCharType="end"/>
            </w:r>
          </w:hyperlink>
          <w:r>
            <w:fldChar w:fldCharType="end"/>
          </w:r>
        </w:p>
      </w:sdtContent>
    </w:sdt>
    <w:p>
      <w:r>
        <w:br w:type="page"/>
      </w:r>
    </w:p>
    <w:p>
      <w:pPr>
        <w:pStyle w:val="Heading1"/>
      </w:pPr>
      <w:bookmarkStart w:id="105" w:name="_Toc000000105"/>
      <w:r>
        <w:t xml:space="preserve">Preparación y carga de datos</w:t>
      </w:r>
      <w:bookmarkEnd w:id="105"/>
    </w:p>
    <w:p>
      <w:pPr>
        <w:pStyle w:val="CuerpoInforme"/>
      </w:pPr>
      <w:r>
        <w:t xml:space="preserve">El análisis utiliza el conjunto Framingham Heart Study, publicado en Kaggle (dileep070, s. f.) y derivado del estudio cardiovascular longitudinal de Framingham, Massachusetts (Dawber et al., 1951). Contiene 4.240 registros y 16 variables demográficas, conductuales y clínicas. La variable de interés, TenYearCHD, indica si la persona desarrolló enfermedad coronaria (CHD) en los diez años siguientes. Los datos se cargaron en Python con pandas. Aunque todas las columnas son numéricas, ocho son cualitativas: siete nominales binarias (sexo, tabaquismo actual, uso de antihipertensivos, ACV previo, hipertensión, diabetes y la variable objetivo) y una ordinal (nivel educativo, de 1 a 4). Las ocho restantes son cuantitativas: tres discretas (edad, cigarrillos por día y frecuencia cardíaca) y cinco continuas (colesterol total, presión sistólica y diastólica, IMC y glucosa).</w:t>
      </w:r>
    </w:p>
    <w:p>
      <w:pPr>
        <w:pStyle w:val="CuerpoInforme"/>
      </w:pPr>
      <w:r>
        <w:t xml:space="preserve">No se encontraron filas duplicadas ni contradicciones en las reglas de coherencia revisadas, como no fumadores con cigarrillos registrados o presión diastólica mayor o igual que la sistólica. Siete variables tienen valores faltantes, principalmente glucosa (388; 9,15 %) y nivel educativo (105; 2,48 %); en las demás no superan el 1,3 %. En total, 582 filas (13,7 %) tienen al menos un faltante. Según el criterio de Tukey, todas las variables clínicas presentan valores atípicos en el extremo superior, como un colesterol total de 696 mg/dL o una glucosa de 394 mg/dL. La Tabla 1 resume el tratamiento aplicado.</w:t>
      </w:r>
    </w:p>
    <w:p>
      <w:pPr>
        <w:pStyle w:val="Caption"/>
        <w:keepNext/>
      </w:pPr>
      <w:r>
        <w:rPr>
          <w:b/>
          <w:bCs/>
        </w:rPr>
        <w:t xml:space="preserve">Tabla 1.</w:t>
      </w:r>
      <w:r>
        <w:t xml:space="preserve"> Decisiones de limpieza y tratamiento de los datos.</w:t>
      </w:r>
    </w:p>
    <w:tbl>
      <w:tblPr>
        <w:tblW w:w="9072" w:type="dxa"/>
        <w:jc w:val="center"/>
        <w:tblBorders>
          <w:top w:val="single" w:sz="8" w:space="0" w:color="000000"/>
          <w:bottom w:val="single" w:sz="8" w:space="0" w:color="000000"/>
        </w:tblBorders>
        <w:tblLayout w:type="fixed"/>
        <w:tblCellMar>
          <w:top w:w="30" w:type="dxa"/>
          <w:left w:w="70" w:type="dxa"/>
          <w:bottom w:w="30" w:type="dxa"/>
          <w:right w:w="70" w:type="dxa"/>
        </w:tblCellMar>
      </w:tblPr>
      <w:tblGrid>
        <w:gridCol w:w="3300"/>
        <w:gridCol w:w="5772"/>
      </w:tblGrid>
      <w:tr>
        <w:trPr>
          <w:cantSplit/>
          <w:tblHeader/>
        </w:trPr>
        <w:tc>
          <w:tcPr>
            <w:tcW w:w="3300" w:type="dxa"/>
            <w:tcBorders>
              <w:bottom w:val="single" w:sz="4" w:space="0" w:color="000000"/>
            </w:tcBorders>
            <w:vAlign w:val="center"/>
          </w:tcPr>
          <w:p>
            <w:pPr>
              <w:pStyle w:val="TablaInforme"/>
              <w:jc w:val="left"/>
            </w:pPr>
            <w:r>
              <w:rPr>
                <w:b/>
                <w:bCs/>
              </w:rPr>
              <w:t xml:space="preserve">Situación</w:t>
            </w:r>
          </w:p>
        </w:tc>
        <w:tc>
          <w:tcPr>
            <w:tcW w:w="5772" w:type="dxa"/>
            <w:tcBorders>
              <w:bottom w:val="single" w:sz="4" w:space="0" w:color="000000"/>
            </w:tcBorders>
            <w:vAlign w:val="center"/>
          </w:tcPr>
          <w:p>
            <w:pPr>
              <w:pStyle w:val="TablaInforme"/>
              <w:jc w:val="left"/>
            </w:pPr>
            <w:r>
              <w:rPr>
                <w:b/>
                <w:bCs/>
              </w:rPr>
              <w:t xml:space="preserve">Decisión</w:t>
            </w:r>
          </w:p>
        </w:tc>
      </w:tr>
      <w:tr>
        <w:trPr>
          <w:cantSplit/>
        </w:trPr>
        <w:tc>
          <w:tcPr>
            <w:tcW w:w="3300" w:type="dxa"/>
            <w:vAlign w:val="center"/>
          </w:tcPr>
          <w:p>
            <w:pPr>
              <w:pStyle w:val="TablaInforme"/>
              <w:jc w:val="left"/>
            </w:pPr>
            <w:r>
              <w:t xml:space="preserve">29 faltantes en cigarrillos por día, todos en fumadores</w:t>
            </w:r>
          </w:p>
        </w:tc>
        <w:tc>
          <w:tcPr>
            <w:tcW w:w="5772" w:type="dxa"/>
            <w:vAlign w:val="center"/>
          </w:tcPr>
          <w:p>
            <w:pPr>
              <w:pStyle w:val="TablaInforme"/>
              <w:jc w:val="left"/>
            </w:pPr>
            <w:r>
              <w:t xml:space="preserve">Se imputan con la mediana de los fumadores (20). La mediana global (0) no es adecuada porque se sabe que fuman.</w:t>
            </w:r>
          </w:p>
        </w:tc>
      </w:tr>
      <w:tr>
        <w:trPr>
          <w:cantSplit/>
        </w:trPr>
        <w:tc>
          <w:tcPr>
            <w:tcW w:w="3300" w:type="dxa"/>
            <w:vAlign w:val="center"/>
          </w:tcPr>
          <w:p>
            <w:pPr>
              <w:pStyle w:val="TablaInforme"/>
              <w:jc w:val="left"/>
            </w:pPr>
            <w:r>
              <w:t xml:space="preserve">Faltantes en las otras seis variables</w:t>
            </w:r>
          </w:p>
        </w:tc>
        <w:tc>
          <w:tcPr>
            <w:tcW w:w="5772" w:type="dxa"/>
            <w:vAlign w:val="center"/>
          </w:tcPr>
          <w:p>
            <w:pPr>
              <w:pStyle w:val="TablaInforme"/>
              <w:jc w:val="left"/>
            </w:pPr>
            <w:r>
              <w:t xml:space="preserve">Se mantienen y cada análisis usa los casos disponibles. Eliminar las filas incompletas reduciría la muestra en 13,7 %.</w:t>
            </w:r>
          </w:p>
        </w:tc>
      </w:tr>
      <w:tr>
        <w:trPr>
          <w:cantSplit/>
        </w:trPr>
        <w:tc>
          <w:tcPr>
            <w:tcW w:w="3300" w:type="dxa"/>
            <w:vAlign w:val="center"/>
          </w:tcPr>
          <w:p>
            <w:pPr>
              <w:pStyle w:val="TablaInforme"/>
              <w:jc w:val="left"/>
            </w:pPr>
            <w:r>
              <w:t xml:space="preserve">Valores atípicos en variables clínicas</w:t>
            </w:r>
          </w:p>
        </w:tc>
        <w:tc>
          <w:tcPr>
            <w:tcW w:w="5772" w:type="dxa"/>
            <w:vAlign w:val="center"/>
          </w:tcPr>
          <w:p>
            <w:pPr>
              <w:pStyle w:val="TablaInforme"/>
              <w:jc w:val="left"/>
            </w:pPr>
            <w:r>
              <w:t xml:space="preserve">Se conservan por ser clínicamente posibles. Se informan también la mediana y el IQR.</w:t>
            </w:r>
          </w:p>
        </w:tc>
      </w:tr>
      <w:tr>
        <w:trPr>
          <w:cantSplit/>
        </w:trPr>
        <w:tc>
          <w:tcPr>
            <w:tcW w:w="3300" w:type="dxa"/>
            <w:vAlign w:val="center"/>
          </w:tcPr>
          <w:p>
            <w:pPr>
              <w:pStyle w:val="TablaInforme"/>
              <w:jc w:val="left"/>
            </w:pPr>
            <w:r>
              <w:t xml:space="preserve">22 personas sin diagnóstico de diabetes con glucosa ≥ 126 mg/dL</w:t>
            </w:r>
          </w:p>
        </w:tc>
        <w:tc>
          <w:tcPr>
            <w:tcW w:w="5772" w:type="dxa"/>
            <w:vAlign w:val="center"/>
          </w:tcPr>
          <w:p>
            <w:pPr>
              <w:pStyle w:val="TablaInforme"/>
              <w:jc w:val="left"/>
            </w:pPr>
            <w:r>
              <w:t xml:space="preserve">No se tratan como errores: pueden ser diabetes no diagnosticada o una medición aislada.</w:t>
            </w:r>
          </w:p>
        </w:tc>
      </w:tr>
    </w:tbl>
    <w:p>
      <w:pPr>
        <w:pStyle w:val="Espacio"/>
      </w:pPr>
    </w:p>
    <w:p>
      <w:pPr>
        <w:pStyle w:val="Heading1"/>
      </w:pPr>
      <w:bookmarkStart w:id="106" w:name="_Toc000000106"/>
      <w:r>
        <w:t xml:space="preserve">Análisis exploratorio de datos</w:t>
      </w:r>
      <w:bookmarkEnd w:id="106"/>
    </w:p>
    <w:p>
      <w:pPr>
        <w:pStyle w:val="Heading2"/>
      </w:pPr>
      <w:bookmarkStart w:id="101" w:name="_Toc000000101"/>
      <w:r>
        <w:t xml:space="preserve">Estadística descriptiva</w:t>
      </w:r>
      <w:bookmarkEnd w:id="101"/>
    </w:p>
    <w:p>
      <w:pPr>
        <w:pStyle w:val="CuerpoInforme"/>
      </w:pPr>
      <w:r>
        <w:t xml:space="preserve">La Tabla 2 resume la tendencia central, la dispersión y la forma de las variables numéricas. La edad es la única con distribución aproximadamente simétrica (media de 49,58 y mediana de 49 años). La presión sistólica, el colesterol total y el IMC muestran asimetría positiva, con la media sobre la mediana (Figura 1). La glucosa es la más asimétrica (6,21): la mayoría de los valores está cerca de 78 mg/dL, pero hay casos aislados muy elevados, por lo que la mediana y el IQR la describen mejor que la media. Cigarrillos por día tiene mediana 0 porque cerca de la mitad no fuma; entre los fumadores, la mediana es de 20 cigarrillos diarios.</w:t>
      </w:r>
    </w:p>
    <w:p>
      <w:pPr>
        <w:pStyle w:val="Caption"/>
        <w:keepNext/>
      </w:pPr>
      <w:r>
        <w:rPr>
          <w:b/>
          <w:bCs/>
        </w:rPr>
        <w:t xml:space="preserve">Tabla 2.</w:t>
      </w:r>
      <w:r>
        <w:t xml:space="preserve"> Medidas descriptivas de las variables numéricas.</w:t>
      </w:r>
    </w:p>
    <w:tbl>
      <w:tblPr>
        <w:tblW w:w="8672" w:type="dxa"/>
        <w:jc w:val="center"/>
        <w:tblBorders>
          <w:top w:val="single" w:sz="8" w:space="0" w:color="000000"/>
          <w:bottom w:val="single" w:sz="8" w:space="0" w:color="000000"/>
        </w:tblBorders>
        <w:tblLayout w:type="fixed"/>
        <w:tblCellMar>
          <w:top w:w="30" w:type="dxa"/>
          <w:left w:w="70" w:type="dxa"/>
          <w:bottom w:w="30" w:type="dxa"/>
          <w:right w:w="70" w:type="dxa"/>
        </w:tblCellMar>
      </w:tblPr>
      <w:tblGrid>
        <w:gridCol w:w="2472"/>
        <w:gridCol w:w="700"/>
        <w:gridCol w:w="950"/>
        <w:gridCol w:w="950"/>
        <w:gridCol w:w="950"/>
        <w:gridCol w:w="850"/>
        <w:gridCol w:w="800"/>
        <w:gridCol w:w="1000"/>
      </w:tblGrid>
      <w:tr>
        <w:trPr>
          <w:cantSplit/>
          <w:tblHeader/>
        </w:trPr>
        <w:tc>
          <w:tcPr>
            <w:tcW w:w="2472" w:type="dxa"/>
            <w:tcBorders>
              <w:bottom w:val="single" w:sz="4" w:space="0" w:color="000000"/>
            </w:tcBorders>
            <w:vAlign w:val="center"/>
          </w:tcPr>
          <w:p>
            <w:pPr>
              <w:pStyle w:val="TablaInforme"/>
              <w:jc w:val="left"/>
            </w:pPr>
            <w:r>
              <w:rPr>
                <w:b/>
                <w:bCs/>
              </w:rPr>
              <w:t xml:space="preserve">Variable</w:t>
            </w:r>
          </w:p>
        </w:tc>
        <w:tc>
          <w:tcPr>
            <w:tcW w:w="700" w:type="dxa"/>
            <w:tcBorders>
              <w:bottom w:val="single" w:sz="4" w:space="0" w:color="000000"/>
            </w:tcBorders>
            <w:vAlign w:val="center"/>
          </w:tcPr>
          <w:p>
            <w:pPr>
              <w:pStyle w:val="TablaInforme"/>
              <w:jc w:val="right"/>
            </w:pPr>
            <w:r>
              <w:rPr>
                <w:b/>
                <w:bCs/>
              </w:rPr>
              <w:t xml:space="preserve">n</w:t>
            </w:r>
          </w:p>
        </w:tc>
        <w:tc>
          <w:tcPr>
            <w:tcW w:w="950" w:type="dxa"/>
            <w:tcBorders>
              <w:bottom w:val="single" w:sz="4" w:space="0" w:color="000000"/>
            </w:tcBorders>
            <w:vAlign w:val="center"/>
          </w:tcPr>
          <w:p>
            <w:pPr>
              <w:pStyle w:val="TablaInforme"/>
              <w:jc w:val="right"/>
            </w:pPr>
            <w:r>
              <w:rPr>
                <w:b/>
                <w:bCs/>
              </w:rPr>
              <w:t xml:space="preserve">Media</w:t>
            </w:r>
          </w:p>
        </w:tc>
        <w:tc>
          <w:tcPr>
            <w:tcW w:w="950" w:type="dxa"/>
            <w:tcBorders>
              <w:bottom w:val="single" w:sz="4" w:space="0" w:color="000000"/>
            </w:tcBorders>
            <w:vAlign w:val="center"/>
          </w:tcPr>
          <w:p>
            <w:pPr>
              <w:pStyle w:val="TablaInforme"/>
              <w:jc w:val="right"/>
            </w:pPr>
            <w:r>
              <w:rPr>
                <w:b/>
                <w:bCs/>
              </w:rPr>
              <w:t xml:space="preserve">Mediana</w:t>
            </w:r>
          </w:p>
        </w:tc>
        <w:tc>
          <w:tcPr>
            <w:tcW w:w="950" w:type="dxa"/>
            <w:tcBorders>
              <w:bottom w:val="single" w:sz="4" w:space="0" w:color="000000"/>
            </w:tcBorders>
            <w:vAlign w:val="center"/>
          </w:tcPr>
          <w:p>
            <w:pPr>
              <w:pStyle w:val="TablaInforme"/>
              <w:jc w:val="right"/>
            </w:pPr>
            <w:r>
              <w:rPr>
                <w:b/>
                <w:bCs/>
              </w:rPr>
              <w:t xml:space="preserve">Desv. est.</w:t>
            </w:r>
          </w:p>
        </w:tc>
        <w:tc>
          <w:tcPr>
            <w:tcW w:w="850" w:type="dxa"/>
            <w:tcBorders>
              <w:bottom w:val="single" w:sz="4" w:space="0" w:color="000000"/>
            </w:tcBorders>
            <w:vAlign w:val="center"/>
          </w:tcPr>
          <w:p>
            <w:pPr>
              <w:pStyle w:val="TablaInforme"/>
              <w:jc w:val="right"/>
            </w:pPr>
            <w:r>
              <w:rPr>
                <w:b/>
                <w:bCs/>
              </w:rPr>
              <w:t xml:space="preserve">CV (%)</w:t>
            </w:r>
          </w:p>
        </w:tc>
        <w:tc>
          <w:tcPr>
            <w:tcW w:w="800" w:type="dxa"/>
            <w:tcBorders>
              <w:bottom w:val="single" w:sz="4" w:space="0" w:color="000000"/>
            </w:tcBorders>
            <w:vAlign w:val="center"/>
          </w:tcPr>
          <w:p>
            <w:pPr>
              <w:pStyle w:val="TablaInforme"/>
              <w:jc w:val="right"/>
            </w:pPr>
            <w:r>
              <w:rPr>
                <w:b/>
                <w:bCs/>
              </w:rPr>
              <w:t xml:space="preserve">IQR</w:t>
            </w:r>
          </w:p>
        </w:tc>
        <w:tc>
          <w:tcPr>
            <w:tcW w:w="1000" w:type="dxa"/>
            <w:tcBorders>
              <w:bottom w:val="single" w:sz="4" w:space="0" w:color="000000"/>
            </w:tcBorders>
            <w:vAlign w:val="center"/>
          </w:tcPr>
          <w:p>
            <w:pPr>
              <w:pStyle w:val="TablaInforme"/>
              <w:jc w:val="right"/>
            </w:pPr>
            <w:r>
              <w:rPr>
                <w:b/>
                <w:bCs/>
              </w:rPr>
              <w:t xml:space="preserve">Asimetría</w:t>
            </w:r>
          </w:p>
        </w:tc>
      </w:tr>
      <w:tr>
        <w:trPr>
          <w:cantSplit/>
        </w:trPr>
        <w:tc>
          <w:tcPr>
            <w:tcW w:w="2472" w:type="dxa"/>
            <w:vAlign w:val="center"/>
          </w:tcPr>
          <w:p>
            <w:pPr>
              <w:pStyle w:val="TablaInforme"/>
              <w:jc w:val="left"/>
            </w:pPr>
            <w:r>
              <w:t xml:space="preserve">Edad (años)</w:t>
            </w:r>
          </w:p>
        </w:tc>
        <w:tc>
          <w:tcPr>
            <w:tcW w:w="700" w:type="dxa"/>
            <w:vAlign w:val="center"/>
          </w:tcPr>
          <w:p>
            <w:pPr>
              <w:pStyle w:val="TablaInforme"/>
              <w:jc w:val="right"/>
            </w:pPr>
            <w:r>
              <w:t xml:space="preserve">4.240</w:t>
            </w:r>
          </w:p>
        </w:tc>
        <w:tc>
          <w:tcPr>
            <w:tcW w:w="950" w:type="dxa"/>
            <w:vAlign w:val="center"/>
          </w:tcPr>
          <w:p>
            <w:pPr>
              <w:pStyle w:val="TablaInforme"/>
              <w:jc w:val="right"/>
            </w:pPr>
            <w:r>
              <w:t xml:space="preserve">49,58</w:t>
            </w:r>
          </w:p>
        </w:tc>
        <w:tc>
          <w:tcPr>
            <w:tcW w:w="950" w:type="dxa"/>
            <w:vAlign w:val="center"/>
          </w:tcPr>
          <w:p>
            <w:pPr>
              <w:pStyle w:val="TablaInforme"/>
              <w:jc w:val="right"/>
            </w:pPr>
            <w:r>
              <w:t xml:space="preserve">49,00</w:t>
            </w:r>
          </w:p>
        </w:tc>
        <w:tc>
          <w:tcPr>
            <w:tcW w:w="950" w:type="dxa"/>
            <w:vAlign w:val="center"/>
          </w:tcPr>
          <w:p>
            <w:pPr>
              <w:pStyle w:val="TablaInforme"/>
              <w:jc w:val="right"/>
            </w:pPr>
            <w:r>
              <w:t xml:space="preserve">8,57</w:t>
            </w:r>
          </w:p>
        </w:tc>
        <w:tc>
          <w:tcPr>
            <w:tcW w:w="850" w:type="dxa"/>
            <w:vAlign w:val="center"/>
          </w:tcPr>
          <w:p>
            <w:pPr>
              <w:pStyle w:val="TablaInforme"/>
              <w:jc w:val="right"/>
            </w:pPr>
            <w:r>
              <w:t xml:space="preserve">17,3</w:t>
            </w:r>
          </w:p>
        </w:tc>
        <w:tc>
          <w:tcPr>
            <w:tcW w:w="800" w:type="dxa"/>
            <w:vAlign w:val="center"/>
          </w:tcPr>
          <w:p>
            <w:pPr>
              <w:pStyle w:val="TablaInforme"/>
              <w:jc w:val="right"/>
            </w:pPr>
            <w:r>
              <w:t xml:space="preserve">14,00</w:t>
            </w:r>
          </w:p>
        </w:tc>
        <w:tc>
          <w:tcPr>
            <w:tcW w:w="1000" w:type="dxa"/>
            <w:vAlign w:val="center"/>
          </w:tcPr>
          <w:p>
            <w:pPr>
              <w:pStyle w:val="TablaInforme"/>
              <w:jc w:val="right"/>
            </w:pPr>
            <w:r>
              <w:t xml:space="preserve">0,23</w:t>
            </w:r>
          </w:p>
        </w:tc>
      </w:tr>
      <w:tr>
        <w:trPr>
          <w:cantSplit/>
        </w:trPr>
        <w:tc>
          <w:tcPr>
            <w:tcW w:w="2472" w:type="dxa"/>
            <w:vAlign w:val="center"/>
          </w:tcPr>
          <w:p>
            <w:pPr>
              <w:pStyle w:val="TablaInforme"/>
              <w:jc w:val="left"/>
            </w:pPr>
            <w:r>
              <w:t xml:space="preserve">Cigarrillos por día</w:t>
            </w:r>
          </w:p>
        </w:tc>
        <w:tc>
          <w:tcPr>
            <w:tcW w:w="700" w:type="dxa"/>
            <w:vAlign w:val="center"/>
          </w:tcPr>
          <w:p>
            <w:pPr>
              <w:pStyle w:val="TablaInforme"/>
              <w:jc w:val="right"/>
            </w:pPr>
            <w:r>
              <w:t xml:space="preserve">4.240</w:t>
            </w:r>
          </w:p>
        </w:tc>
        <w:tc>
          <w:tcPr>
            <w:tcW w:w="950" w:type="dxa"/>
            <w:vAlign w:val="center"/>
          </w:tcPr>
          <w:p>
            <w:pPr>
              <w:pStyle w:val="TablaInforme"/>
              <w:jc w:val="right"/>
            </w:pPr>
            <w:r>
              <w:t xml:space="preserve">9,08</w:t>
            </w:r>
          </w:p>
        </w:tc>
        <w:tc>
          <w:tcPr>
            <w:tcW w:w="950" w:type="dxa"/>
            <w:vAlign w:val="center"/>
          </w:tcPr>
          <w:p>
            <w:pPr>
              <w:pStyle w:val="TablaInforme"/>
              <w:jc w:val="right"/>
            </w:pPr>
            <w:r>
              <w:t xml:space="preserve">0,00</w:t>
            </w:r>
          </w:p>
        </w:tc>
        <w:tc>
          <w:tcPr>
            <w:tcW w:w="950" w:type="dxa"/>
            <w:vAlign w:val="center"/>
          </w:tcPr>
          <w:p>
            <w:pPr>
              <w:pStyle w:val="TablaInforme"/>
              <w:jc w:val="right"/>
            </w:pPr>
            <w:r>
              <w:t xml:space="preserve">11,92</w:t>
            </w:r>
          </w:p>
        </w:tc>
        <w:tc>
          <w:tcPr>
            <w:tcW w:w="850" w:type="dxa"/>
            <w:vAlign w:val="center"/>
          </w:tcPr>
          <w:p>
            <w:pPr>
              <w:pStyle w:val="TablaInforme"/>
              <w:jc w:val="right"/>
            </w:pPr>
            <w:r>
              <w:t xml:space="preserve">131,2</w:t>
            </w:r>
          </w:p>
        </w:tc>
        <w:tc>
          <w:tcPr>
            <w:tcW w:w="800" w:type="dxa"/>
            <w:vAlign w:val="center"/>
          </w:tcPr>
          <w:p>
            <w:pPr>
              <w:pStyle w:val="TablaInforme"/>
              <w:jc w:val="right"/>
            </w:pPr>
            <w:r>
              <w:t xml:space="preserve">20,00</w:t>
            </w:r>
          </w:p>
        </w:tc>
        <w:tc>
          <w:tcPr>
            <w:tcW w:w="1000" w:type="dxa"/>
            <w:vAlign w:val="center"/>
          </w:tcPr>
          <w:p>
            <w:pPr>
              <w:pStyle w:val="TablaInforme"/>
              <w:jc w:val="right"/>
            </w:pPr>
            <w:r>
              <w:t xml:space="preserve">1,23</w:t>
            </w:r>
          </w:p>
        </w:tc>
      </w:tr>
      <w:tr>
        <w:trPr>
          <w:cantSplit/>
        </w:trPr>
        <w:tc>
          <w:tcPr>
            <w:tcW w:w="2472" w:type="dxa"/>
            <w:vAlign w:val="center"/>
          </w:tcPr>
          <w:p>
            <w:pPr>
              <w:pStyle w:val="TablaInforme"/>
              <w:jc w:val="left"/>
            </w:pPr>
            <w:r>
              <w:t xml:space="preserve">Colesterol total (mg/dL)</w:t>
            </w:r>
          </w:p>
        </w:tc>
        <w:tc>
          <w:tcPr>
            <w:tcW w:w="700" w:type="dxa"/>
            <w:vAlign w:val="center"/>
          </w:tcPr>
          <w:p>
            <w:pPr>
              <w:pStyle w:val="TablaInforme"/>
              <w:jc w:val="right"/>
            </w:pPr>
            <w:r>
              <w:t xml:space="preserve">4.190</w:t>
            </w:r>
          </w:p>
        </w:tc>
        <w:tc>
          <w:tcPr>
            <w:tcW w:w="950" w:type="dxa"/>
            <w:vAlign w:val="center"/>
          </w:tcPr>
          <w:p>
            <w:pPr>
              <w:pStyle w:val="TablaInforme"/>
              <w:jc w:val="right"/>
            </w:pPr>
            <w:r>
              <w:t xml:space="preserve">236,70</w:t>
            </w:r>
          </w:p>
        </w:tc>
        <w:tc>
          <w:tcPr>
            <w:tcW w:w="950" w:type="dxa"/>
            <w:vAlign w:val="center"/>
          </w:tcPr>
          <w:p>
            <w:pPr>
              <w:pStyle w:val="TablaInforme"/>
              <w:jc w:val="right"/>
            </w:pPr>
            <w:r>
              <w:t xml:space="preserve">234,00</w:t>
            </w:r>
          </w:p>
        </w:tc>
        <w:tc>
          <w:tcPr>
            <w:tcW w:w="950" w:type="dxa"/>
            <w:vAlign w:val="center"/>
          </w:tcPr>
          <w:p>
            <w:pPr>
              <w:pStyle w:val="TablaInforme"/>
              <w:jc w:val="right"/>
            </w:pPr>
            <w:r>
              <w:t xml:space="preserve">44,59</w:t>
            </w:r>
          </w:p>
        </w:tc>
        <w:tc>
          <w:tcPr>
            <w:tcW w:w="850" w:type="dxa"/>
            <w:vAlign w:val="center"/>
          </w:tcPr>
          <w:p>
            <w:pPr>
              <w:pStyle w:val="TablaInforme"/>
              <w:jc w:val="right"/>
            </w:pPr>
            <w:r>
              <w:t xml:space="preserve">18,8</w:t>
            </w:r>
          </w:p>
        </w:tc>
        <w:tc>
          <w:tcPr>
            <w:tcW w:w="800" w:type="dxa"/>
            <w:vAlign w:val="center"/>
          </w:tcPr>
          <w:p>
            <w:pPr>
              <w:pStyle w:val="TablaInforme"/>
              <w:jc w:val="right"/>
            </w:pPr>
            <w:r>
              <w:t xml:space="preserve">57,00</w:t>
            </w:r>
          </w:p>
        </w:tc>
        <w:tc>
          <w:tcPr>
            <w:tcW w:w="1000" w:type="dxa"/>
            <w:vAlign w:val="center"/>
          </w:tcPr>
          <w:p>
            <w:pPr>
              <w:pStyle w:val="TablaInforme"/>
              <w:jc w:val="right"/>
            </w:pPr>
            <w:r>
              <w:t xml:space="preserve">0,87</w:t>
            </w:r>
          </w:p>
        </w:tc>
      </w:tr>
      <w:tr>
        <w:trPr>
          <w:cantSplit/>
        </w:trPr>
        <w:tc>
          <w:tcPr>
            <w:tcW w:w="2472" w:type="dxa"/>
            <w:vAlign w:val="center"/>
          </w:tcPr>
          <w:p>
            <w:pPr>
              <w:pStyle w:val="TablaInforme"/>
              <w:jc w:val="left"/>
            </w:pPr>
            <w:r>
              <w:t xml:space="preserve">Presión sistólica (mmHg)</w:t>
            </w:r>
          </w:p>
        </w:tc>
        <w:tc>
          <w:tcPr>
            <w:tcW w:w="700" w:type="dxa"/>
            <w:vAlign w:val="center"/>
          </w:tcPr>
          <w:p>
            <w:pPr>
              <w:pStyle w:val="TablaInforme"/>
              <w:jc w:val="right"/>
            </w:pPr>
            <w:r>
              <w:t xml:space="preserve">4.240</w:t>
            </w:r>
          </w:p>
        </w:tc>
        <w:tc>
          <w:tcPr>
            <w:tcW w:w="950" w:type="dxa"/>
            <w:vAlign w:val="center"/>
          </w:tcPr>
          <w:p>
            <w:pPr>
              <w:pStyle w:val="TablaInforme"/>
              <w:jc w:val="right"/>
            </w:pPr>
            <w:r>
              <w:t xml:space="preserve">132,35</w:t>
            </w:r>
          </w:p>
        </w:tc>
        <w:tc>
          <w:tcPr>
            <w:tcW w:w="950" w:type="dxa"/>
            <w:vAlign w:val="center"/>
          </w:tcPr>
          <w:p>
            <w:pPr>
              <w:pStyle w:val="TablaInforme"/>
              <w:jc w:val="right"/>
            </w:pPr>
            <w:r>
              <w:t xml:space="preserve">128,00</w:t>
            </w:r>
          </w:p>
        </w:tc>
        <w:tc>
          <w:tcPr>
            <w:tcW w:w="950" w:type="dxa"/>
            <w:vAlign w:val="center"/>
          </w:tcPr>
          <w:p>
            <w:pPr>
              <w:pStyle w:val="TablaInforme"/>
              <w:jc w:val="right"/>
            </w:pPr>
            <w:r>
              <w:t xml:space="preserve">22,03</w:t>
            </w:r>
          </w:p>
        </w:tc>
        <w:tc>
          <w:tcPr>
            <w:tcW w:w="850" w:type="dxa"/>
            <w:vAlign w:val="center"/>
          </w:tcPr>
          <w:p>
            <w:pPr>
              <w:pStyle w:val="TablaInforme"/>
              <w:jc w:val="right"/>
            </w:pPr>
            <w:r>
              <w:t xml:space="preserve">16,6</w:t>
            </w:r>
          </w:p>
        </w:tc>
        <w:tc>
          <w:tcPr>
            <w:tcW w:w="800" w:type="dxa"/>
            <w:vAlign w:val="center"/>
          </w:tcPr>
          <w:p>
            <w:pPr>
              <w:pStyle w:val="TablaInforme"/>
              <w:jc w:val="right"/>
            </w:pPr>
            <w:r>
              <w:t xml:space="preserve">27,00</w:t>
            </w:r>
          </w:p>
        </w:tc>
        <w:tc>
          <w:tcPr>
            <w:tcW w:w="1000" w:type="dxa"/>
            <w:vAlign w:val="center"/>
          </w:tcPr>
          <w:p>
            <w:pPr>
              <w:pStyle w:val="TablaInforme"/>
              <w:jc w:val="right"/>
            </w:pPr>
            <w:r>
              <w:t xml:space="preserve">1,15</w:t>
            </w:r>
          </w:p>
        </w:tc>
      </w:tr>
      <w:tr>
        <w:trPr>
          <w:cantSplit/>
        </w:trPr>
        <w:tc>
          <w:tcPr>
            <w:tcW w:w="2472" w:type="dxa"/>
            <w:vAlign w:val="center"/>
          </w:tcPr>
          <w:p>
            <w:pPr>
              <w:pStyle w:val="TablaInforme"/>
              <w:jc w:val="left"/>
            </w:pPr>
            <w:r>
              <w:t xml:space="preserve">Presión diastólica (mmHg)</w:t>
            </w:r>
          </w:p>
        </w:tc>
        <w:tc>
          <w:tcPr>
            <w:tcW w:w="700" w:type="dxa"/>
            <w:vAlign w:val="center"/>
          </w:tcPr>
          <w:p>
            <w:pPr>
              <w:pStyle w:val="TablaInforme"/>
              <w:jc w:val="right"/>
            </w:pPr>
            <w:r>
              <w:t xml:space="preserve">4.240</w:t>
            </w:r>
          </w:p>
        </w:tc>
        <w:tc>
          <w:tcPr>
            <w:tcW w:w="950" w:type="dxa"/>
            <w:vAlign w:val="center"/>
          </w:tcPr>
          <w:p>
            <w:pPr>
              <w:pStyle w:val="TablaInforme"/>
              <w:jc w:val="right"/>
            </w:pPr>
            <w:r>
              <w:t xml:space="preserve">82,90</w:t>
            </w:r>
          </w:p>
        </w:tc>
        <w:tc>
          <w:tcPr>
            <w:tcW w:w="950" w:type="dxa"/>
            <w:vAlign w:val="center"/>
          </w:tcPr>
          <w:p>
            <w:pPr>
              <w:pStyle w:val="TablaInforme"/>
              <w:jc w:val="right"/>
            </w:pPr>
            <w:r>
              <w:t xml:space="preserve">82,00</w:t>
            </w:r>
          </w:p>
        </w:tc>
        <w:tc>
          <w:tcPr>
            <w:tcW w:w="950" w:type="dxa"/>
            <w:vAlign w:val="center"/>
          </w:tcPr>
          <w:p>
            <w:pPr>
              <w:pStyle w:val="TablaInforme"/>
              <w:jc w:val="right"/>
            </w:pPr>
            <w:r>
              <w:t xml:space="preserve">11,91</w:t>
            </w:r>
          </w:p>
        </w:tc>
        <w:tc>
          <w:tcPr>
            <w:tcW w:w="850" w:type="dxa"/>
            <w:vAlign w:val="center"/>
          </w:tcPr>
          <w:p>
            <w:pPr>
              <w:pStyle w:val="TablaInforme"/>
              <w:jc w:val="right"/>
            </w:pPr>
            <w:r>
              <w:t xml:space="preserve">14,4</w:t>
            </w:r>
          </w:p>
        </w:tc>
        <w:tc>
          <w:tcPr>
            <w:tcW w:w="800" w:type="dxa"/>
            <w:vAlign w:val="center"/>
          </w:tcPr>
          <w:p>
            <w:pPr>
              <w:pStyle w:val="TablaInforme"/>
              <w:jc w:val="right"/>
            </w:pPr>
            <w:r>
              <w:t xml:space="preserve">15,00</w:t>
            </w:r>
          </w:p>
        </w:tc>
        <w:tc>
          <w:tcPr>
            <w:tcW w:w="1000" w:type="dxa"/>
            <w:vAlign w:val="center"/>
          </w:tcPr>
          <w:p>
            <w:pPr>
              <w:pStyle w:val="TablaInforme"/>
              <w:jc w:val="right"/>
            </w:pPr>
            <w:r>
              <w:t xml:space="preserve">0,71</w:t>
            </w:r>
          </w:p>
        </w:tc>
      </w:tr>
      <w:tr>
        <w:trPr>
          <w:cantSplit/>
        </w:trPr>
        <w:tc>
          <w:tcPr>
            <w:tcW w:w="2472" w:type="dxa"/>
            <w:vAlign w:val="center"/>
          </w:tcPr>
          <w:p>
            <w:pPr>
              <w:pStyle w:val="TablaInforme"/>
              <w:jc w:val="left"/>
            </w:pPr>
            <w:r>
              <w:t xml:space="preserve">IMC (kg/m²)</w:t>
            </w:r>
          </w:p>
        </w:tc>
        <w:tc>
          <w:tcPr>
            <w:tcW w:w="700" w:type="dxa"/>
            <w:vAlign w:val="center"/>
          </w:tcPr>
          <w:p>
            <w:pPr>
              <w:pStyle w:val="TablaInforme"/>
              <w:jc w:val="right"/>
            </w:pPr>
            <w:r>
              <w:t xml:space="preserve">4.221</w:t>
            </w:r>
          </w:p>
        </w:tc>
        <w:tc>
          <w:tcPr>
            <w:tcW w:w="950" w:type="dxa"/>
            <w:vAlign w:val="center"/>
          </w:tcPr>
          <w:p>
            <w:pPr>
              <w:pStyle w:val="TablaInforme"/>
              <w:jc w:val="right"/>
            </w:pPr>
            <w:r>
              <w:t xml:space="preserve">25,80</w:t>
            </w:r>
          </w:p>
        </w:tc>
        <w:tc>
          <w:tcPr>
            <w:tcW w:w="950" w:type="dxa"/>
            <w:vAlign w:val="center"/>
          </w:tcPr>
          <w:p>
            <w:pPr>
              <w:pStyle w:val="TablaInforme"/>
              <w:jc w:val="right"/>
            </w:pPr>
            <w:r>
              <w:t xml:space="preserve">25,40</w:t>
            </w:r>
          </w:p>
        </w:tc>
        <w:tc>
          <w:tcPr>
            <w:tcW w:w="950" w:type="dxa"/>
            <w:vAlign w:val="center"/>
          </w:tcPr>
          <w:p>
            <w:pPr>
              <w:pStyle w:val="TablaInforme"/>
              <w:jc w:val="right"/>
            </w:pPr>
            <w:r>
              <w:t xml:space="preserve">4,08</w:t>
            </w:r>
          </w:p>
        </w:tc>
        <w:tc>
          <w:tcPr>
            <w:tcW w:w="850" w:type="dxa"/>
            <w:vAlign w:val="center"/>
          </w:tcPr>
          <w:p>
            <w:pPr>
              <w:pStyle w:val="TablaInforme"/>
              <w:jc w:val="right"/>
            </w:pPr>
            <w:r>
              <w:t xml:space="preserve">15,8</w:t>
            </w:r>
          </w:p>
        </w:tc>
        <w:tc>
          <w:tcPr>
            <w:tcW w:w="800" w:type="dxa"/>
            <w:vAlign w:val="center"/>
          </w:tcPr>
          <w:p>
            <w:pPr>
              <w:pStyle w:val="TablaInforme"/>
              <w:jc w:val="right"/>
            </w:pPr>
            <w:r>
              <w:t xml:space="preserve">4,97</w:t>
            </w:r>
          </w:p>
        </w:tc>
        <w:tc>
          <w:tcPr>
            <w:tcW w:w="1000" w:type="dxa"/>
            <w:vAlign w:val="center"/>
          </w:tcPr>
          <w:p>
            <w:pPr>
              <w:pStyle w:val="TablaInforme"/>
              <w:jc w:val="right"/>
            </w:pPr>
            <w:r>
              <w:t xml:space="preserve">0,98</w:t>
            </w:r>
          </w:p>
        </w:tc>
      </w:tr>
      <w:tr>
        <w:trPr>
          <w:cantSplit/>
        </w:trPr>
        <w:tc>
          <w:tcPr>
            <w:tcW w:w="2472" w:type="dxa"/>
            <w:vAlign w:val="center"/>
          </w:tcPr>
          <w:p>
            <w:pPr>
              <w:pStyle w:val="TablaInforme"/>
              <w:jc w:val="left"/>
            </w:pPr>
            <w:r>
              <w:t xml:space="preserve">Frecuencia cardíaca (lpm)</w:t>
            </w:r>
          </w:p>
        </w:tc>
        <w:tc>
          <w:tcPr>
            <w:tcW w:w="700" w:type="dxa"/>
            <w:vAlign w:val="center"/>
          </w:tcPr>
          <w:p>
            <w:pPr>
              <w:pStyle w:val="TablaInforme"/>
              <w:jc w:val="right"/>
            </w:pPr>
            <w:r>
              <w:t xml:space="preserve">4.239</w:t>
            </w:r>
          </w:p>
        </w:tc>
        <w:tc>
          <w:tcPr>
            <w:tcW w:w="950" w:type="dxa"/>
            <w:vAlign w:val="center"/>
          </w:tcPr>
          <w:p>
            <w:pPr>
              <w:pStyle w:val="TablaInforme"/>
              <w:jc w:val="right"/>
            </w:pPr>
            <w:r>
              <w:t xml:space="preserve">75,88</w:t>
            </w:r>
          </w:p>
        </w:tc>
        <w:tc>
          <w:tcPr>
            <w:tcW w:w="950" w:type="dxa"/>
            <w:vAlign w:val="center"/>
          </w:tcPr>
          <w:p>
            <w:pPr>
              <w:pStyle w:val="TablaInforme"/>
              <w:jc w:val="right"/>
            </w:pPr>
            <w:r>
              <w:t xml:space="preserve">75,00</w:t>
            </w:r>
          </w:p>
        </w:tc>
        <w:tc>
          <w:tcPr>
            <w:tcW w:w="950" w:type="dxa"/>
            <w:vAlign w:val="center"/>
          </w:tcPr>
          <w:p>
            <w:pPr>
              <w:pStyle w:val="TablaInforme"/>
              <w:jc w:val="right"/>
            </w:pPr>
            <w:r>
              <w:t xml:space="preserve">12,03</w:t>
            </w:r>
          </w:p>
        </w:tc>
        <w:tc>
          <w:tcPr>
            <w:tcW w:w="850" w:type="dxa"/>
            <w:vAlign w:val="center"/>
          </w:tcPr>
          <w:p>
            <w:pPr>
              <w:pStyle w:val="TablaInforme"/>
              <w:jc w:val="right"/>
            </w:pPr>
            <w:r>
              <w:t xml:space="preserve">15,8</w:t>
            </w:r>
          </w:p>
        </w:tc>
        <w:tc>
          <w:tcPr>
            <w:tcW w:w="800" w:type="dxa"/>
            <w:vAlign w:val="center"/>
          </w:tcPr>
          <w:p>
            <w:pPr>
              <w:pStyle w:val="TablaInforme"/>
              <w:jc w:val="right"/>
            </w:pPr>
            <w:r>
              <w:t xml:space="preserve">15,00</w:t>
            </w:r>
          </w:p>
        </w:tc>
        <w:tc>
          <w:tcPr>
            <w:tcW w:w="1000" w:type="dxa"/>
            <w:vAlign w:val="center"/>
          </w:tcPr>
          <w:p>
            <w:pPr>
              <w:pStyle w:val="TablaInforme"/>
              <w:jc w:val="right"/>
            </w:pPr>
            <w:r>
              <w:t xml:space="preserve">0,64</w:t>
            </w:r>
          </w:p>
        </w:tc>
      </w:tr>
      <w:tr>
        <w:trPr>
          <w:cantSplit/>
        </w:trPr>
        <w:tc>
          <w:tcPr>
            <w:tcW w:w="2472" w:type="dxa"/>
            <w:vAlign w:val="center"/>
          </w:tcPr>
          <w:p>
            <w:pPr>
              <w:pStyle w:val="TablaInforme"/>
              <w:jc w:val="left"/>
            </w:pPr>
            <w:r>
              <w:t xml:space="preserve">Glucosa (mg/dL)</w:t>
            </w:r>
          </w:p>
        </w:tc>
        <w:tc>
          <w:tcPr>
            <w:tcW w:w="700" w:type="dxa"/>
            <w:vAlign w:val="center"/>
          </w:tcPr>
          <w:p>
            <w:pPr>
              <w:pStyle w:val="TablaInforme"/>
              <w:jc w:val="right"/>
            </w:pPr>
            <w:r>
              <w:t xml:space="preserve">3.852</w:t>
            </w:r>
          </w:p>
        </w:tc>
        <w:tc>
          <w:tcPr>
            <w:tcW w:w="950" w:type="dxa"/>
            <w:vAlign w:val="center"/>
          </w:tcPr>
          <w:p>
            <w:pPr>
              <w:pStyle w:val="TablaInforme"/>
              <w:jc w:val="right"/>
            </w:pPr>
            <w:r>
              <w:t xml:space="preserve">81,96</w:t>
            </w:r>
          </w:p>
        </w:tc>
        <w:tc>
          <w:tcPr>
            <w:tcW w:w="950" w:type="dxa"/>
            <w:vAlign w:val="center"/>
          </w:tcPr>
          <w:p>
            <w:pPr>
              <w:pStyle w:val="TablaInforme"/>
              <w:jc w:val="right"/>
            </w:pPr>
            <w:r>
              <w:t xml:space="preserve">78,00</w:t>
            </w:r>
          </w:p>
        </w:tc>
        <w:tc>
          <w:tcPr>
            <w:tcW w:w="950" w:type="dxa"/>
            <w:vAlign w:val="center"/>
          </w:tcPr>
          <w:p>
            <w:pPr>
              <w:pStyle w:val="TablaInforme"/>
              <w:jc w:val="right"/>
            </w:pPr>
            <w:r>
              <w:t xml:space="preserve">23,95</w:t>
            </w:r>
          </w:p>
        </w:tc>
        <w:tc>
          <w:tcPr>
            <w:tcW w:w="850" w:type="dxa"/>
            <w:vAlign w:val="center"/>
          </w:tcPr>
          <w:p>
            <w:pPr>
              <w:pStyle w:val="TablaInforme"/>
              <w:jc w:val="right"/>
            </w:pPr>
            <w:r>
              <w:t xml:space="preserve">29,2</w:t>
            </w:r>
          </w:p>
        </w:tc>
        <w:tc>
          <w:tcPr>
            <w:tcW w:w="800" w:type="dxa"/>
            <w:vAlign w:val="center"/>
          </w:tcPr>
          <w:p>
            <w:pPr>
              <w:pStyle w:val="TablaInforme"/>
              <w:jc w:val="right"/>
            </w:pPr>
            <w:r>
              <w:t xml:space="preserve">16,00</w:t>
            </w:r>
          </w:p>
        </w:tc>
        <w:tc>
          <w:tcPr>
            <w:tcW w:w="1000" w:type="dxa"/>
            <w:vAlign w:val="center"/>
          </w:tcPr>
          <w:p>
            <w:pPr>
              <w:pStyle w:val="TablaInforme"/>
              <w:jc w:val="right"/>
            </w:pPr>
            <w:r>
              <w:t xml:space="preserve">6,21</w:t>
            </w:r>
          </w:p>
        </w:tc>
      </w:tr>
    </w:tbl>
    <w:p>
      <w:pPr>
        <w:pStyle w:val="Espacio"/>
      </w:pPr>
    </w:p>
    <w:p>
      <w:pPr>
        <w:pStyle w:val="Figura"/>
        <w:keepNext/>
      </w:pPr>
      <w:r>
        <w:drawing>
          <wp:inline distT="0" distB="0" distL="0" distR="0">
            <wp:extent cx="4140000" cy="1764000"/>
            <wp:effectExtent l="0" t="0" r="0" b="0"/>
            <wp:docPr id="101" name="Figura 101" descr="Distribución de las variables numéricas. La línea discontinua indica la media y la continua, la medi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fig2_histogramas.png"/>
                    <pic:cNvPicPr>
                      <a:picLocks noChangeAspect="1"/>
                    </pic:cNvPicPr>
                  </pic:nvPicPr>
                  <pic:blipFill>
                    <a:blip r:embed="rId101"/>
                    <a:stretch>
                      <a:fillRect/>
                    </a:stretch>
                  </pic:blipFill>
                  <pic:spPr>
                    <a:xfrm>
                      <a:off x="0" y="0"/>
                      <a:ext cx="4140000" cy="1764000"/>
                    </a:xfrm>
                    <a:prstGeom prst="rect">
                      <a:avLst/>
                    </a:prstGeom>
                  </pic:spPr>
                </pic:pic>
              </a:graphicData>
            </a:graphic>
          </wp:inline>
        </w:drawing>
      </w:r>
    </w:p>
    <w:p>
      <w:pPr>
        <w:pStyle w:val="Caption"/>
      </w:pPr>
      <w:r>
        <w:rPr>
          <w:b/>
          <w:bCs/>
        </w:rPr>
        <w:t xml:space="preserve">Figura 1.</w:t>
      </w:r>
      <w:r>
        <w:t xml:space="preserve"> Distribución de las variables numéricas. La línea discontinua indica la media y la continua, la mediana.</w:t>
      </w:r>
    </w:p>
    <w:p>
      <w:pPr>
        <w:pStyle w:val="CuerpoInforme"/>
      </w:pPr>
      <w:r>
        <w:t xml:space="preserve">En las variables cualitativas (Tabla 3 y Figura 2), el 15,2 % de los participantes desarrolló enfermedad coronaria (644 de 4.240), por lo que la variable objetivo está desbalanceada. Predominan las mujeres (57,1 %) y casi la mitad fuma (49,4 %). El 31,1 % tiene hipertensión, mientras que la diabetes (2,6 %) y el ACV previo (0,6 %) son poco frecuentes, lo que aumenta la incertidumbre de los análisis basados en esos grupos. En nivel educativo predomina la menor escolaridad (40,6 %).</w:t>
      </w:r>
    </w:p>
    <w:p>
      <w:pPr>
        <w:pStyle w:val="Caption"/>
        <w:keepNext/>
      </w:pPr>
      <w:r>
        <w:rPr>
          <w:b/>
          <w:bCs/>
        </w:rPr>
        <w:t xml:space="preserve">Tabla 3.</w:t>
      </w:r>
      <w:r>
        <w:t xml:space="preserve"> Frecuencias absolutas y relativas de las variables cualitativas (n = 4.240).</w:t>
      </w:r>
    </w:p>
    <w:tbl>
      <w:tblPr>
        <w:tblW w:w="9072" w:type="dxa"/>
        <w:jc w:val="center"/>
        <w:tblBorders>
          <w:top w:val="single" w:sz="8" w:space="0" w:color="000000"/>
          <w:bottom w:val="single" w:sz="8" w:space="0" w:color="000000"/>
        </w:tblBorders>
        <w:tblLayout w:type="fixed"/>
        <w:tblCellMar>
          <w:top w:w="30" w:type="dxa"/>
          <w:left w:w="70" w:type="dxa"/>
          <w:bottom w:w="30" w:type="dxa"/>
          <w:right w:w="70" w:type="dxa"/>
        </w:tblCellMar>
      </w:tblPr>
      <w:tblGrid>
        <w:gridCol w:w="2500"/>
        <w:gridCol w:w="6572"/>
      </w:tblGrid>
      <w:tr>
        <w:trPr>
          <w:cantSplit/>
          <w:tblHeader/>
        </w:trPr>
        <w:tc>
          <w:tcPr>
            <w:tcW w:w="2500" w:type="dxa"/>
            <w:tcBorders>
              <w:bottom w:val="single" w:sz="4" w:space="0" w:color="000000"/>
            </w:tcBorders>
            <w:vAlign w:val="center"/>
          </w:tcPr>
          <w:p>
            <w:pPr>
              <w:pStyle w:val="TablaInforme"/>
              <w:jc w:val="left"/>
            </w:pPr>
            <w:r>
              <w:rPr>
                <w:b/>
                <w:bCs/>
              </w:rPr>
              <w:t xml:space="preserve">Variable</w:t>
            </w:r>
          </w:p>
        </w:tc>
        <w:tc>
          <w:tcPr>
            <w:tcW w:w="6572" w:type="dxa"/>
            <w:tcBorders>
              <w:bottom w:val="single" w:sz="4" w:space="0" w:color="000000"/>
            </w:tcBorders>
            <w:vAlign w:val="center"/>
          </w:tcPr>
          <w:p>
            <w:pPr>
              <w:pStyle w:val="TablaInforme"/>
              <w:jc w:val="left"/>
            </w:pPr>
            <w:r>
              <w:rPr>
                <w:b/>
                <w:bCs/>
              </w:rPr>
              <w:t xml:space="preserve">Categorías: frecuencia absoluta (frecuencia relativa)</w:t>
            </w:r>
          </w:p>
        </w:tc>
      </w:tr>
      <w:tr>
        <w:trPr>
          <w:cantSplit/>
        </w:trPr>
        <w:tc>
          <w:tcPr>
            <w:tcW w:w="2500" w:type="dxa"/>
            <w:vAlign w:val="center"/>
          </w:tcPr>
          <w:p>
            <w:pPr>
              <w:pStyle w:val="TablaInforme"/>
              <w:jc w:val="left"/>
            </w:pPr>
            <w:r>
              <w:t xml:space="preserve">Sexo</w:t>
            </w:r>
          </w:p>
        </w:tc>
        <w:tc>
          <w:tcPr>
            <w:tcW w:w="6572" w:type="dxa"/>
            <w:vAlign w:val="center"/>
          </w:tcPr>
          <w:p>
            <w:pPr>
              <w:pStyle w:val="TablaInforme"/>
              <w:jc w:val="left"/>
            </w:pPr>
            <w:r>
              <w:t xml:space="preserve">Mujer: 2.420 (57,1 %) · Hombre: 1.820 (42,9 %)</w:t>
            </w:r>
          </w:p>
        </w:tc>
      </w:tr>
      <w:tr>
        <w:trPr>
          <w:cantSplit/>
        </w:trPr>
        <w:tc>
          <w:tcPr>
            <w:tcW w:w="2500" w:type="dxa"/>
            <w:vAlign w:val="center"/>
          </w:tcPr>
          <w:p>
            <w:pPr>
              <w:pStyle w:val="TablaInforme"/>
              <w:jc w:val="left"/>
            </w:pPr>
            <w:r>
              <w:t xml:space="preserve">Nivel educativo</w:t>
            </w:r>
          </w:p>
        </w:tc>
        <w:tc>
          <w:tcPr>
            <w:tcW w:w="6572" w:type="dxa"/>
            <w:vAlign w:val="center"/>
          </w:tcPr>
          <w:p>
            <w:pPr>
              <w:pStyle w:val="TablaInforme"/>
              <w:jc w:val="left"/>
            </w:pPr>
            <w:r>
              <w:t xml:space="preserve">1: 1.720 (40,6 %) · 2: 1.253 (29,6 %) · 3: 689 (16,2 %) · 4: 473 (11,2 %) · sin dato: 105 (2,5 %)</w:t>
            </w:r>
          </w:p>
        </w:tc>
      </w:tr>
      <w:tr>
        <w:trPr>
          <w:cantSplit/>
        </w:trPr>
        <w:tc>
          <w:tcPr>
            <w:tcW w:w="2500" w:type="dxa"/>
            <w:vAlign w:val="center"/>
          </w:tcPr>
          <w:p>
            <w:pPr>
              <w:pStyle w:val="TablaInforme"/>
              <w:jc w:val="left"/>
            </w:pPr>
            <w:r>
              <w:t xml:space="preserve">Fumador actual</w:t>
            </w:r>
          </w:p>
        </w:tc>
        <w:tc>
          <w:tcPr>
            <w:tcW w:w="6572" w:type="dxa"/>
            <w:vAlign w:val="center"/>
          </w:tcPr>
          <w:p>
            <w:pPr>
              <w:pStyle w:val="TablaInforme"/>
              <w:jc w:val="left"/>
            </w:pPr>
            <w:r>
              <w:t xml:space="preserve">No: 2.145 (50,6 %) · Sí: 2.095 (49,4 %)</w:t>
            </w:r>
          </w:p>
        </w:tc>
      </w:tr>
      <w:tr>
        <w:trPr>
          <w:cantSplit/>
        </w:trPr>
        <w:tc>
          <w:tcPr>
            <w:tcW w:w="2500" w:type="dxa"/>
            <w:vAlign w:val="center"/>
          </w:tcPr>
          <w:p>
            <w:pPr>
              <w:pStyle w:val="TablaInforme"/>
              <w:jc w:val="left"/>
            </w:pPr>
            <w:r>
              <w:t xml:space="preserve">Uso de antihipertensivos</w:t>
            </w:r>
          </w:p>
        </w:tc>
        <w:tc>
          <w:tcPr>
            <w:tcW w:w="6572" w:type="dxa"/>
            <w:vAlign w:val="center"/>
          </w:tcPr>
          <w:p>
            <w:pPr>
              <w:pStyle w:val="TablaInforme"/>
              <w:jc w:val="left"/>
            </w:pPr>
            <w:r>
              <w:t xml:space="preserve">No: 4.063 (95,8 %) · Sí: 124 (2,9 %) · sin dato: 53 (1,2 %)</w:t>
            </w:r>
          </w:p>
        </w:tc>
      </w:tr>
      <w:tr>
        <w:trPr>
          <w:cantSplit/>
        </w:trPr>
        <w:tc>
          <w:tcPr>
            <w:tcW w:w="2500" w:type="dxa"/>
            <w:vAlign w:val="center"/>
          </w:tcPr>
          <w:p>
            <w:pPr>
              <w:pStyle w:val="TablaInforme"/>
              <w:jc w:val="left"/>
            </w:pPr>
            <w:r>
              <w:t xml:space="preserve">ACV previo</w:t>
            </w:r>
          </w:p>
        </w:tc>
        <w:tc>
          <w:tcPr>
            <w:tcW w:w="6572" w:type="dxa"/>
            <w:vAlign w:val="center"/>
          </w:tcPr>
          <w:p>
            <w:pPr>
              <w:pStyle w:val="TablaInforme"/>
              <w:jc w:val="left"/>
            </w:pPr>
            <w:r>
              <w:t xml:space="preserve">No: 4.215 (99,4 %) · Sí: 25 (0,6 %)</w:t>
            </w:r>
          </w:p>
        </w:tc>
      </w:tr>
      <w:tr>
        <w:trPr>
          <w:cantSplit/>
        </w:trPr>
        <w:tc>
          <w:tcPr>
            <w:tcW w:w="2500" w:type="dxa"/>
            <w:vAlign w:val="center"/>
          </w:tcPr>
          <w:p>
            <w:pPr>
              <w:pStyle w:val="TablaInforme"/>
              <w:jc w:val="left"/>
            </w:pPr>
            <w:r>
              <w:t xml:space="preserve">Hipertensión</w:t>
            </w:r>
          </w:p>
        </w:tc>
        <w:tc>
          <w:tcPr>
            <w:tcW w:w="6572" w:type="dxa"/>
            <w:vAlign w:val="center"/>
          </w:tcPr>
          <w:p>
            <w:pPr>
              <w:pStyle w:val="TablaInforme"/>
              <w:jc w:val="left"/>
            </w:pPr>
            <w:r>
              <w:t xml:space="preserve">No: 2.923 (68,9 %) · Sí: 1.317 (31,1 %)</w:t>
            </w:r>
          </w:p>
        </w:tc>
      </w:tr>
      <w:tr>
        <w:trPr>
          <w:cantSplit/>
        </w:trPr>
        <w:tc>
          <w:tcPr>
            <w:tcW w:w="2500" w:type="dxa"/>
            <w:vAlign w:val="center"/>
          </w:tcPr>
          <w:p>
            <w:pPr>
              <w:pStyle w:val="TablaInforme"/>
              <w:jc w:val="left"/>
            </w:pPr>
            <w:r>
              <w:t xml:space="preserve">Diabetes</w:t>
            </w:r>
          </w:p>
        </w:tc>
        <w:tc>
          <w:tcPr>
            <w:tcW w:w="6572" w:type="dxa"/>
            <w:vAlign w:val="center"/>
          </w:tcPr>
          <w:p>
            <w:pPr>
              <w:pStyle w:val="TablaInforme"/>
              <w:jc w:val="left"/>
            </w:pPr>
            <w:r>
              <w:t xml:space="preserve">No: 4.131 (97,4 %) · Sí: 109 (2,6 %)</w:t>
            </w:r>
          </w:p>
        </w:tc>
      </w:tr>
      <w:tr>
        <w:trPr>
          <w:cantSplit/>
        </w:trPr>
        <w:tc>
          <w:tcPr>
            <w:tcW w:w="2500" w:type="dxa"/>
            <w:vAlign w:val="center"/>
          </w:tcPr>
          <w:p>
            <w:pPr>
              <w:pStyle w:val="TablaInforme"/>
              <w:jc w:val="left"/>
            </w:pPr>
            <w:r>
              <w:t xml:space="preserve">CHD a 10 años (objetivo)</w:t>
            </w:r>
          </w:p>
        </w:tc>
        <w:tc>
          <w:tcPr>
            <w:tcW w:w="6572" w:type="dxa"/>
            <w:vAlign w:val="center"/>
          </w:tcPr>
          <w:p>
            <w:pPr>
              <w:pStyle w:val="TablaInforme"/>
              <w:jc w:val="left"/>
            </w:pPr>
            <w:r>
              <w:t xml:space="preserve">No: 3.596 (84,8 %) · Sí: 644 (15,2 %)</w:t>
            </w:r>
          </w:p>
        </w:tc>
      </w:tr>
    </w:tbl>
    <w:p>
      <w:pPr>
        <w:pStyle w:val="Espacio"/>
      </w:pPr>
    </w:p>
    <w:p>
      <w:pPr>
        <w:pStyle w:val="Figura"/>
        <w:keepNext/>
      </w:pPr>
      <w:r>
        <w:drawing>
          <wp:inline distT="0" distB="0" distL="0" distR="0">
            <wp:extent cx="3780000" cy="1708593"/>
            <wp:effectExtent l="0" t="0" r="0" b="0"/>
            <wp:docPr id="102" name="Figura 102" descr="Frecuencias relativas de las variables cualit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fig4_categoricas.png"/>
                    <pic:cNvPicPr>
                      <a:picLocks noChangeAspect="1"/>
                    </pic:cNvPicPr>
                  </pic:nvPicPr>
                  <pic:blipFill>
                    <a:blip r:embed="rId102"/>
                    <a:stretch>
                      <a:fillRect/>
                    </a:stretch>
                  </pic:blipFill>
                  <pic:spPr>
                    <a:xfrm>
                      <a:off x="0" y="0"/>
                      <a:ext cx="3780000" cy="1708593"/>
                    </a:xfrm>
                    <a:prstGeom prst="rect">
                      <a:avLst/>
                    </a:prstGeom>
                  </pic:spPr>
                </pic:pic>
              </a:graphicData>
            </a:graphic>
          </wp:inline>
        </w:drawing>
      </w:r>
    </w:p>
    <w:p>
      <w:pPr>
        <w:pStyle w:val="Caption"/>
      </w:pPr>
      <w:r>
        <w:rPr>
          <w:b/>
          <w:bCs/>
        </w:rPr>
        <w:t xml:space="preserve">Figura 2.</w:t>
      </w:r>
      <w:r>
        <w:t xml:space="preserve"> Frecuencias relativas de las variables cualitativas.</w:t>
      </w:r>
    </w:p>
    <w:p>
      <w:pPr>
        <w:pStyle w:val="Heading2"/>
      </w:pPr>
      <w:bookmarkStart w:id="102" w:name="_Toc000000102"/>
      <w:r>
        <w:t xml:space="preserve">Análisis bivariado</w:t>
      </w:r>
      <w:bookmarkEnd w:id="102"/>
    </w:p>
    <w:p>
      <w:pPr>
        <w:pStyle w:val="CuerpoInforme"/>
      </w:pPr>
      <w:r>
        <w:t xml:space="preserve">Se utilizó la correlación de Spearman porque varias variables son asimétricas o tienen valores extremos, y este coeficiente no requiere normalidad. La correlación más alta es entre presión sistólica y diastólica (ρ = 0,78), lo que es esperable y anticipa colinealidad si ambas se incluyen en un mismo modelo. Le siguen edad con presión sistólica (ρ = 0,39) e IMC con presión diastólica (ρ = 0,37); el resto de las correlaciones es débil (Figura 3).</w:t>
      </w:r>
    </w:p>
    <w:p>
      <w:pPr>
        <w:pStyle w:val="Figura"/>
        <w:keepNext/>
      </w:pPr>
      <w:r>
        <w:drawing>
          <wp:inline distT="0" distB="0" distL="0" distR="0">
            <wp:extent cx="2592000" cy="2147071"/>
            <wp:effectExtent l="0" t="0" r="0" b="0"/>
            <wp:docPr id="103" name="Figura 103" descr="Correlaciones de Spearman entre las variables nu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fig1_correlaciones.png"/>
                    <pic:cNvPicPr>
                      <a:picLocks noChangeAspect="1"/>
                    </pic:cNvPicPr>
                  </pic:nvPicPr>
                  <pic:blipFill>
                    <a:blip r:embed="rId103"/>
                    <a:stretch>
                      <a:fillRect/>
                    </a:stretch>
                  </pic:blipFill>
                  <pic:spPr>
                    <a:xfrm>
                      <a:off x="0" y="0"/>
                      <a:ext cx="2592000" cy="2147071"/>
                    </a:xfrm>
                    <a:prstGeom prst="rect">
                      <a:avLst/>
                    </a:prstGeom>
                  </pic:spPr>
                </pic:pic>
              </a:graphicData>
            </a:graphic>
          </wp:inline>
        </w:drawing>
      </w:r>
    </w:p>
    <w:p>
      <w:pPr>
        <w:pStyle w:val="Caption"/>
      </w:pPr>
      <w:r>
        <w:rPr>
          <w:b/>
          <w:bCs/>
        </w:rPr>
        <w:t xml:space="preserve">Figura 3.</w:t>
      </w:r>
      <w:r>
        <w:t xml:space="preserve"> Correlaciones de Spearman entre las variables numéricas.</w:t>
      </w:r>
    </w:p>
    <w:p>
      <w:pPr>
        <w:pStyle w:val="CuerpoInforme"/>
      </w:pPr>
      <w:r>
        <w:t xml:space="preserve">La Tabla 4 compara las medias según la presencia de enfermedad coronaria. Las mayores diferencias se dan en la edad (5,4 años más en el grupo con CHD; g de Hedges = 0,64) y la presión sistólica (13,3 mmHg más; g = 0,62). La presión diastólica, la glucosa y el colesterol también son mayores en ese grupo, con efectos menores. En la frecuencia cardíaca, el intervalo de la diferencia incluye el cero.</w:t>
      </w:r>
    </w:p>
    <w:p>
      <w:pPr>
        <w:pStyle w:val="Caption"/>
        <w:keepNext/>
      </w:pPr>
      <w:r>
        <w:rPr>
          <w:b/>
          <w:bCs/>
        </w:rPr>
        <w:t xml:space="preserve">Tabla 4.</w:t>
      </w:r>
      <w:r>
        <w:t xml:space="preserve"> Comparación de medias según enfermedad coronaria (diferencia = con CHD − sin CHD; IC de Welch).</w:t>
      </w:r>
    </w:p>
    <w:tbl>
      <w:tblPr>
        <w:tblW w:w="9072" w:type="dxa"/>
        <w:jc w:val="center"/>
        <w:tblBorders>
          <w:top w:val="single" w:sz="8" w:space="0" w:color="000000"/>
          <w:bottom w:val="single" w:sz="8" w:space="0" w:color="000000"/>
        </w:tblBorders>
        <w:tblLayout w:type="fixed"/>
        <w:tblCellMar>
          <w:top w:w="30" w:type="dxa"/>
          <w:left w:w="70" w:type="dxa"/>
          <w:bottom w:w="30" w:type="dxa"/>
          <w:right w:w="70" w:type="dxa"/>
        </w:tblCellMar>
      </w:tblPr>
      <w:tblGrid>
        <w:gridCol w:w="2672"/>
        <w:gridCol w:w="1100"/>
        <w:gridCol w:w="1100"/>
        <w:gridCol w:w="1150"/>
        <w:gridCol w:w="1800"/>
        <w:gridCol w:w="1250"/>
      </w:tblGrid>
      <w:tr>
        <w:trPr>
          <w:cantSplit/>
          <w:tblHeader/>
        </w:trPr>
        <w:tc>
          <w:tcPr>
            <w:tcW w:w="2672" w:type="dxa"/>
            <w:tcBorders>
              <w:bottom w:val="single" w:sz="4" w:space="0" w:color="000000"/>
            </w:tcBorders>
            <w:vAlign w:val="center"/>
          </w:tcPr>
          <w:p>
            <w:pPr>
              <w:pStyle w:val="TablaInforme"/>
              <w:jc w:val="left"/>
            </w:pPr>
            <w:r>
              <w:rPr>
                <w:b/>
                <w:bCs/>
              </w:rPr>
              <w:t xml:space="preserve">Variable</w:t>
            </w:r>
          </w:p>
        </w:tc>
        <w:tc>
          <w:tcPr>
            <w:tcW w:w="1100" w:type="dxa"/>
            <w:tcBorders>
              <w:bottom w:val="single" w:sz="4" w:space="0" w:color="000000"/>
            </w:tcBorders>
            <w:vAlign w:val="center"/>
          </w:tcPr>
          <w:p>
            <w:pPr>
              <w:pStyle w:val="TablaInforme"/>
              <w:jc w:val="right"/>
            </w:pPr>
            <w:r>
              <w:rPr>
                <w:b/>
                <w:bCs/>
              </w:rPr>
              <w:t xml:space="preserve">Sin CHD</w:t>
            </w:r>
          </w:p>
        </w:tc>
        <w:tc>
          <w:tcPr>
            <w:tcW w:w="1100" w:type="dxa"/>
            <w:tcBorders>
              <w:bottom w:val="single" w:sz="4" w:space="0" w:color="000000"/>
            </w:tcBorders>
            <w:vAlign w:val="center"/>
          </w:tcPr>
          <w:p>
            <w:pPr>
              <w:pStyle w:val="TablaInforme"/>
              <w:jc w:val="right"/>
            </w:pPr>
            <w:r>
              <w:rPr>
                <w:b/>
                <w:bCs/>
              </w:rPr>
              <w:t xml:space="preserve">Con CHD</w:t>
            </w:r>
          </w:p>
        </w:tc>
        <w:tc>
          <w:tcPr>
            <w:tcW w:w="1150" w:type="dxa"/>
            <w:tcBorders>
              <w:bottom w:val="single" w:sz="4" w:space="0" w:color="000000"/>
            </w:tcBorders>
            <w:vAlign w:val="center"/>
          </w:tcPr>
          <w:p>
            <w:pPr>
              <w:pStyle w:val="TablaInforme"/>
              <w:jc w:val="right"/>
            </w:pPr>
            <w:r>
              <w:rPr>
                <w:b/>
                <w:bCs/>
              </w:rPr>
              <w:t xml:space="preserve">Diferencia</w:t>
            </w:r>
          </w:p>
        </w:tc>
        <w:tc>
          <w:tcPr>
            <w:tcW w:w="1800" w:type="dxa"/>
            <w:tcBorders>
              <w:bottom w:val="single" w:sz="4" w:space="0" w:color="000000"/>
            </w:tcBorders>
            <w:vAlign w:val="center"/>
          </w:tcPr>
          <w:p>
            <w:pPr>
              <w:pStyle w:val="TablaInforme"/>
              <w:jc w:val="center"/>
            </w:pPr>
            <w:r>
              <w:rPr>
                <w:b/>
                <w:bCs/>
              </w:rPr>
              <w:t xml:space="preserve">IC 95 %</w:t>
            </w:r>
          </w:p>
        </w:tc>
        <w:tc>
          <w:tcPr>
            <w:tcW w:w="1250" w:type="dxa"/>
            <w:tcBorders>
              <w:bottom w:val="single" w:sz="4" w:space="0" w:color="000000"/>
            </w:tcBorders>
            <w:vAlign w:val="center"/>
          </w:tcPr>
          <w:p>
            <w:pPr>
              <w:pStyle w:val="TablaInforme"/>
              <w:jc w:val="right"/>
            </w:pPr>
            <w:r>
              <w:rPr>
                <w:b/>
                <w:bCs/>
              </w:rPr>
              <w:t xml:space="preserve">g de Hedges</w:t>
            </w:r>
          </w:p>
        </w:tc>
      </w:tr>
      <w:tr>
        <w:trPr>
          <w:cantSplit/>
        </w:trPr>
        <w:tc>
          <w:tcPr>
            <w:tcW w:w="2672" w:type="dxa"/>
            <w:vAlign w:val="center"/>
          </w:tcPr>
          <w:p>
            <w:pPr>
              <w:pStyle w:val="TablaInforme"/>
              <w:jc w:val="left"/>
            </w:pPr>
            <w:r>
              <w:t xml:space="preserve">Edad (años)</w:t>
            </w:r>
          </w:p>
        </w:tc>
        <w:tc>
          <w:tcPr>
            <w:tcW w:w="1100" w:type="dxa"/>
            <w:vAlign w:val="center"/>
          </w:tcPr>
          <w:p>
            <w:pPr>
              <w:pStyle w:val="TablaInforme"/>
              <w:jc w:val="right"/>
            </w:pPr>
            <w:r>
              <w:t xml:space="preserve">48,76</w:t>
            </w:r>
          </w:p>
        </w:tc>
        <w:tc>
          <w:tcPr>
            <w:tcW w:w="1100" w:type="dxa"/>
            <w:vAlign w:val="center"/>
          </w:tcPr>
          <w:p>
            <w:pPr>
              <w:pStyle w:val="TablaInforme"/>
              <w:jc w:val="right"/>
            </w:pPr>
            <w:r>
              <w:t xml:space="preserve">54,15</w:t>
            </w:r>
          </w:p>
        </w:tc>
        <w:tc>
          <w:tcPr>
            <w:tcW w:w="1150" w:type="dxa"/>
            <w:vAlign w:val="center"/>
          </w:tcPr>
          <w:p>
            <w:pPr>
              <w:pStyle w:val="TablaInforme"/>
              <w:jc w:val="right"/>
            </w:pPr>
            <w:r>
              <w:t xml:space="preserve">5,38</w:t>
            </w:r>
          </w:p>
        </w:tc>
        <w:tc>
          <w:tcPr>
            <w:tcW w:w="1800" w:type="dxa"/>
            <w:vAlign w:val="center"/>
          </w:tcPr>
          <w:p>
            <w:pPr>
              <w:pStyle w:val="TablaInforme"/>
              <w:jc w:val="center"/>
            </w:pPr>
            <w:r>
              <w:t xml:space="preserve">[4,71; 6,06]</w:t>
            </w:r>
          </w:p>
        </w:tc>
        <w:tc>
          <w:tcPr>
            <w:tcW w:w="1250" w:type="dxa"/>
            <w:vAlign w:val="center"/>
          </w:tcPr>
          <w:p>
            <w:pPr>
              <w:pStyle w:val="TablaInforme"/>
              <w:jc w:val="right"/>
            </w:pPr>
            <w:r>
              <w:t xml:space="preserve">0,64</w:t>
            </w:r>
          </w:p>
        </w:tc>
      </w:tr>
      <w:tr>
        <w:trPr>
          <w:cantSplit/>
        </w:trPr>
        <w:tc>
          <w:tcPr>
            <w:tcW w:w="2672" w:type="dxa"/>
            <w:vAlign w:val="center"/>
          </w:tcPr>
          <w:p>
            <w:pPr>
              <w:pStyle w:val="TablaInforme"/>
              <w:jc w:val="left"/>
            </w:pPr>
            <w:r>
              <w:t xml:space="preserve">Cigarrillos por día</w:t>
            </w:r>
          </w:p>
        </w:tc>
        <w:tc>
          <w:tcPr>
            <w:tcW w:w="1100" w:type="dxa"/>
            <w:vAlign w:val="center"/>
          </w:tcPr>
          <w:p>
            <w:pPr>
              <w:pStyle w:val="TablaInforme"/>
              <w:jc w:val="right"/>
            </w:pPr>
            <w:r>
              <w:t xml:space="preserve">8,80</w:t>
            </w:r>
          </w:p>
        </w:tc>
        <w:tc>
          <w:tcPr>
            <w:tcW w:w="1100" w:type="dxa"/>
            <w:vAlign w:val="center"/>
          </w:tcPr>
          <w:p>
            <w:pPr>
              <w:pStyle w:val="TablaInforme"/>
              <w:jc w:val="right"/>
            </w:pPr>
            <w:r>
              <w:t xml:space="preserve">10,66</w:t>
            </w:r>
          </w:p>
        </w:tc>
        <w:tc>
          <w:tcPr>
            <w:tcW w:w="1150" w:type="dxa"/>
            <w:vAlign w:val="center"/>
          </w:tcPr>
          <w:p>
            <w:pPr>
              <w:pStyle w:val="TablaInforme"/>
              <w:jc w:val="right"/>
            </w:pPr>
            <w:r>
              <w:t xml:space="preserve">1,86</w:t>
            </w:r>
          </w:p>
        </w:tc>
        <w:tc>
          <w:tcPr>
            <w:tcW w:w="1800" w:type="dxa"/>
            <w:vAlign w:val="center"/>
          </w:tcPr>
          <w:p>
            <w:pPr>
              <w:pStyle w:val="TablaInforme"/>
              <w:jc w:val="center"/>
            </w:pPr>
            <w:r>
              <w:t xml:space="preserve">[0,78; 2,94]</w:t>
            </w:r>
          </w:p>
        </w:tc>
        <w:tc>
          <w:tcPr>
            <w:tcW w:w="1250" w:type="dxa"/>
            <w:vAlign w:val="center"/>
          </w:tcPr>
          <w:p>
            <w:pPr>
              <w:pStyle w:val="TablaInforme"/>
              <w:jc w:val="right"/>
            </w:pPr>
            <w:r>
              <w:t xml:space="preserve">0,16</w:t>
            </w:r>
          </w:p>
        </w:tc>
      </w:tr>
      <w:tr>
        <w:trPr>
          <w:cantSplit/>
        </w:trPr>
        <w:tc>
          <w:tcPr>
            <w:tcW w:w="2672" w:type="dxa"/>
            <w:vAlign w:val="center"/>
          </w:tcPr>
          <w:p>
            <w:pPr>
              <w:pStyle w:val="TablaInforme"/>
              <w:jc w:val="left"/>
            </w:pPr>
            <w:r>
              <w:t xml:space="preserve">Colesterol total (mg/dL)</w:t>
            </w:r>
          </w:p>
        </w:tc>
        <w:tc>
          <w:tcPr>
            <w:tcW w:w="1100" w:type="dxa"/>
            <w:vAlign w:val="center"/>
          </w:tcPr>
          <w:p>
            <w:pPr>
              <w:pStyle w:val="TablaInforme"/>
              <w:jc w:val="right"/>
            </w:pPr>
            <w:r>
              <w:t xml:space="preserve">235,15</w:t>
            </w:r>
          </w:p>
        </w:tc>
        <w:tc>
          <w:tcPr>
            <w:tcW w:w="1100" w:type="dxa"/>
            <w:vAlign w:val="center"/>
          </w:tcPr>
          <w:p>
            <w:pPr>
              <w:pStyle w:val="TablaInforme"/>
              <w:jc w:val="right"/>
            </w:pPr>
            <w:r>
              <w:t xml:space="preserve">245,39</w:t>
            </w:r>
          </w:p>
        </w:tc>
        <w:tc>
          <w:tcPr>
            <w:tcW w:w="1150" w:type="dxa"/>
            <w:vAlign w:val="center"/>
          </w:tcPr>
          <w:p>
            <w:pPr>
              <w:pStyle w:val="TablaInforme"/>
              <w:jc w:val="right"/>
            </w:pPr>
            <w:r>
              <w:t xml:space="preserve">10,24</w:t>
            </w:r>
          </w:p>
        </w:tc>
        <w:tc>
          <w:tcPr>
            <w:tcW w:w="1800" w:type="dxa"/>
            <w:vAlign w:val="center"/>
          </w:tcPr>
          <w:p>
            <w:pPr>
              <w:pStyle w:val="TablaInforme"/>
              <w:jc w:val="center"/>
            </w:pPr>
            <w:r>
              <w:t xml:space="preserve">[6,23; 14,25]</w:t>
            </w:r>
          </w:p>
        </w:tc>
        <w:tc>
          <w:tcPr>
            <w:tcW w:w="1250" w:type="dxa"/>
            <w:vAlign w:val="center"/>
          </w:tcPr>
          <w:p>
            <w:pPr>
              <w:pStyle w:val="TablaInforme"/>
              <w:jc w:val="right"/>
            </w:pPr>
            <w:r>
              <w:t xml:space="preserve">0,23</w:t>
            </w:r>
          </w:p>
        </w:tc>
      </w:tr>
      <w:tr>
        <w:trPr>
          <w:cantSplit/>
        </w:trPr>
        <w:tc>
          <w:tcPr>
            <w:tcW w:w="2672" w:type="dxa"/>
            <w:vAlign w:val="center"/>
          </w:tcPr>
          <w:p>
            <w:pPr>
              <w:pStyle w:val="TablaInforme"/>
              <w:jc w:val="left"/>
            </w:pPr>
            <w:r>
              <w:t xml:space="preserve">Presión sistólica (mmHg)</w:t>
            </w:r>
          </w:p>
        </w:tc>
        <w:tc>
          <w:tcPr>
            <w:tcW w:w="1100" w:type="dxa"/>
            <w:vAlign w:val="center"/>
          </w:tcPr>
          <w:p>
            <w:pPr>
              <w:pStyle w:val="TablaInforme"/>
              <w:jc w:val="right"/>
            </w:pPr>
            <w:r>
              <w:t xml:space="preserve">130,34</w:t>
            </w:r>
          </w:p>
        </w:tc>
        <w:tc>
          <w:tcPr>
            <w:tcW w:w="1100" w:type="dxa"/>
            <w:vAlign w:val="center"/>
          </w:tcPr>
          <w:p>
            <w:pPr>
              <w:pStyle w:val="TablaInforme"/>
              <w:jc w:val="right"/>
            </w:pPr>
            <w:r>
              <w:t xml:space="preserve">143,62</w:t>
            </w:r>
          </w:p>
        </w:tc>
        <w:tc>
          <w:tcPr>
            <w:tcW w:w="1150" w:type="dxa"/>
            <w:vAlign w:val="center"/>
          </w:tcPr>
          <w:p>
            <w:pPr>
              <w:pStyle w:val="TablaInforme"/>
              <w:jc w:val="right"/>
            </w:pPr>
            <w:r>
              <w:t xml:space="preserve">13,28</w:t>
            </w:r>
          </w:p>
        </w:tc>
        <w:tc>
          <w:tcPr>
            <w:tcW w:w="1800" w:type="dxa"/>
            <w:vAlign w:val="center"/>
          </w:tcPr>
          <w:p>
            <w:pPr>
              <w:pStyle w:val="TablaInforme"/>
              <w:jc w:val="center"/>
            </w:pPr>
            <w:r>
              <w:t xml:space="preserve">[11,11; 15,45]</w:t>
            </w:r>
          </w:p>
        </w:tc>
        <w:tc>
          <w:tcPr>
            <w:tcW w:w="1250" w:type="dxa"/>
            <w:vAlign w:val="center"/>
          </w:tcPr>
          <w:p>
            <w:pPr>
              <w:pStyle w:val="TablaInforme"/>
              <w:jc w:val="right"/>
            </w:pPr>
            <w:r>
              <w:t xml:space="preserve">0,62</w:t>
            </w:r>
          </w:p>
        </w:tc>
      </w:tr>
      <w:tr>
        <w:trPr>
          <w:cantSplit/>
        </w:trPr>
        <w:tc>
          <w:tcPr>
            <w:tcW w:w="2672" w:type="dxa"/>
            <w:vAlign w:val="center"/>
          </w:tcPr>
          <w:p>
            <w:pPr>
              <w:pStyle w:val="TablaInforme"/>
              <w:jc w:val="left"/>
            </w:pPr>
            <w:r>
              <w:t xml:space="preserve">Presión diastólica (mmHg)</w:t>
            </w:r>
          </w:p>
        </w:tc>
        <w:tc>
          <w:tcPr>
            <w:tcW w:w="1100" w:type="dxa"/>
            <w:vAlign w:val="center"/>
          </w:tcPr>
          <w:p>
            <w:pPr>
              <w:pStyle w:val="TablaInforme"/>
              <w:jc w:val="right"/>
            </w:pPr>
            <w:r>
              <w:t xml:space="preserve">82,17</w:t>
            </w:r>
          </w:p>
        </w:tc>
        <w:tc>
          <w:tcPr>
            <w:tcW w:w="1100" w:type="dxa"/>
            <w:vAlign w:val="center"/>
          </w:tcPr>
          <w:p>
            <w:pPr>
              <w:pStyle w:val="TablaInforme"/>
              <w:jc w:val="right"/>
            </w:pPr>
            <w:r>
              <w:t xml:space="preserve">86,98</w:t>
            </w:r>
          </w:p>
        </w:tc>
        <w:tc>
          <w:tcPr>
            <w:tcW w:w="1150" w:type="dxa"/>
            <w:vAlign w:val="center"/>
          </w:tcPr>
          <w:p>
            <w:pPr>
              <w:pStyle w:val="TablaInforme"/>
              <w:jc w:val="right"/>
            </w:pPr>
            <w:r>
              <w:t xml:space="preserve">4,81</w:t>
            </w:r>
          </w:p>
        </w:tc>
        <w:tc>
          <w:tcPr>
            <w:tcW w:w="1800" w:type="dxa"/>
            <w:vAlign w:val="center"/>
          </w:tcPr>
          <w:p>
            <w:pPr>
              <w:pStyle w:val="TablaInforme"/>
              <w:jc w:val="center"/>
            </w:pPr>
            <w:r>
              <w:t xml:space="preserve">[3,67; 5,96]</w:t>
            </w:r>
          </w:p>
        </w:tc>
        <w:tc>
          <w:tcPr>
            <w:tcW w:w="1250" w:type="dxa"/>
            <w:vAlign w:val="center"/>
          </w:tcPr>
          <w:p>
            <w:pPr>
              <w:pStyle w:val="TablaInforme"/>
              <w:jc w:val="right"/>
            </w:pPr>
            <w:r>
              <w:t xml:space="preserve">0,41</w:t>
            </w:r>
          </w:p>
        </w:tc>
      </w:tr>
      <w:tr>
        <w:trPr>
          <w:cantSplit/>
        </w:trPr>
        <w:tc>
          <w:tcPr>
            <w:tcW w:w="2672" w:type="dxa"/>
            <w:vAlign w:val="center"/>
          </w:tcPr>
          <w:p>
            <w:pPr>
              <w:pStyle w:val="TablaInforme"/>
              <w:jc w:val="left"/>
            </w:pPr>
            <w:r>
              <w:t xml:space="preserve">IMC (kg/m²)</w:t>
            </w:r>
          </w:p>
        </w:tc>
        <w:tc>
          <w:tcPr>
            <w:tcW w:w="1100" w:type="dxa"/>
            <w:vAlign w:val="center"/>
          </w:tcPr>
          <w:p>
            <w:pPr>
              <w:pStyle w:val="TablaInforme"/>
              <w:jc w:val="right"/>
            </w:pPr>
            <w:r>
              <w:t xml:space="preserve">25,67</w:t>
            </w:r>
          </w:p>
        </w:tc>
        <w:tc>
          <w:tcPr>
            <w:tcW w:w="1100" w:type="dxa"/>
            <w:vAlign w:val="center"/>
          </w:tcPr>
          <w:p>
            <w:pPr>
              <w:pStyle w:val="TablaInforme"/>
              <w:jc w:val="right"/>
            </w:pPr>
            <w:r>
              <w:t xml:space="preserve">26,53</w:t>
            </w:r>
          </w:p>
        </w:tc>
        <w:tc>
          <w:tcPr>
            <w:tcW w:w="1150" w:type="dxa"/>
            <w:vAlign w:val="center"/>
          </w:tcPr>
          <w:p>
            <w:pPr>
              <w:pStyle w:val="TablaInforme"/>
              <w:jc w:val="right"/>
            </w:pPr>
            <w:r>
              <w:t xml:space="preserve">0,86</w:t>
            </w:r>
          </w:p>
        </w:tc>
        <w:tc>
          <w:tcPr>
            <w:tcW w:w="1800" w:type="dxa"/>
            <w:vAlign w:val="center"/>
          </w:tcPr>
          <w:p>
            <w:pPr>
              <w:pStyle w:val="TablaInforme"/>
              <w:jc w:val="center"/>
            </w:pPr>
            <w:r>
              <w:t xml:space="preserve">[0,48; 1,24]</w:t>
            </w:r>
          </w:p>
        </w:tc>
        <w:tc>
          <w:tcPr>
            <w:tcW w:w="1250" w:type="dxa"/>
            <w:vAlign w:val="center"/>
          </w:tcPr>
          <w:p>
            <w:pPr>
              <w:pStyle w:val="TablaInforme"/>
              <w:jc w:val="right"/>
            </w:pPr>
            <w:r>
              <w:t xml:space="preserve">0,21</w:t>
            </w:r>
          </w:p>
        </w:tc>
      </w:tr>
      <w:tr>
        <w:trPr>
          <w:cantSplit/>
        </w:trPr>
        <w:tc>
          <w:tcPr>
            <w:tcW w:w="2672" w:type="dxa"/>
            <w:vAlign w:val="center"/>
          </w:tcPr>
          <w:p>
            <w:pPr>
              <w:pStyle w:val="TablaInforme"/>
              <w:jc w:val="left"/>
            </w:pPr>
            <w:r>
              <w:t xml:space="preserve">Frecuencia cardíaca (lpm)</w:t>
            </w:r>
          </w:p>
        </w:tc>
        <w:tc>
          <w:tcPr>
            <w:tcW w:w="1100" w:type="dxa"/>
            <w:vAlign w:val="center"/>
          </w:tcPr>
          <w:p>
            <w:pPr>
              <w:pStyle w:val="TablaInforme"/>
              <w:jc w:val="right"/>
            </w:pPr>
            <w:r>
              <w:t xml:space="preserve">75,76</w:t>
            </w:r>
          </w:p>
        </w:tc>
        <w:tc>
          <w:tcPr>
            <w:tcW w:w="1100" w:type="dxa"/>
            <w:vAlign w:val="center"/>
          </w:tcPr>
          <w:p>
            <w:pPr>
              <w:pStyle w:val="TablaInforme"/>
              <w:jc w:val="right"/>
            </w:pPr>
            <w:r>
              <w:t xml:space="preserve">76,53</w:t>
            </w:r>
          </w:p>
        </w:tc>
        <w:tc>
          <w:tcPr>
            <w:tcW w:w="1150" w:type="dxa"/>
            <w:vAlign w:val="center"/>
          </w:tcPr>
          <w:p>
            <w:pPr>
              <w:pStyle w:val="TablaInforme"/>
              <w:jc w:val="right"/>
            </w:pPr>
            <w:r>
              <w:t xml:space="preserve">0,77</w:t>
            </w:r>
          </w:p>
        </w:tc>
        <w:tc>
          <w:tcPr>
            <w:tcW w:w="1800" w:type="dxa"/>
            <w:vAlign w:val="center"/>
          </w:tcPr>
          <w:p>
            <w:pPr>
              <w:pStyle w:val="TablaInforme"/>
              <w:jc w:val="center"/>
            </w:pPr>
            <w:r>
              <w:t xml:space="preserve">[-0,26; 1,79]</w:t>
            </w:r>
          </w:p>
        </w:tc>
        <w:tc>
          <w:tcPr>
            <w:tcW w:w="1250" w:type="dxa"/>
            <w:vAlign w:val="center"/>
          </w:tcPr>
          <w:p>
            <w:pPr>
              <w:pStyle w:val="TablaInforme"/>
              <w:jc w:val="right"/>
            </w:pPr>
            <w:r>
              <w:t xml:space="preserve">0,06</w:t>
            </w:r>
          </w:p>
        </w:tc>
      </w:tr>
      <w:tr>
        <w:trPr>
          <w:cantSplit/>
        </w:trPr>
        <w:tc>
          <w:tcPr>
            <w:tcW w:w="2672" w:type="dxa"/>
            <w:vAlign w:val="center"/>
          </w:tcPr>
          <w:p>
            <w:pPr>
              <w:pStyle w:val="TablaInforme"/>
              <w:jc w:val="left"/>
            </w:pPr>
            <w:r>
              <w:t xml:space="preserve">Glucosa (mg/dL)</w:t>
            </w:r>
          </w:p>
        </w:tc>
        <w:tc>
          <w:tcPr>
            <w:tcW w:w="1100" w:type="dxa"/>
            <w:vAlign w:val="center"/>
          </w:tcPr>
          <w:p>
            <w:pPr>
              <w:pStyle w:val="TablaInforme"/>
              <w:jc w:val="right"/>
            </w:pPr>
            <w:r>
              <w:t xml:space="preserve">80,68</w:t>
            </w:r>
          </w:p>
        </w:tc>
        <w:tc>
          <w:tcPr>
            <w:tcW w:w="1100" w:type="dxa"/>
            <w:vAlign w:val="center"/>
          </w:tcPr>
          <w:p>
            <w:pPr>
              <w:pStyle w:val="TablaInforme"/>
              <w:jc w:val="right"/>
            </w:pPr>
            <w:r>
              <w:t xml:space="preserve">89,01</w:t>
            </w:r>
          </w:p>
        </w:tc>
        <w:tc>
          <w:tcPr>
            <w:tcW w:w="1150" w:type="dxa"/>
            <w:vAlign w:val="center"/>
          </w:tcPr>
          <w:p>
            <w:pPr>
              <w:pStyle w:val="TablaInforme"/>
              <w:jc w:val="right"/>
            </w:pPr>
            <w:r>
              <w:t xml:space="preserve">8,33</w:t>
            </w:r>
          </w:p>
        </w:tc>
        <w:tc>
          <w:tcPr>
            <w:tcW w:w="1800" w:type="dxa"/>
            <w:vAlign w:val="center"/>
          </w:tcPr>
          <w:p>
            <w:pPr>
              <w:pStyle w:val="TablaInforme"/>
              <w:jc w:val="center"/>
            </w:pPr>
            <w:r>
              <w:t xml:space="preserve">[4,95; 11,71]</w:t>
            </w:r>
          </w:p>
        </w:tc>
        <w:tc>
          <w:tcPr>
            <w:tcW w:w="1250" w:type="dxa"/>
            <w:vAlign w:val="center"/>
          </w:tcPr>
          <w:p>
            <w:pPr>
              <w:pStyle w:val="TablaInforme"/>
              <w:jc w:val="right"/>
            </w:pPr>
            <w:r>
              <w:t xml:space="preserve">0,35</w:t>
            </w:r>
          </w:p>
        </w:tc>
      </w:tr>
    </w:tbl>
    <w:p>
      <w:pPr>
        <w:pStyle w:val="Espacio"/>
      </w:pPr>
    </w:p>
    <w:p>
      <w:pPr>
        <w:pStyle w:val="CuerpoInforme"/>
      </w:pPr>
      <w:r>
        <w:t xml:space="preserve">Entre las variables cualitativas (Figura 4), la tasa de CHD es mayor en hombres (18,8 % frente a 12,4 % en mujeres), en personas con hipertensión (24,7 % frente a 10,9 %) y con diabetes (36,7 % frente a 14,6 %). El grupo con ACV previo tiene solo 25 personas y su intervalo es muy amplio. En la muestra completa, la diferencia entre fumadores y no fumadores es pequeña (15,9 % frente a 14,5 %), lo que se analiza en la sección 4.2. Estas comparaciones no controlan por otros factores y no permiten establecer causalidad.</w:t>
      </w:r>
    </w:p>
    <w:p>
      <w:pPr>
        <w:pStyle w:val="Figura"/>
        <w:keepNext/>
      </w:pPr>
      <w:r>
        <w:drawing>
          <wp:inline distT="0" distB="0" distL="0" distR="0">
            <wp:extent cx="3168000" cy="1728679"/>
            <wp:effectExtent l="0" t="0" r="0" b="0"/>
            <wp:docPr id="104" name="Figura 104" descr="Tasa de enfermedad coronaria por grupo, con intervalos de confianza de Wilson al 9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fig3_tasas_chd.png"/>
                    <pic:cNvPicPr>
                      <a:picLocks noChangeAspect="1"/>
                    </pic:cNvPicPr>
                  </pic:nvPicPr>
                  <pic:blipFill>
                    <a:blip r:embed="rId104"/>
                    <a:stretch>
                      <a:fillRect/>
                    </a:stretch>
                  </pic:blipFill>
                  <pic:spPr>
                    <a:xfrm>
                      <a:off x="0" y="0"/>
                      <a:ext cx="3168000" cy="1728679"/>
                    </a:xfrm>
                    <a:prstGeom prst="rect">
                      <a:avLst/>
                    </a:prstGeom>
                  </pic:spPr>
                </pic:pic>
              </a:graphicData>
            </a:graphic>
          </wp:inline>
        </w:drawing>
      </w:r>
    </w:p>
    <w:p>
      <w:pPr>
        <w:pStyle w:val="Caption"/>
      </w:pPr>
      <w:r>
        <w:rPr>
          <w:b/>
          <w:bCs/>
        </w:rPr>
        <w:t xml:space="preserve">Figura 4.</w:t>
      </w:r>
      <w:r>
        <w:t xml:space="preserve"> Tasa de enfermedad coronaria por grupo, con intervalos de confianza de Wilson al 95 %.</w:t>
      </w:r>
    </w:p>
    <w:p>
      <w:pPr>
        <w:pStyle w:val="Heading1"/>
      </w:pPr>
      <w:bookmarkStart w:id="107" w:name="_Toc000000107"/>
      <w:r>
        <w:t xml:space="preserve">Estimación de parámetros</w:t>
      </w:r>
      <w:bookmarkEnd w:id="107"/>
    </w:p>
    <w:p>
      <w:pPr>
        <w:pStyle w:val="CuerpoInforme"/>
      </w:pPr>
      <w:r>
        <w:t xml:space="preserve">Se estimó la media poblacional de edad, presión sistólica y colesterol total, variables directamente relacionadas con el riesgo cardiovascular. El intervalo se calculó como x̄ ± t₀,₉₇₅;ₙ₋₁ · s/√n, con la distribución t de Student porque la desviación estándar poblacional es desconocida. Aunque la presión y el colesterol no son normales, con más de 4.000 observaciones el Teorema Central del Límite permite aproximar la distribución de la media por una normal (Wasserman, 2004). Como complemento, la proporción de CHD se estimó con el intervalo de Wilson (Wilson, 1927), que tiene mejor cobertura que la aproximación normal cuando la proporción se aleja de 0,5 (Tabla 5).</w:t>
      </w:r>
    </w:p>
    <w:p>
      <w:pPr>
        <w:pStyle w:val="Caption"/>
        <w:keepNext/>
      </w:pPr>
      <w:r>
        <w:rPr>
          <w:b/>
          <w:bCs/>
        </w:rPr>
        <w:t xml:space="preserve">Tabla 5.</w:t>
      </w:r>
      <w:r>
        <w:t xml:space="preserve"> Estimaciones puntuales e intervalos de confianza al 95 %.</w:t>
      </w:r>
    </w:p>
    <w:tbl>
      <w:tblPr>
        <w:tblW w:w="9072" w:type="dxa"/>
        <w:jc w:val="center"/>
        <w:tblBorders>
          <w:top w:val="single" w:sz="8" w:space="0" w:color="000000"/>
          <w:bottom w:val="single" w:sz="8" w:space="0" w:color="000000"/>
        </w:tblBorders>
        <w:tblLayout w:type="fixed"/>
        <w:tblCellMar>
          <w:top w:w="30" w:type="dxa"/>
          <w:left w:w="70" w:type="dxa"/>
          <w:bottom w:w="30" w:type="dxa"/>
          <w:right w:w="70" w:type="dxa"/>
        </w:tblCellMar>
      </w:tblPr>
      <w:tblGrid>
        <w:gridCol w:w="2972"/>
        <w:gridCol w:w="750"/>
        <w:gridCol w:w="1100"/>
        <w:gridCol w:w="1000"/>
        <w:gridCol w:w="1850"/>
        <w:gridCol w:w="1400"/>
      </w:tblGrid>
      <w:tr>
        <w:trPr>
          <w:cantSplit/>
          <w:tblHeader/>
        </w:trPr>
        <w:tc>
          <w:tcPr>
            <w:tcW w:w="2972" w:type="dxa"/>
            <w:tcBorders>
              <w:bottom w:val="single" w:sz="4" w:space="0" w:color="000000"/>
            </w:tcBorders>
            <w:vAlign w:val="center"/>
          </w:tcPr>
          <w:p>
            <w:pPr>
              <w:pStyle w:val="TablaInforme"/>
              <w:jc w:val="left"/>
            </w:pPr>
            <w:r>
              <w:rPr>
                <w:b/>
                <w:bCs/>
              </w:rPr>
              <w:t xml:space="preserve">Parámetro</w:t>
            </w:r>
          </w:p>
        </w:tc>
        <w:tc>
          <w:tcPr>
            <w:tcW w:w="750" w:type="dxa"/>
            <w:tcBorders>
              <w:bottom w:val="single" w:sz="4" w:space="0" w:color="000000"/>
            </w:tcBorders>
            <w:vAlign w:val="center"/>
          </w:tcPr>
          <w:p>
            <w:pPr>
              <w:pStyle w:val="TablaInforme"/>
              <w:jc w:val="right"/>
            </w:pPr>
            <w:r>
              <w:rPr>
                <w:b/>
                <w:bCs/>
              </w:rPr>
              <w:t xml:space="preserve">n</w:t>
            </w:r>
          </w:p>
        </w:tc>
        <w:tc>
          <w:tcPr>
            <w:tcW w:w="1100" w:type="dxa"/>
            <w:tcBorders>
              <w:bottom w:val="single" w:sz="4" w:space="0" w:color="000000"/>
            </w:tcBorders>
            <w:vAlign w:val="center"/>
          </w:tcPr>
          <w:p>
            <w:pPr>
              <w:pStyle w:val="TablaInforme"/>
              <w:jc w:val="right"/>
            </w:pPr>
            <w:r>
              <w:rPr>
                <w:b/>
                <w:bCs/>
              </w:rPr>
              <w:t xml:space="preserve">Estimación</w:t>
            </w:r>
          </w:p>
        </w:tc>
        <w:tc>
          <w:tcPr>
            <w:tcW w:w="1000" w:type="dxa"/>
            <w:tcBorders>
              <w:bottom w:val="single" w:sz="4" w:space="0" w:color="000000"/>
            </w:tcBorders>
            <w:vAlign w:val="center"/>
          </w:tcPr>
          <w:p>
            <w:pPr>
              <w:pStyle w:val="TablaInforme"/>
              <w:jc w:val="right"/>
            </w:pPr>
            <w:r>
              <w:rPr>
                <w:b/>
                <w:bCs/>
              </w:rPr>
              <w:t xml:space="preserve">Error est.</w:t>
            </w:r>
          </w:p>
        </w:tc>
        <w:tc>
          <w:tcPr>
            <w:tcW w:w="1850" w:type="dxa"/>
            <w:tcBorders>
              <w:bottom w:val="single" w:sz="4" w:space="0" w:color="000000"/>
            </w:tcBorders>
            <w:vAlign w:val="center"/>
          </w:tcPr>
          <w:p>
            <w:pPr>
              <w:pStyle w:val="TablaInforme"/>
              <w:jc w:val="center"/>
            </w:pPr>
            <w:r>
              <w:rPr>
                <w:b/>
                <w:bCs/>
              </w:rPr>
              <w:t xml:space="preserve">IC 95 %</w:t>
            </w:r>
          </w:p>
        </w:tc>
        <w:tc>
          <w:tcPr>
            <w:tcW w:w="1400" w:type="dxa"/>
            <w:tcBorders>
              <w:bottom w:val="single" w:sz="4" w:space="0" w:color="000000"/>
            </w:tcBorders>
            <w:vAlign w:val="center"/>
          </w:tcPr>
          <w:p>
            <w:pPr>
              <w:pStyle w:val="TablaInforme"/>
              <w:jc w:val="left"/>
            </w:pPr>
            <w:r>
              <w:rPr>
                <w:b/>
                <w:bCs/>
              </w:rPr>
              <w:t xml:space="preserve">Método</w:t>
            </w:r>
          </w:p>
        </w:tc>
      </w:tr>
      <w:tr>
        <w:trPr>
          <w:cantSplit/>
        </w:trPr>
        <w:tc>
          <w:tcPr>
            <w:tcW w:w="2972" w:type="dxa"/>
            <w:vAlign w:val="center"/>
          </w:tcPr>
          <w:p>
            <w:pPr>
              <w:pStyle w:val="TablaInforme"/>
              <w:jc w:val="left"/>
            </w:pPr>
            <w:r>
              <w:t xml:space="preserve">Edad media (años)</w:t>
            </w:r>
          </w:p>
        </w:tc>
        <w:tc>
          <w:tcPr>
            <w:tcW w:w="750" w:type="dxa"/>
            <w:vAlign w:val="center"/>
          </w:tcPr>
          <w:p>
            <w:pPr>
              <w:pStyle w:val="TablaInforme"/>
              <w:jc w:val="right"/>
            </w:pPr>
            <w:r>
              <w:t xml:space="preserve">4.240</w:t>
            </w:r>
          </w:p>
        </w:tc>
        <w:tc>
          <w:tcPr>
            <w:tcW w:w="1100" w:type="dxa"/>
            <w:vAlign w:val="center"/>
          </w:tcPr>
          <w:p>
            <w:pPr>
              <w:pStyle w:val="TablaInforme"/>
              <w:jc w:val="right"/>
            </w:pPr>
            <w:r>
              <w:t xml:space="preserve">49,58</w:t>
            </w:r>
          </w:p>
        </w:tc>
        <w:tc>
          <w:tcPr>
            <w:tcW w:w="1000" w:type="dxa"/>
            <w:vAlign w:val="center"/>
          </w:tcPr>
          <w:p>
            <w:pPr>
              <w:pStyle w:val="TablaInforme"/>
              <w:jc w:val="right"/>
            </w:pPr>
            <w:r>
              <w:t xml:space="preserve">0,13</w:t>
            </w:r>
          </w:p>
        </w:tc>
        <w:tc>
          <w:tcPr>
            <w:tcW w:w="1850" w:type="dxa"/>
            <w:vAlign w:val="center"/>
          </w:tcPr>
          <w:p>
            <w:pPr>
              <w:pStyle w:val="TablaInforme"/>
              <w:jc w:val="center"/>
            </w:pPr>
            <w:r>
              <w:t xml:space="preserve">[49,32; 49,84]</w:t>
            </w:r>
          </w:p>
        </w:tc>
        <w:tc>
          <w:tcPr>
            <w:tcW w:w="1400" w:type="dxa"/>
            <w:vAlign w:val="center"/>
          </w:tcPr>
          <w:p>
            <w:pPr>
              <w:pStyle w:val="TablaInforme"/>
              <w:jc w:val="left"/>
            </w:pPr>
            <w:r>
              <w:t xml:space="preserve">t de Student</w:t>
            </w:r>
          </w:p>
        </w:tc>
      </w:tr>
      <w:tr>
        <w:trPr>
          <w:cantSplit/>
        </w:trPr>
        <w:tc>
          <w:tcPr>
            <w:tcW w:w="2972" w:type="dxa"/>
            <w:vAlign w:val="center"/>
          </w:tcPr>
          <w:p>
            <w:pPr>
              <w:pStyle w:val="TablaInforme"/>
              <w:jc w:val="left"/>
            </w:pPr>
            <w:r>
              <w:t xml:space="preserve">Presión sistólica media (mmHg)</w:t>
            </w:r>
          </w:p>
        </w:tc>
        <w:tc>
          <w:tcPr>
            <w:tcW w:w="750" w:type="dxa"/>
            <w:vAlign w:val="center"/>
          </w:tcPr>
          <w:p>
            <w:pPr>
              <w:pStyle w:val="TablaInforme"/>
              <w:jc w:val="right"/>
            </w:pPr>
            <w:r>
              <w:t xml:space="preserve">4.240</w:t>
            </w:r>
          </w:p>
        </w:tc>
        <w:tc>
          <w:tcPr>
            <w:tcW w:w="1100" w:type="dxa"/>
            <w:vAlign w:val="center"/>
          </w:tcPr>
          <w:p>
            <w:pPr>
              <w:pStyle w:val="TablaInforme"/>
              <w:jc w:val="right"/>
            </w:pPr>
            <w:r>
              <w:t xml:space="preserve">132,35</w:t>
            </w:r>
          </w:p>
        </w:tc>
        <w:tc>
          <w:tcPr>
            <w:tcW w:w="1000" w:type="dxa"/>
            <w:vAlign w:val="center"/>
          </w:tcPr>
          <w:p>
            <w:pPr>
              <w:pStyle w:val="TablaInforme"/>
              <w:jc w:val="right"/>
            </w:pPr>
            <w:r>
              <w:t xml:space="preserve">0,34</w:t>
            </w:r>
          </w:p>
        </w:tc>
        <w:tc>
          <w:tcPr>
            <w:tcW w:w="1850" w:type="dxa"/>
            <w:vAlign w:val="center"/>
          </w:tcPr>
          <w:p>
            <w:pPr>
              <w:pStyle w:val="TablaInforme"/>
              <w:jc w:val="center"/>
            </w:pPr>
            <w:r>
              <w:t xml:space="preserve">[131,69; 133,02]</w:t>
            </w:r>
          </w:p>
        </w:tc>
        <w:tc>
          <w:tcPr>
            <w:tcW w:w="1400" w:type="dxa"/>
            <w:vAlign w:val="center"/>
          </w:tcPr>
          <w:p>
            <w:pPr>
              <w:pStyle w:val="TablaInforme"/>
              <w:jc w:val="left"/>
            </w:pPr>
            <w:r>
              <w:t xml:space="preserve">t de Student</w:t>
            </w:r>
          </w:p>
        </w:tc>
      </w:tr>
      <w:tr>
        <w:trPr>
          <w:cantSplit/>
        </w:trPr>
        <w:tc>
          <w:tcPr>
            <w:tcW w:w="2972" w:type="dxa"/>
            <w:vAlign w:val="center"/>
          </w:tcPr>
          <w:p>
            <w:pPr>
              <w:pStyle w:val="TablaInforme"/>
              <w:jc w:val="left"/>
            </w:pPr>
            <w:r>
              <w:t xml:space="preserve">Colesterol total medio (mg/dL)</w:t>
            </w:r>
          </w:p>
        </w:tc>
        <w:tc>
          <w:tcPr>
            <w:tcW w:w="750" w:type="dxa"/>
            <w:vAlign w:val="center"/>
          </w:tcPr>
          <w:p>
            <w:pPr>
              <w:pStyle w:val="TablaInforme"/>
              <w:jc w:val="right"/>
            </w:pPr>
            <w:r>
              <w:t xml:space="preserve">4.190</w:t>
            </w:r>
          </w:p>
        </w:tc>
        <w:tc>
          <w:tcPr>
            <w:tcW w:w="1100" w:type="dxa"/>
            <w:vAlign w:val="center"/>
          </w:tcPr>
          <w:p>
            <w:pPr>
              <w:pStyle w:val="TablaInforme"/>
              <w:jc w:val="right"/>
            </w:pPr>
            <w:r>
              <w:t xml:space="preserve">236,70</w:t>
            </w:r>
          </w:p>
        </w:tc>
        <w:tc>
          <w:tcPr>
            <w:tcW w:w="1000" w:type="dxa"/>
            <w:vAlign w:val="center"/>
          </w:tcPr>
          <w:p>
            <w:pPr>
              <w:pStyle w:val="TablaInforme"/>
              <w:jc w:val="right"/>
            </w:pPr>
            <w:r>
              <w:t xml:space="preserve">0,69</w:t>
            </w:r>
          </w:p>
        </w:tc>
        <w:tc>
          <w:tcPr>
            <w:tcW w:w="1850" w:type="dxa"/>
            <w:vAlign w:val="center"/>
          </w:tcPr>
          <w:p>
            <w:pPr>
              <w:pStyle w:val="TablaInforme"/>
              <w:jc w:val="center"/>
            </w:pPr>
            <w:r>
              <w:t xml:space="preserve">[235,35; 238,05]</w:t>
            </w:r>
          </w:p>
        </w:tc>
        <w:tc>
          <w:tcPr>
            <w:tcW w:w="1400" w:type="dxa"/>
            <w:vAlign w:val="center"/>
          </w:tcPr>
          <w:p>
            <w:pPr>
              <w:pStyle w:val="TablaInforme"/>
              <w:jc w:val="left"/>
            </w:pPr>
            <w:r>
              <w:t xml:space="preserve">t de Student</w:t>
            </w:r>
          </w:p>
        </w:tc>
      </w:tr>
      <w:tr>
        <w:trPr>
          <w:cantSplit/>
        </w:trPr>
        <w:tc>
          <w:tcPr>
            <w:tcW w:w="2972" w:type="dxa"/>
            <w:vAlign w:val="center"/>
          </w:tcPr>
          <w:p>
            <w:pPr>
              <w:pStyle w:val="TablaInforme"/>
              <w:jc w:val="left"/>
            </w:pPr>
            <w:r>
              <w:t xml:space="preserve">Proporción de CHD a 10 años (%)</w:t>
            </w:r>
          </w:p>
        </w:tc>
        <w:tc>
          <w:tcPr>
            <w:tcW w:w="750" w:type="dxa"/>
            <w:vAlign w:val="center"/>
          </w:tcPr>
          <w:p>
            <w:pPr>
              <w:pStyle w:val="TablaInforme"/>
              <w:jc w:val="right"/>
            </w:pPr>
            <w:r>
              <w:t xml:space="preserve">4.240</w:t>
            </w:r>
          </w:p>
        </w:tc>
        <w:tc>
          <w:tcPr>
            <w:tcW w:w="1100" w:type="dxa"/>
            <w:vAlign w:val="center"/>
          </w:tcPr>
          <w:p>
            <w:pPr>
              <w:pStyle w:val="TablaInforme"/>
              <w:jc w:val="right"/>
            </w:pPr>
            <w:r>
              <w:t xml:space="preserve">15,19</w:t>
            </w:r>
          </w:p>
        </w:tc>
        <w:tc>
          <w:tcPr>
            <w:tcW w:w="1000" w:type="dxa"/>
            <w:vAlign w:val="center"/>
          </w:tcPr>
          <w:p>
            <w:pPr>
              <w:pStyle w:val="TablaInforme"/>
              <w:jc w:val="right"/>
            </w:pPr>
            <w:r>
              <w:t xml:space="preserve">0,55</w:t>
            </w:r>
          </w:p>
        </w:tc>
        <w:tc>
          <w:tcPr>
            <w:tcW w:w="1850" w:type="dxa"/>
            <w:vAlign w:val="center"/>
          </w:tcPr>
          <w:p>
            <w:pPr>
              <w:pStyle w:val="TablaInforme"/>
              <w:jc w:val="center"/>
            </w:pPr>
            <w:r>
              <w:t xml:space="preserve">[14,14; 16,30]</w:t>
            </w:r>
          </w:p>
        </w:tc>
        <w:tc>
          <w:tcPr>
            <w:tcW w:w="1400" w:type="dxa"/>
            <w:vAlign w:val="center"/>
          </w:tcPr>
          <w:p>
            <w:pPr>
              <w:pStyle w:val="TablaInforme"/>
              <w:jc w:val="left"/>
            </w:pPr>
            <w:r>
              <w:t xml:space="preserve">Wilson</w:t>
            </w:r>
          </w:p>
        </w:tc>
      </w:tr>
    </w:tbl>
    <w:p>
      <w:pPr>
        <w:pStyle w:val="Espacio"/>
      </w:pPr>
    </w:p>
    <w:p>
      <w:pPr>
        <w:pStyle w:val="CuerpoInforme"/>
      </w:pPr>
      <w:r>
        <w:t xml:space="preserve">Con un 95 % de confianza, la presión sistólica media de la población representada está entre 131,69 y 133,02 mmHg, y la proporción de CHD a diez años, entre 14,14 % y 16,30 %; los demás intervalos se leen de la misma forma. Es decir, si el procedimiento se repitiera con muchas muestras, cerca del 95 % de los intervalos contendría el valor real. Son estrechos por el tamaño de la muestra.</w:t>
      </w:r>
    </w:p>
    <w:p>
      <w:pPr>
        <w:pStyle w:val="CuerpoInforme"/>
      </w:pPr>
      <w:r>
        <w:t xml:space="preserve">Las estimaciones tienen tres limitaciones: el intervalo refleja solo la variabilidad del muestreo y no corrige sesgos de selección, por lo que una cohorte histórica de Estados Unidos no representa necesariamente a la población actual ni a la chilena; el colesterol se estimó con 4.190 casos y podría tener sesgo si los faltantes se relacionan con el estado de salud; y en variables asimétricas la media se ve influida por valores extremos, por lo que conviene leerla junto a la mediana.</w:t>
      </w:r>
    </w:p>
    <w:p>
      <w:pPr>
        <w:pStyle w:val="Heading1"/>
      </w:pPr>
      <w:bookmarkStart w:id="108" w:name="_Toc000000108"/>
      <w:r>
        <w:t xml:space="preserve">Pruebas de hipótesis</w:t>
      </w:r>
      <w:bookmarkEnd w:id="108"/>
    </w:p>
    <w:p>
      <w:pPr>
        <w:pStyle w:val="CuerpoInforme"/>
      </w:pPr>
      <w:r>
        <w:t xml:space="preserve">Se usó α = 0,05, nivel habitual en investigación biomédica, que limita al 5 % la probabilidad de rechazar una hipótesis nula verdadera. Como en muestras grandes diferencias pequeñas resultan significativas, cada prueba incluye el tamaño del efecto.</w:t>
      </w:r>
    </w:p>
    <w:p>
      <w:pPr>
        <w:pStyle w:val="Heading2"/>
      </w:pPr>
      <w:bookmarkStart w:id="103" w:name="_Toc000000103"/>
      <w:r>
        <w:t xml:space="preserve">Prueba 1: presión sistólica y enfermedad coronaria</w:t>
      </w:r>
      <w:bookmarkEnd w:id="103"/>
    </w:p>
    <w:p>
      <w:pPr>
        <w:pStyle w:val="CuerpoInforme"/>
        <w:keepNext/>
      </w:pPr>
      <w:r>
        <w:t xml:space="preserve">Se evaluó si la presión sistólica media difiere entre quienes desarrollan CHD (μ₁) y quienes no (μ₀):</w:t>
      </w:r>
    </w:p>
    <w:p>
      <w:pPr>
        <w:pStyle w:val="CuerpoInforme"/>
        <w:jc w:val="center"/>
      </w:pPr>
      <w:r>
        <w:t xml:space="preserve">H₀: μ₁ = μ₀        frente a        H₁: μ₁ ≠ μ₀</w:t>
      </w:r>
    </w:p>
    <w:p>
      <w:pPr>
        <w:pStyle w:val="CuerpoInforme"/>
      </w:pPr>
      <w:r>
        <w:rPr>
          <w:b/>
          <w:bCs/>
        </w:rPr>
        <w:t xml:space="preserve">Supuestos.</w:t>
      </w:r>
      <w:r>
        <w:t xml:space="preserve"> Se asume independencia, ya que cada fila corresponde a un participante distinto. La prueba de D'Agostino-Pearson rechaza la normalidad en ambos grupos (p &lt; 0,001) y los gráficos Q-Q muestran asimetría positiva (Figura 5), pero con 3.596 y 644 observaciones el Teorema Central del Límite permite aplicar una prueba t sobre las medias. Levene rechaza la igualdad de varianzas (W = 65,32; p &lt; 0,001), por lo que se usó la prueba t de Welch (Welch, 1947), y como comprobación, la prueba U de Mann-Whitney.</w:t>
      </w:r>
    </w:p>
    <w:p>
      <w:pPr>
        <w:pStyle w:val="Figura"/>
        <w:keepNext/>
      </w:pPr>
      <w:r>
        <w:drawing>
          <wp:inline distT="0" distB="0" distL="0" distR="0">
            <wp:extent cx="4320000" cy="1174609"/>
            <wp:effectExtent l="0" t="0" r="0" b="0"/>
            <wp:docPr id="105" name="Figura 105" descr="Presión sistólica según enfermedad coronaria y gráficos Q-Q de normalidad por gru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fig1_sysbp_supuestos.png"/>
                    <pic:cNvPicPr>
                      <a:picLocks noChangeAspect="1"/>
                    </pic:cNvPicPr>
                  </pic:nvPicPr>
                  <pic:blipFill>
                    <a:blip r:embed="rId105"/>
                    <a:stretch>
                      <a:fillRect/>
                    </a:stretch>
                  </pic:blipFill>
                  <pic:spPr>
                    <a:xfrm>
                      <a:off x="0" y="0"/>
                      <a:ext cx="4320000" cy="1174609"/>
                    </a:xfrm>
                    <a:prstGeom prst="rect">
                      <a:avLst/>
                    </a:prstGeom>
                  </pic:spPr>
                </pic:pic>
              </a:graphicData>
            </a:graphic>
          </wp:inline>
        </w:drawing>
      </w:r>
    </w:p>
    <w:p>
      <w:pPr>
        <w:pStyle w:val="Caption"/>
      </w:pPr>
      <w:r>
        <w:rPr>
          <w:b/>
          <w:bCs/>
        </w:rPr>
        <w:t xml:space="preserve">Figura 5.</w:t>
      </w:r>
      <w:r>
        <w:t xml:space="preserve"> Presión sistólica según enfermedad coronaria y gráficos Q-Q de normalidad por grupo.</w:t>
      </w:r>
    </w:p>
    <w:p>
      <w:pPr>
        <w:pStyle w:val="CuerpoInforme"/>
      </w:pPr>
      <w:r>
        <w:rPr>
          <w:b/>
          <w:bCs/>
        </w:rPr>
        <w:t xml:space="preserve">Resultado.</w:t>
      </w:r>
      <w:r>
        <w:t xml:space="preserve"> La presión sistólica media es de 143,62 mmHg en el grupo con CHD y de 130,34 mmHg en el grupo sin CHD. La diferencia es de 13,28 mmHg (IC 95 %: 11,11 a 15,45; t = 12,01; gl = 783,8; p &lt; 0,001), por lo que se rechaza H₀. Mann-Whitney también es significativa (p &lt; 0,001) y el tamaño del efecto es moderado (d de Cohen = 0,62; Cohen, 1988).</w:t>
      </w:r>
    </w:p>
    <w:p>
      <w:pPr>
        <w:pStyle w:val="CuerpoInforme"/>
      </w:pPr>
      <w:r>
        <w:rPr>
          <w:b/>
          <w:bCs/>
        </w:rPr>
        <w:t xml:space="preserve">Implicancias.</w:t>
      </w:r>
      <w:r>
        <w:t xml:space="preserve"> La presión sistólica se asocia con el riesgo coronario y debe incluirse en los modelos de las fases siguientes; para la toma de decisiones, respalda priorizar su control en programas de prevención. Al ser una comparación bivariada, no demuestra causalidad: parte de la diferencia podría deberse a la edad.</w:t>
      </w:r>
    </w:p>
    <w:p>
      <w:pPr>
        <w:pStyle w:val="Heading2"/>
      </w:pPr>
      <w:bookmarkStart w:id="104" w:name="_Toc000000104"/>
      <w:r>
        <w:t xml:space="preserve">Prueba 2: tabaquismo y enfermedad coronaria</w:t>
      </w:r>
      <w:bookmarkEnd w:id="104"/>
    </w:p>
    <w:p>
      <w:pPr>
        <w:pStyle w:val="CuerpoInforme"/>
        <w:keepNext/>
      </w:pPr>
      <w:r>
        <w:t xml:space="preserve">Se evaluó la independencia entre el tabaquismo actual y el desarrollo de CHD:</w:t>
      </w:r>
    </w:p>
    <w:p>
      <w:pPr>
        <w:pStyle w:val="CuerpoInforme"/>
        <w:jc w:val="center"/>
      </w:pPr>
      <w:r>
        <w:t xml:space="preserve">H₀: tabaquismo y CHD son independientes        frente a        H₁: están asociados</w:t>
      </w:r>
    </w:p>
    <w:p>
      <w:pPr>
        <w:pStyle w:val="CuerpoInforme"/>
      </w:pPr>
      <w:r>
        <w:rPr>
          <w:b/>
          <w:bCs/>
        </w:rPr>
        <w:t xml:space="preserve">Supuestos.</w:t>
      </w:r>
      <w:r>
        <w:t xml:space="preserve"> Ambas variables son nominales, por lo que se usó la prueba χ² de independencia sobre una tabla de 2 × 2 con corrección de Yates. La frecuencia esperada mínima es 318,2, muy superior a 5.</w:t>
      </w:r>
    </w:p>
    <w:p>
      <w:pPr>
        <w:pStyle w:val="CuerpoInforme"/>
      </w:pPr>
      <w:r>
        <w:rPr>
          <w:b/>
          <w:bCs/>
        </w:rPr>
        <w:t xml:space="preserve">Resultado.</w:t>
      </w:r>
      <w:r>
        <w:t xml:space="preserve"> La tasa de CHD es de 15,9 % en fumadores (333 de 2.095) y de 14,5 % en no fumadores (311 de 2.145). La prueba no es significativa (χ² = 1,50; gl = 1; p = 0,221) y la asociación es prácticamente nula (V de Cramér = 0,019), por lo que no se rechaza H₀.</w:t>
      </w:r>
    </w:p>
    <w:p>
      <w:pPr>
        <w:pStyle w:val="CuerpoInforme"/>
      </w:pPr>
      <w:r>
        <w:t xml:space="preserve">Esto no implica que fumar no tenga efecto. En la muestra, los fumadores son más jóvenes que los no fumadores (47,7 frente a 51,4 años), y la edad es uno de los principales factores de riesgo. Dentro de cada tramo de edad, los fumadores tienen tasas mayores (notebook, Parte 3): 8,4 % frente a 4,1 % hasta los 45 años, 18,6 % frente a 13,1 % entre 46 y 55, y 28,6 % frente a 24,6 % sobre los 55. La edad actúa como variable de confusión.</w:t>
      </w:r>
    </w:p>
    <w:p>
      <w:pPr>
        <w:pStyle w:val="CuerpoInforme"/>
      </w:pPr>
      <w:r>
        <w:rPr>
          <w:b/>
          <w:bCs/>
        </w:rPr>
        <w:t xml:space="preserve">Implicancias.</w:t>
      </w:r>
      <w:r>
        <w:t xml:space="preserve"> Una prueba bivariada aislada puede ocultar una relación cuando hay variables de confusión. Para decidir, por ejemplo, a qué grupos dirigir campañas antitabaco, el efecto del tabaquismo debe estimarse controlando por la edad, lo que se abordará con regresión logística múltiple.</w:t>
      </w:r>
    </w:p>
    <w:p>
      <w:pPr>
        <w:pStyle w:val="Heading1"/>
      </w:pPr>
      <w:bookmarkStart w:id="109" w:name="_Toc000000109"/>
      <w:r>
        <w:t xml:space="preserve">Informe de avance del proyecto</w:t>
      </w:r>
      <w:bookmarkEnd w:id="109"/>
    </w:p>
    <w:p>
      <w:pPr>
        <w:pStyle w:val="CuerpoInforme"/>
      </w:pPr>
      <w:r>
        <w:rPr>
          <w:b/>
          <w:bCs/>
        </w:rPr>
        <w:t xml:space="preserve">Introducción al problema.</w:t>
      </w:r>
      <w:r>
        <w:t xml:space="preserve"> La enfermedad coronaria es una de las principales causas de muerte en el mundo. Identificar qué características se asocian a un mayor riesgo permite orientar la prevención y priorizar recursos. El proyecto aborda este problema de decisión bajo incertidumbre con el objetivo de estimar el riesgo de CHD a diez años.</w:t>
      </w:r>
    </w:p>
    <w:p>
      <w:pPr>
        <w:pStyle w:val="CuerpoInforme"/>
      </w:pPr>
      <w:r>
        <w:rPr>
          <w:b/>
          <w:bCs/>
        </w:rPr>
        <w:t xml:space="preserve">Métodos.</w:t>
      </w:r>
      <w:r>
        <w:t xml:space="preserve"> Se revisó y limpió la base; se describieron las variables según su tipo; se analizaron relaciones bivariadas con correlaciones de Spearman, comparaciones de medias y tasas por grupo; se estimaron parámetros con intervalos al 95 %, y se aplicaron una prueba t de Welch y una prueba χ² de independencia.</w:t>
      </w:r>
    </w:p>
    <w:p>
      <w:pPr>
        <w:pStyle w:val="CuerpoInforme"/>
      </w:pPr>
      <w:r>
        <w:rPr>
          <w:b/>
          <w:bCs/>
        </w:rPr>
        <w:t xml:space="preserve">Resultados e interpretación preliminar.</w:t>
      </w:r>
      <w:r>
        <w:t xml:space="preserve"> La muestra presenta una alta frecuencia de factores de riesgo y una tasa de CHD del 15,2 %. La edad, la presión sistólica, la hipertensión, la diabetes y el sexo masculino muestran las asociaciones más claras con el desenlace. El caso del tabaquismo muestra que una relación puede quedar oculta por la edad, por lo que se requiere un análisis multivariado antes de extraer conclusiones.</w:t>
      </w:r>
    </w:p>
    <w:p>
      <w:pPr>
        <w:pStyle w:val="CuerpoInforme"/>
        <w:keepNext/>
      </w:pPr>
      <w:r>
        <w:rPr>
          <w:b/>
          <w:bCs/>
        </w:rPr>
        <w:t xml:space="preserve">Próximos pasos.</w:t>
      </w:r>
    </w:p>
    <w:p>
      <w:pPr>
        <w:pStyle w:val="CuerpoInforme"/>
        <w:numPr>
          <w:ilvl w:val="0"/>
          <w:numId w:val="20"/>
        </w:numPr>
        <w:spacing w:after="40"/>
      </w:pPr>
      <w:r>
        <w:t xml:space="preserve">Imputar los valores faltantes y evaluar su efecto en los resultados.</w:t>
      </w:r>
    </w:p>
    <w:p>
      <w:pPr>
        <w:pStyle w:val="CuerpoInforme"/>
        <w:numPr>
          <w:ilvl w:val="0"/>
          <w:numId w:val="20"/>
        </w:numPr>
        <w:spacing w:after="40"/>
      </w:pPr>
      <w:r>
        <w:t xml:space="preserve">Ajustar una regresión logística múltiple que estime el efecto de cada factor controlando por los demás.</w:t>
      </w:r>
    </w:p>
    <w:p>
      <w:pPr>
        <w:pStyle w:val="CuerpoInforme"/>
        <w:numPr>
          <w:ilvl w:val="0"/>
          <w:numId w:val="20"/>
        </w:numPr>
        <w:spacing w:after="40"/>
      </w:pPr>
      <w:r>
        <w:t xml:space="preserve">Evaluar los modelos con métricas adecuadas al desbalance de la variable objetivo y validarlos con datos no usados en su ajuste.</w:t>
      </w:r>
    </w:p>
    <w:p>
      <w:pPr>
        <w:pStyle w:val="CuerpoInforme"/>
        <w:numPr>
          <w:ilvl w:val="0"/>
          <w:numId w:val="20"/>
        </w:numPr>
        <w:spacing w:after="40"/>
      </w:pPr>
      <w:r>
        <w:t xml:space="preserve">No incluir juntas variables muy correlacionadas, como la presión sistólica y la diastólica.</w:t>
      </w:r>
    </w:p>
    <w:p>
      <w:pPr>
        <w:pStyle w:val="Heading1"/>
      </w:pPr>
      <w:bookmarkStart w:id="110" w:name="_Toc000000110"/>
      <w:r>
        <w:t xml:space="preserve">Notebook y repositorio GitHub</w:t>
      </w:r>
      <w:bookmarkEnd w:id="110"/>
    </w:p>
    <w:p>
      <w:pPr>
        <w:pStyle w:val="CuerpoInforme"/>
      </w:pPr>
      <w:r>
        <w:t xml:space="preserve">El análisis se realizó en Python con pandas (McKinney, 2010), SciPy (Virtanen et al., 2020), statsmodels (Seabold y Perktold, 2010), matplotlib y seaborn. El notebook sumativa-1/notebook.ipynb reúne las tres partes del análisis en el orden de este informe, genera todas las tablas y figuras, y fija la semilla 42 para asegurar la reproducibilidad. El repositorio incluye los datos, los notebooks de cada parte y requirements.txt con las versiones utilizadas: https://github.com/vbravo29/MCDI501-estadistica-computacional.</w:t>
      </w:r>
    </w:p>
    <w:p>
      <w:pPr>
        <w:pStyle w:val="Heading1"/>
      </w:pPr>
      <w:bookmarkStart w:id="111" w:name="_Toc000000111"/>
      <w:r>
        <w:t xml:space="preserve">Bibliografía (APA 7)</w:t>
      </w:r>
      <w:bookmarkEnd w:id="111"/>
    </w:p>
    <w:p>
      <w:pPr>
        <w:pStyle w:val="Bibliografia"/>
      </w:pPr>
      <w:r>
        <w:t xml:space="preserve">Cohen, J. (1988). </w:t>
      </w:r>
      <w:r>
        <w:rPr>
          <w:i/>
          <w:iCs/>
        </w:rPr>
        <w:t xml:space="preserve">Statistical power analysis for the behavioral sciences</w:t>
      </w:r>
      <w:r>
        <w:t xml:space="preserve"> (2.ª ed.). Lawrence Erlbaum Associates.</w:t>
      </w:r>
    </w:p>
    <w:p>
      <w:pPr>
        <w:pStyle w:val="Bibliografia"/>
      </w:pPr>
      <w:r>
        <w:t xml:space="preserve">Dawber, T. R., Meadors, G. F., &amp; Moore, F. E., Jr. (1951). Epidemiological approaches to heart disease: The Framingham Study. </w:t>
      </w:r>
      <w:r>
        <w:rPr>
          <w:i/>
          <w:iCs/>
        </w:rPr>
        <w:t xml:space="preserve">American Journal of Public Health and the Nation's Health, 41</w:t>
      </w:r>
      <w:r>
        <w:t xml:space="preserve">(3), 279–286. https://doi.org/10.2105/AJPH.41.3.279</w:t>
      </w:r>
    </w:p>
    <w:p>
      <w:pPr>
        <w:pStyle w:val="Bibliografia"/>
      </w:pPr>
      <w:r>
        <w:t xml:space="preserve">dileep070. (s. f.). </w:t>
      </w:r>
      <w:r>
        <w:rPr>
          <w:i/>
          <w:iCs/>
        </w:rPr>
        <w:t xml:space="preserve">Heart disease prediction using logistic regression</w:t>
      </w:r>
      <w:r>
        <w:t xml:space="preserve"> [Conjunto de datos]. Kaggle. https://www.kaggle.com/datasets/dileep070/heart-disease-prediction-using-logistic-regression</w:t>
      </w:r>
    </w:p>
    <w:p>
      <w:pPr>
        <w:pStyle w:val="Bibliografia"/>
      </w:pPr>
      <w:r>
        <w:t xml:space="preserve">McKinney, W. (2010). Data structures for statistical computing in Python. En </w:t>
      </w:r>
      <w:r>
        <w:rPr>
          <w:i/>
          <w:iCs/>
        </w:rPr>
        <w:t xml:space="preserve">Proceedings of the 9th Python in Science Conference</w:t>
      </w:r>
      <w:r>
        <w:t xml:space="preserve"> (pp. 56–61). https://doi.org/10.25080/Majora-92bf1922-00a</w:t>
      </w:r>
    </w:p>
    <w:p>
      <w:pPr>
        <w:pStyle w:val="Bibliografia"/>
      </w:pPr>
      <w:r>
        <w:t xml:space="preserve">Seabold, S., &amp; Perktold, J. (2010). Statsmodels: Econometric and statistical modeling with Python. En </w:t>
      </w:r>
      <w:r>
        <w:rPr>
          <w:i/>
          <w:iCs/>
        </w:rPr>
        <w:t xml:space="preserve">Proceedings of the 9th Python in Science Conference</w:t>
      </w:r>
      <w:r>
        <w:t xml:space="preserve"> (pp. 92–96). https://doi.org/10.25080/Majora-92bf1922-011</w:t>
      </w:r>
    </w:p>
    <w:p>
      <w:pPr>
        <w:pStyle w:val="Bibliografia"/>
      </w:pPr>
      <w:r>
        <w:t xml:space="preserve">Virtanen, P., Gommers, R., Oliphant, T. E., Haberland, M., Reddy, T., Cournapeau, D., … SciPy 1.0 Contributors. (2020). SciPy 1.0: Fundamental algorithms for scientific computing in Python. </w:t>
      </w:r>
      <w:r>
        <w:rPr>
          <w:i/>
          <w:iCs/>
        </w:rPr>
        <w:t xml:space="preserve">Nature Methods, 17</w:t>
      </w:r>
      <w:r>
        <w:t xml:space="preserve">(3), 261–272. https://doi.org/10.1038/s41592-019-0686-2</w:t>
      </w:r>
    </w:p>
    <w:p>
      <w:pPr>
        <w:pStyle w:val="Bibliografia"/>
      </w:pPr>
      <w:r>
        <w:t xml:space="preserve">Wasserman, L. (2004). </w:t>
      </w:r>
      <w:r>
        <w:rPr>
          <w:i/>
          <w:iCs/>
        </w:rPr>
        <w:t xml:space="preserve">All of statistics: A concise course in statistical inference</w:t>
      </w:r>
      <w:r>
        <w:t xml:space="preserve">. Springer.</w:t>
      </w:r>
    </w:p>
    <w:p>
      <w:pPr>
        <w:pStyle w:val="Bibliografia"/>
      </w:pPr>
      <w:r>
        <w:t xml:space="preserve">Welch, B. L. (1947). The generalization of “Student's” problem when several different population variances are involved. </w:t>
      </w:r>
      <w:r>
        <w:rPr>
          <w:i/>
          <w:iCs/>
        </w:rPr>
        <w:t xml:space="preserve">Biometrika, 34</w:t>
      </w:r>
      <w:r>
        <w:t xml:space="preserve">(1–2), 28–35. https://doi.org/10.1093/biomet/34.1-2.28</w:t>
      </w:r>
    </w:p>
    <w:p>
      <w:pPr>
        <w:pStyle w:val="Bibliografia"/>
      </w:pPr>
      <w:r>
        <w:t xml:space="preserve">Wilson, E. B. (1927). Probable inference, the law of succession, and statistical inference. </w:t>
      </w:r>
      <w:r>
        <w:rPr>
          <w:i/>
          <w:iCs/>
        </w:rPr>
        <w:t xml:space="preserve">Journal of the American Statistical Association, 22</w:t>
      </w:r>
      <w:r>
        <w:t xml:space="preserve">(158), 209–212. https://doi.org/10.1080/01621459.1927.10502953</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5A5A5A"/>
        <w:sz w:val="16"/>
        <w:szCs w:val="16"/>
      </w:rPr>
      <w:t xml:space="preserve">Magíster en Ciencia de Datos e Inteligencia Artificial</w:t>
    </w:r>
    <w:r>
      <w:t xml:space="preserv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10">
    <w:multiLevelType w:val="multilevel"/>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abstractNum>
  <w:abstractNum w:abstractNumId="20">
    <w:multiLevelType w:val="hybridMultilevel"/>
    <w:lvl w:ilvl="0">
      <w:start w:val="1"/>
      <w:numFmt w:val="bullet"/>
      <w:lvlText w:val="•"/>
      <w:lvlJc w:val="left"/>
      <w:pPr>
        <w:ind w:left="567" w:hanging="283"/>
      </w:pPr>
      <w:rPr>
        <w:rFonts w:ascii="Calibri" w:cs="Calibri" w:eastAsia="Calibri" w:hAnsi="Calibri"/>
      </w:rPr>
    </w:lvl>
  </w:abstractNum>
  <w:num w:numId="1">
    <w:abstractNumId w:val="1"/>
    <w:lvlOverride w:ilvl="0">
      <w:startOverride w:val="1"/>
    </w:lvlOverride>
  </w:num>
  <w:num w:numId="10">
    <w:abstractNumId w:val="10"/>
  </w:num>
  <w:num w:numId="20">
    <w:abstractNumId w:val="2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numPr>
        <w:ilvl w:val="0"/>
        <w:numId w:val="10"/>
      </w:numPr>
      <w:spacing w:after="160" w:before="360"/>
      <w:outlineLvl w:val="0"/>
    </w:pPr>
    <w:rPr>
      <w:rFonts w:ascii="Calibri" w:cs="Calibri" w:eastAsia="Calibri" w:hAnsi="Calibri"/>
      <w:b/>
      <w:bCs/>
      <w:color w:val="000000"/>
      <w:sz w:val="28"/>
      <w:szCs w:val="28"/>
    </w:rPr>
  </w:style>
  <w:style w:type="paragraph" w:styleId="Heading2">
    <w:name w:val="Heading 2"/>
    <w:basedOn w:val="Normal"/>
    <w:next w:val="Normal"/>
    <w:qFormat/>
    <w:pPr>
      <w:keepNext/>
      <w:keepLines/>
      <w:numPr>
        <w:ilvl w:val="1"/>
        <w:numId w:val="10"/>
      </w:numPr>
      <w:spacing w:after="120" w:before="260"/>
      <w:outlineLvl w:val="1"/>
    </w:pPr>
    <w:rPr>
      <w:rFonts w:ascii="Calibri" w:cs="Calibri" w:eastAsia="Calibri" w:hAnsi="Calibri"/>
      <w:b/>
      <w:bCs/>
      <w:color w:val="000000"/>
      <w:sz w:val="24"/>
      <w:szCs w:val="24"/>
    </w:rPr>
  </w:style>
  <w:style w:type="paragraph" w:default="1" w:styleId="Normal">
    <w:name w:val="Normal"/>
    <w:qFormat/>
  </w:style>
  <w:style w:type="paragraph" w:customStyle="1" w:styleId="CuerpoInforme">
    <w:name w:val="Cuerpo informe"/>
    <w:basedOn w:val="Normal"/>
    <w:qFormat/>
    <w:pPr>
      <w:spacing w:after="100" w:line="252" w:lineRule="auto"/>
      <w:jc w:val="both"/>
    </w:pPr>
    <w:rPr>
      <w:rFonts w:ascii="Calibri" w:cs="Calibri" w:eastAsia="Calibri" w:hAnsi="Calibri"/>
      <w:sz w:val="22"/>
      <w:szCs w:val="22"/>
    </w:rPr>
  </w:style>
  <w:style w:type="paragraph" w:customStyle="1" w:styleId="TablaInforme">
    <w:name w:val="Tabla informe"/>
    <w:basedOn w:val="Normal"/>
    <w:qFormat/>
    <w:pPr>
      <w:spacing w:after="0" w:line="240" w:lineRule="auto"/>
    </w:pPr>
    <w:rPr>
      <w:rFonts w:ascii="Calibri" w:cs="Calibri" w:eastAsia="Calibri" w:hAnsi="Calibri"/>
      <w:sz w:val="18"/>
      <w:szCs w:val="18"/>
    </w:rPr>
  </w:style>
  <w:style w:type="paragraph" w:customStyle="1" w:styleId="Figura">
    <w:name w:val="Figura informe"/>
    <w:basedOn w:val="Normal"/>
    <w:qFormat/>
    <w:pPr>
      <w:spacing w:before="120" w:after="60"/>
      <w:jc w:val="center"/>
    </w:pPr>
  </w:style>
  <w:style w:type="paragraph" w:customStyle="1" w:styleId="Espacio">
    <w:name w:val="Espacio tras tabla"/>
    <w:basedOn w:val="Normal"/>
    <w:pPr>
      <w:spacing w:after="0" w:line="120" w:lineRule="exact"/>
    </w:pPr>
    <w:rPr>
      <w:sz w:val="12"/>
      <w:szCs w:val="12"/>
    </w:rPr>
  </w:style>
  <w:style w:type="paragraph" w:customStyle="1" w:styleId="Bibliografia">
    <w:name w:val="Bibliografía informe"/>
    <w:basedOn w:val="Normal"/>
    <w:qFormat/>
    <w:pPr>
      <w:spacing w:after="60" w:line="240" w:lineRule="auto"/>
      <w:ind w:left="567" w:hanging="567"/>
    </w:pPr>
    <w:rPr>
      <w:rFonts w:ascii="Calibri" w:cs="Calibri" w:eastAsia="Calibri" w:hAnsi="Calibri"/>
      <w:sz w:val="20"/>
      <w:szCs w:val="20"/>
    </w:rPr>
  </w:style>
  <w:style w:type="paragraph" w:styleId="Caption">
    <w:name w:val="caption"/>
    <w:basedOn w:val="Normal"/>
    <w:next w:val="CuerpoInforme"/>
    <w:qFormat/>
    <w:pPr>
      <w:spacing w:before="60" w:after="200"/>
      <w:jc w:val="center"/>
    </w:pPr>
    <w:rPr>
      <w:rFonts w:ascii="Calibri" w:cs="Calibri" w:eastAsia="Calibri" w:hAnsi="Calibri"/>
      <w:color w:val="404040"/>
      <w:sz w:val="18"/>
      <w:szCs w:val="18"/>
    </w:rPr>
  </w:style>
  <w:style w:type="paragraph" w:styleId="TOCHeading">
    <w:name w:val="TOC Heading"/>
    <w:basedOn w:val="Normal"/>
    <w:next w:val="Normal"/>
    <w:uiPriority w:val="39"/>
    <w:unhideWhenUsed/>
    <w:qFormat/>
    <w:pPr>
      <w:keepNext/>
      <w:spacing w:before="360" w:after="160"/>
      <w:outlineLvl w:val="9"/>
    </w:pPr>
    <w:rPr>
      <w:rFonts w:ascii="Calibri" w:cs="Calibri" w:eastAsia="Calibri" w:hAnsi="Calibri"/>
      <w:b/>
      <w:bCs/>
      <w:color w:val="000000"/>
      <w:sz w:val="28"/>
      <w:szCs w:val="28"/>
    </w:rPr>
  </w:style>
  <w:style w:type="paragraph" w:styleId="TOC1">
    <w:name w:val="toc 1"/>
    <w:basedOn w:val="Normal"/>
    <w:next w:val="Normal"/>
    <w:uiPriority w:val="39"/>
    <w:unhideWhenUsed/>
    <w:pPr>
      <w:tabs>
        <w:tab w:val="right" w:leader="dot" w:pos="9062"/>
      </w:tabs>
      <w:spacing w:before="120" w:after="40"/>
    </w:pPr>
    <w:rPr>
      <w:rFonts w:ascii="Calibri" w:cs="Calibri" w:eastAsia="Calibri" w:hAnsi="Calibri"/>
      <w:b/>
      <w:bCs/>
      <w:sz w:val="22"/>
      <w:szCs w:val="22"/>
    </w:rPr>
  </w:style>
  <w:style w:type="paragraph" w:styleId="TOC2">
    <w:name w:val="toc 2"/>
    <w:basedOn w:val="Normal"/>
    <w:next w:val="Normal"/>
    <w:uiPriority w:val="39"/>
    <w:unhideWhenUsed/>
    <w:pPr>
      <w:tabs>
        <w:tab w:val="right" w:leader="dot" w:pos="9062"/>
      </w:tabs>
      <w:spacing w:after="40"/>
      <w:ind w:left="440"/>
    </w:pPr>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ba9d4b85755b26c34cf374a1252d3d51c5da297.png"/><Relationship Id="rId9" Type="http://schemas.openxmlformats.org/officeDocument/2006/relationships/fontTable" Target="fontTable.xml"/><Relationship Id="rId101" Type="http://schemas.openxmlformats.org/officeDocument/2006/relationships/image" Target="media/p1_fig2_histogramas.png"/><Relationship Id="rId102" Type="http://schemas.openxmlformats.org/officeDocument/2006/relationships/image" Target="media/p1_fig4_categoricas.png"/><Relationship Id="rId103" Type="http://schemas.openxmlformats.org/officeDocument/2006/relationships/image" Target="media/p2_fig1_correlaciones.png"/><Relationship Id="rId104" Type="http://schemas.openxmlformats.org/officeDocument/2006/relationships/image" Target="media/p2_fig3_tasas_chd.png"/><Relationship Id="rId105" Type="http://schemas.openxmlformats.org/officeDocument/2006/relationships/image" Target="media/p3_fig1_sysbp_supuesto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Sumativa 1 - Análisis exploratorio e inferencial</dc:title>
  <dc:creator>Grupo MCDI501</dc:creator>
  <cp:lastModifiedBy>Grupo MCDI501</cp:lastModifiedBy>
  <cp:revision>1</cp:revision>
  <dcterms:created xsi:type="dcterms:W3CDTF">2026-10-13T20:30:00Z</dcterms:created>
  <dcterms:modified xsi:type="dcterms:W3CDTF">2026-10-13T22:50:00Z</dcterms:modified>
</cp:coreProperties>
</file>

<file path=docProps/custom.xml><?xml version="1.0" encoding="utf-8"?>
<Properties xmlns="http://schemas.openxmlformats.org/officeDocument/2006/custom-properties" xmlns:vt="http://schemas.openxmlformats.org/officeDocument/2006/docPropsVTypes"/>
</file>