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drawing>
          <wp:inline distT="0" distB="0" distL="0" distR="0">
            <wp:extent cx="1238250" cy="1028700"/>
            <wp:effectExtent t="0" r="0" b="0" l="0"/>
            <wp:docPr id="1" name="Logo UNAB" descr="Logo institucional" title="Universidad Andrés B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500"/>
        <w:jc w:val="center"/>
      </w:pPr>
      <w:r>
        <w:rPr>
          <w:b/>
          <w:bCs/>
          <w:color w:val="5A5A5A"/>
          <w:sz w:val="18"/>
          <w:szCs w:val="18"/>
        </w:rPr>
        <w:t xml:space="preserve">MAGÍSTER EN CIENCIA DE DATOS E INTELIGENCIA ARTIFICIAL</w:t>
      </w:r>
    </w:p>
    <w:p>
      <w:pPr>
        <w:spacing w:after="700" w:before="60"/>
        <w:jc w:val="center"/>
      </w:pPr>
      <w:r>
        <w:rPr>
          <w:i/>
          <w:iCs/>
          <w:color w:val="8C8C8C"/>
          <w:sz w:val="18"/>
          <w:szCs w:val="18"/>
        </w:rPr>
        <w:t xml:space="preserve">MCDI501: Estadística Computacional para la Toma de Decisiones</w:t>
      </w:r>
    </w:p>
    <w:p>
      <w:pPr>
        <w:spacing w:after="160" w:before="0"/>
        <w:jc w:val="center"/>
      </w:pPr>
      <w:r>
        <w:rPr>
          <w:b/>
          <w:bCs/>
          <w:color w:val="000000"/>
          <w:sz w:val="32"/>
          <w:szCs w:val="32"/>
        </w:rPr>
        <w:t xml:space="preserve">Evaluación Sumativa 3</w:t>
      </w:r>
    </w:p>
    <w:p>
      <w:pPr>
        <w:spacing w:after="700" w:before="0"/>
        <w:jc w:val="center"/>
      </w:pPr>
      <w:r>
        <w:rPr>
          <w:color w:val="000000"/>
          <w:sz w:val="26"/>
          <w:szCs w:val="26"/>
        </w:rPr>
        <w:t xml:space="preserve">Cierre y Comunicación del Proyecto</w:t>
      </w:r>
    </w:p>
    <w:p>
      <w:pPr>
        <w:spacing w:after="900" w:before="0"/>
        <w:jc w:val="center"/>
      </w:pPr>
      <w:r>
        <w:rPr>
          <w:i/>
          <w:iCs/>
          <w:color w:val="5A5A5A"/>
          <w:sz w:val="20"/>
          <w:szCs w:val="20"/>
        </w:rPr>
        <w:t xml:space="preserve">Informe técnico grupal · 60 %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6472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Título del proyecto: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Factores asociados al riesgo de enfermedad coronaria a 10 años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Integrantes: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Víctor Bravo Barrera, Nayadeth Garrido Ibáñez, Mauricio Cid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Dataset: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Framingham Heart Study (Kaggle)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Docente: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Jean Paul Maidana González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28/10/2026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Repositorio GitHub: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https://github.com/vbravo29/MCDI501-estadistica-computacional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 de presentación:</w:t>
            </w:r>
          </w:p>
        </w:tc>
        <w:tc>
          <w:tcPr>
            <w:tcW w:type="dxa" w:w="6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>[enlace al video]</w:t>
            </w:r>
          </w:p>
        </w:tc>
      </w:tr>
    </w:tbl>
    <w:p>
      <w:r>
        <w:br w:type="page"/>
      </w:r>
    </w:p>
    <w:p>
      <w:pPr>
        <w:spacing w:after="200"/>
      </w:pPr>
    </w:p>
    <w:p>
      <w:pPr>
        <w:pStyle w:val="TOCHeading"/>
      </w:pPr>
      <w:r>
        <w:t xml:space="preserve">Índice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000000201" w:history="1">
        <w:r>
          <w:t xml:space="preserve">Resumen ejecutivo</w:t>
        </w:r>
        <w:r>
          <w:tab/>
        </w:r>
        <w:r>
          <w:fldChar w:fldCharType="begin"/>
        </w:r>
        <w:r>
          <w:instrText xml:space="preserve"> PAGEREF _Toc000000201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</w:pPr>
      <w:hyperlink w:anchor="_Toc000000202" w:history="1">
        <w:r>
          <w:t xml:space="preserve">1. Introducción</w:t>
        </w:r>
        <w:r>
          <w:tab/>
        </w:r>
        <w:r>
          <w:fldChar w:fldCharType="begin"/>
        </w:r>
        <w:r>
          <w:instrText xml:space="preserve"> PAGEREF _Toc000000202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</w:pPr>
      <w:hyperlink w:anchor="_Toc000000203" w:history="1">
        <w:r>
          <w:t xml:space="preserve">2. Metodología integrada</w:t>
        </w:r>
        <w:r>
          <w:tab/>
        </w:r>
        <w:r>
          <w:fldChar w:fldCharType="begin"/>
        </w:r>
        <w:r>
          <w:instrText xml:space="preserve"> PAGEREF _Toc000000203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04" w:history="1">
        <w:r>
          <w:t xml:space="preserve">2.1 Datos y hallazgos de las sumativas 1 y 2</w:t>
        </w:r>
        <w:r>
          <w:tab/>
        </w:r>
        <w:r>
          <w:fldChar w:fldCharType="begin"/>
        </w:r>
        <w:r>
          <w:instrText xml:space="preserve"> PAGEREF _Toc000000204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05" w:history="1">
        <w:r>
          <w:t xml:space="preserve">2.2 Manejo de datos faltantes</w:t>
        </w:r>
        <w:r>
          <w:tab/>
        </w:r>
        <w:r>
          <w:fldChar w:fldCharType="begin"/>
        </w:r>
        <w:r>
          <w:instrText xml:space="preserve"> PAGEREF _Toc000000205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06" w:history="1">
        <w:r>
          <w:t xml:space="preserve">2.3 Modelos de regresión logística</w:t>
        </w:r>
        <w:r>
          <w:tab/>
        </w:r>
        <w:r>
          <w:fldChar w:fldCharType="begin"/>
        </w:r>
        <w:r>
          <w:instrText xml:space="preserve"> PAGEREF _Toc000000206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07" w:history="1">
        <w:r>
          <w:t xml:space="preserve">2.4 Estabilidad y diagnóstico del modelo</w:t>
        </w:r>
        <w:r>
          <w:tab/>
        </w:r>
        <w:r>
          <w:fldChar w:fldCharType="begin"/>
        </w:r>
        <w:r>
          <w:instrText xml:space="preserve"> PAGEREF _Toc000000207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</w:pPr>
      <w:hyperlink w:anchor="_Toc000000208" w:history="1">
        <w:r>
          <w:t xml:space="preserve">3. Resultados integrados</w:t>
        </w:r>
        <w:r>
          <w:tab/>
        </w:r>
        <w:r>
          <w:fldChar w:fldCharType="begin"/>
        </w:r>
        <w:r>
          <w:instrText xml:space="preserve"> PAGEREF _Toc000000208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09" w:history="1">
        <w:r>
          <w:t xml:space="preserve">3.1 Imputación y comparación de estrategias</w:t>
        </w:r>
        <w:r>
          <w:tab/>
        </w:r>
        <w:r>
          <w:fldChar w:fldCharType="begin"/>
        </w:r>
        <w:r>
          <w:instrText xml:space="preserve"> PAGEREF _Toc000000209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10" w:history="1">
        <w:r>
          <w:t xml:space="preserve">3.2 Modelos logísticos y desempeño predictivo</w:t>
        </w:r>
        <w:r>
          <w:tab/>
        </w:r>
        <w:r>
          <w:fldChar w:fldCharType="begin"/>
        </w:r>
        <w:r>
          <w:instrText xml:space="preserve"> PAGEREF _Toc000000210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11" w:history="1">
        <w:r>
          <w:t xml:space="preserve">3.3 Estabilidad del modelo mediante bootstrap</w:t>
        </w:r>
        <w:r>
          <w:tab/>
        </w:r>
        <w:r>
          <w:fldChar w:fldCharType="begin"/>
        </w:r>
        <w:r>
          <w:instrText xml:space="preserve"> PAGEREF _Toc000000211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12" w:history="1">
        <w:r>
          <w:t xml:space="preserve">3.4 Diagnóstico del modelo final</w:t>
        </w:r>
        <w:r>
          <w:tab/>
        </w:r>
        <w:r>
          <w:fldChar w:fldCharType="begin"/>
        </w:r>
        <w:r>
          <w:instrText xml:space="preserve"> PAGEREF _Toc000000212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</w:pPr>
      <w:hyperlink w:anchor="_Toc000000213" w:history="1">
        <w:r>
          <w:t xml:space="preserve">3.5 Impacto de la estrategia de imputación</w:t>
        </w:r>
        <w:r>
          <w:tab/>
        </w:r>
        <w:r>
          <w:fldChar w:fldCharType="begin"/>
        </w:r>
        <w:r>
          <w:instrText xml:space="preserve"> PAGEREF _Toc000000213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</w:pPr>
      <w:hyperlink w:anchor="_Toc000000214" w:history="1">
        <w:r>
          <w:t xml:space="preserve">4. Discusión</w:t>
        </w:r>
        <w:r>
          <w:tab/>
        </w:r>
        <w:r>
          <w:fldChar w:fldCharType="begin"/>
        </w:r>
        <w:r>
          <w:instrText xml:space="preserve"> PAGEREF _Toc000000214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</w:pPr>
      <w:hyperlink w:anchor="_Toc000000215" w:history="1">
        <w:r>
          <w:t xml:space="preserve">5. Conclusiones y recomendaciones</w:t>
        </w:r>
        <w:r>
          <w:tab/>
        </w:r>
        <w:r>
          <w:fldChar w:fldCharType="begin"/>
        </w:r>
        <w:r>
          <w:instrText xml:space="preserve"> PAGEREF _Toc000000215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1"/>
      </w:pPr>
      <w:hyperlink w:anchor="_Toc000000216" w:history="1">
        <w:r>
          <w:t xml:space="preserve">6. Bibliografía (APA 7)</w:t>
        </w:r>
        <w:r>
          <w:tab/>
        </w:r>
        <w:r>
          <w:fldChar w:fldCharType="begin"/>
        </w:r>
        <w:r>
          <w:instrText xml:space="preserve"> PAGEREF _Toc000000216 \h </w:instrText>
        </w:r>
        <w:r>
          <w:fldChar w:fldCharType="separate"/>
        </w:r>
        <w:r>
          <w:t>4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  <w:numPr>
          <w:ilvl w:val="0"/>
          <w:numId w:val="0"/>
        </w:numPr>
      </w:pPr>
      <w:bookmarkStart w:id="201" w:name="_Toc000000201"/>
      <w:r>
        <w:t xml:space="preserve">Resumen ejecutivo</w:t>
      </w:r>
      <w:bookmarkEnd w:id="201"/>
    </w:p>
    <w:p>
      <w:pPr>
        <w:pStyle w:val="CuerpoInforme"/>
      </w:pPr>
      <w:r>
        <w:rPr>
          <w:highlight w:val="yellow"/>
        </w:rPr>
        <w:t xml:space="preserve">Pendiente (bloque C, media página): problema, cómo se conectan la S1, la S2 y la S3, modelo final y recomendaciones. Se escribe al final.</w:t>
      </w:r>
    </w:p>
    <w:p>
      <w:pPr>
        <w:pStyle w:val="Heading1"/>
      </w:pPr>
      <w:bookmarkStart w:id="202" w:name="_Toc000000202"/>
      <w:r>
        <w:t xml:space="preserve">Introducción</w:t>
      </w:r>
      <w:bookmarkEnd w:id="202"/>
    </w:p>
    <w:p>
      <w:pPr>
        <w:pStyle w:val="CuerpoInforme"/>
      </w:pPr>
      <w:r>
        <w:rPr>
          <w:highlight w:val="yellow"/>
        </w:rPr>
        <w:t xml:space="preserve">Pendiente (bloque C, media página): problema, datos de Framingham y objetivo del proyecto.</w:t>
      </w:r>
    </w:p>
    <w:p>
      <w:pPr>
        <w:pStyle w:val="Heading1"/>
      </w:pPr>
      <w:bookmarkStart w:id="203" w:name="_Toc000000203"/>
      <w:r>
        <w:t xml:space="preserve">Metodología integrada</w:t>
      </w:r>
      <w:bookmarkEnd w:id="203"/>
    </w:p>
    <w:p>
      <w:pPr>
        <w:pStyle w:val="Heading2"/>
      </w:pPr>
      <w:bookmarkStart w:id="204" w:name="_Toc000000204"/>
      <w:r>
        <w:t xml:space="preserve">Datos y hallazgos de las sumativas 1 y 2</w:t>
      </w:r>
      <w:bookmarkEnd w:id="204"/>
    </w:p>
    <w:p>
      <w:pPr>
        <w:pStyle w:val="CuerpoInforme"/>
      </w:pPr>
      <w:r>
        <w:rPr>
          <w:highlight w:val="yellow"/>
        </w:rPr>
        <w:t xml:space="preserve">Pendiente (bloque C, media página): qué resultados de la S1 y la S2 se usan en cada decisión de la S3.</w:t>
      </w:r>
    </w:p>
    <w:p>
      <w:pPr>
        <w:pStyle w:val="Heading2"/>
      </w:pPr>
      <w:bookmarkStart w:id="205" w:name="_Toc000000205"/>
      <w:r>
        <w:t xml:space="preserve">Manejo de datos faltantes</w:t>
      </w:r>
      <w:bookmarkEnd w:id="205"/>
    </w:p>
    <w:p>
      <w:pPr>
        <w:pStyle w:val="CuerpoInforme"/>
      </w:pPr>
      <w:r>
        <w:rPr>
          <w:highlight w:val="yellow"/>
        </w:rPr>
        <w:t xml:space="preserve">Pendiente (bloque A, media página): faltantes de la S1, imputación por regresión y cómo se compararon las estrategias.</w:t>
      </w:r>
    </w:p>
    <w:p>
      <w:pPr>
        <w:pStyle w:val="Heading2"/>
      </w:pPr>
      <w:bookmarkStart w:id="206" w:name="_Toc000000206"/>
      <w:r>
        <w:t xml:space="preserve">Modelos de regresión logística</w:t>
      </w:r>
      <w:bookmarkEnd w:id="206"/>
    </w:p>
    <w:p>
      <w:pPr>
        <w:pStyle w:val="CuerpoInforme"/>
      </w:pPr>
      <w:r>
        <w:rPr>
          <w:highlight w:val="yellow"/>
        </w:rPr>
        <w:t xml:space="preserve">Pendiente (bloque B, media página): preparación de los datos y cómo se armaron los tres modelos.</w:t>
      </w:r>
    </w:p>
    <w:p>
      <w:pPr>
        <w:pStyle w:val="Heading2"/>
      </w:pPr>
      <w:bookmarkStart w:id="207" w:name="_Toc000000207"/>
      <w:r>
        <w:t xml:space="preserve">Estabilidad y diagnóstico del modelo</w:t>
      </w:r>
      <w:bookmarkEnd w:id="207"/>
    </w:p>
    <w:p>
      <w:pPr>
        <w:pStyle w:val="CuerpoInforme"/>
      </w:pPr>
      <w:r>
        <w:rPr>
          <w:highlight w:val="yellow"/>
        </w:rPr>
        <w:t xml:space="preserve">Pendiente (bloques B y C, media página): bootstrap de los coeficientes y diagnóstico de supuestos.</w:t>
      </w:r>
    </w:p>
    <w:p>
      <w:pPr>
        <w:pStyle w:val="Heading1"/>
      </w:pPr>
      <w:bookmarkStart w:id="208" w:name="_Toc000000208"/>
      <w:r>
        <w:t xml:space="preserve">Resultados integrados</w:t>
      </w:r>
      <w:bookmarkEnd w:id="208"/>
    </w:p>
    <w:p>
      <w:pPr>
        <w:pStyle w:val="Heading2"/>
      </w:pPr>
      <w:bookmarkStart w:id="209" w:name="_Toc000000209"/>
      <w:r>
        <w:t xml:space="preserve">Imputación y comparación de estrategias</w:t>
      </w:r>
      <w:bookmarkEnd w:id="209"/>
    </w:p>
    <w:p>
      <w:pPr>
        <w:pStyle w:val="CuerpoInforme"/>
      </w:pPr>
      <w:r>
        <w:rPr>
          <w:highlight w:val="yellow"/>
        </w:rPr>
        <w:t xml:space="preserve">Pendiente (bloque A, tres cuartos de página): resultados de la imputación y comparación de estrategias.</w:t>
      </w:r>
    </w:p>
    <w:p>
      <w:pPr>
        <w:pStyle w:val="Heading2"/>
      </w:pPr>
      <w:bookmarkStart w:id="210" w:name="_Toc000000210"/>
      <w:r>
        <w:t xml:space="preserve">Modelos logísticos y desempeño predictivo</w:t>
      </w:r>
      <w:bookmarkEnd w:id="210"/>
    </w:p>
    <w:p>
      <w:pPr>
        <w:pStyle w:val="CuerpoInforme"/>
      </w:pPr>
      <w:r>
        <w:rPr>
          <w:highlight w:val="yellow"/>
        </w:rPr>
        <w:t xml:space="preserve">Pendiente (bloque B, una página y cuarto): los tres modelos, sus métricas y el modelo final.</w:t>
      </w:r>
    </w:p>
    <w:p>
      <w:pPr>
        <w:pStyle w:val="Heading2"/>
      </w:pPr>
      <w:bookmarkStart w:id="211" w:name="_Toc000000211"/>
      <w:r>
        <w:t xml:space="preserve">Estabilidad del modelo mediante bootstrap</w:t>
      </w:r>
      <w:bookmarkEnd w:id="211"/>
    </w:p>
    <w:p>
      <w:pPr>
        <w:pStyle w:val="CuerpoInforme"/>
      </w:pPr>
      <w:r>
        <w:rPr>
          <w:highlight w:val="yellow"/>
        </w:rPr>
        <w:t xml:space="preserve">Pendiente (bloque C, tres cuartos de página): IC bootstrap, IC tradicionales y parámetros inestables.</w:t>
      </w:r>
    </w:p>
    <w:p>
      <w:pPr>
        <w:pStyle w:val="Heading2"/>
      </w:pPr>
      <w:bookmarkStart w:id="212" w:name="_Toc000000212"/>
      <w:r>
        <w:t xml:space="preserve">Diagnóstico del modelo final</w:t>
      </w:r>
      <w:bookmarkEnd w:id="212"/>
    </w:p>
    <w:p>
      <w:pPr>
        <w:pStyle w:val="CuerpoInforme"/>
      </w:pPr>
      <w:r>
        <w:rPr>
          <w:highlight w:val="yellow"/>
        </w:rPr>
        <w:t xml:space="preserve">Pendiente (bloque B, media página): VIF, linealidad en el logit, observaciones influyentes y residuos.</w:t>
      </w:r>
    </w:p>
    <w:p>
      <w:pPr>
        <w:pStyle w:val="Heading2"/>
      </w:pPr>
      <w:bookmarkStart w:id="213" w:name="_Toc000000213"/>
      <w:r>
        <w:t xml:space="preserve">Impacto de la estrategia de imputación</w:t>
      </w:r>
      <w:bookmarkEnd w:id="213"/>
    </w:p>
    <w:p>
      <w:pPr>
        <w:pStyle w:val="CuerpoInforme"/>
      </w:pPr>
      <w:r>
        <w:rPr>
          <w:highlight w:val="yellow"/>
        </w:rPr>
        <w:t xml:space="preserve">Pendiente (bloque A, media página): modelo final con los tres datasets.</w:t>
      </w:r>
    </w:p>
    <w:p>
      <w:pPr>
        <w:pStyle w:val="Heading1"/>
      </w:pPr>
      <w:bookmarkStart w:id="214" w:name="_Toc000000214"/>
      <w:r>
        <w:t xml:space="preserve">Discusión</w:t>
      </w:r>
      <w:bookmarkEnd w:id="214"/>
    </w:p>
    <w:p>
      <w:pPr>
        <w:pStyle w:val="CuerpoInforme"/>
      </w:pPr>
      <w:r>
        <w:rPr>
          <w:highlight w:val="yellow"/>
        </w:rPr>
        <w:t xml:space="preserve">Pendiente (todos, media página): cómo cada etapa influyó en la siguiente y limitaciones.</w:t>
      </w:r>
    </w:p>
    <w:p>
      <w:pPr>
        <w:pStyle w:val="Heading1"/>
      </w:pPr>
      <w:bookmarkStart w:id="215" w:name="_Toc000000215"/>
      <w:r>
        <w:t xml:space="preserve">Conclusiones y recomendaciones</w:t>
      </w:r>
      <w:bookmarkEnd w:id="215"/>
    </w:p>
    <w:p>
      <w:pPr>
        <w:pStyle w:val="CuerpoInforme"/>
      </w:pPr>
      <w:r>
        <w:rPr>
          <w:highlight w:val="yellow"/>
        </w:rPr>
        <w:t xml:space="preserve">Pendiente (bloque C, media página): conclusiones y recomendaciones.</w:t>
      </w:r>
    </w:p>
    <w:p>
      <w:pPr>
        <w:pStyle w:val="Heading1"/>
      </w:pPr>
      <w:bookmarkStart w:id="216" w:name="_Toc000000216"/>
      <w:r>
        <w:t xml:space="preserve">Bibliografía (APA 7)</w:t>
      </w:r>
      <w:bookmarkEnd w:id="216"/>
    </w:p>
    <w:p>
      <w:pPr>
        <w:pStyle w:val="Bibliografia"/>
      </w:pPr>
      <w:r>
        <w:t xml:space="preserve">Dawber, T. R., Meadors, G. F., &amp; Moore, F. E., Jr. (1951). Epidemiological approaches to heart disease: The Framingham Study. </w:t>
      </w:r>
      <w:r>
        <w:rPr>
          <w:i/>
          <w:iCs/>
        </w:rPr>
        <w:t xml:space="preserve">American Journal of Public Health and the Nation's Health, 41</w:t>
      </w:r>
      <w:r>
        <w:t xml:space="preserve">(3), 279–286. https://doi.org/10.2105/AJPH.41.3.279</w:t>
      </w:r>
    </w:p>
    <w:p>
      <w:pPr>
        <w:pStyle w:val="Bibliografia"/>
      </w:pPr>
      <w:r>
        <w:t xml:space="preserve">dileep070. (s. f.). </w:t>
      </w:r>
      <w:r>
        <w:rPr>
          <w:i/>
          <w:iCs/>
        </w:rPr>
        <w:t xml:space="preserve">Heart disease prediction using logistic regression</w:t>
      </w:r>
      <w:r>
        <w:t xml:space="preserve"> [Conjunto de datos]. Kaggle. https://www.kaggle.com/datasets/dileep070/heart-disease-prediction-using-logistic-regression</w:t>
      </w:r>
    </w:p>
    <w:p>
      <w:pPr>
        <w:pStyle w:val="Bibliografia"/>
      </w:pPr>
      <w:r>
        <w:t xml:space="preserve">Efron, B., &amp; Tibshirani, R. J. (1993). </w:t>
      </w:r>
      <w:r>
        <w:rPr>
          <w:i/>
          <w:iCs/>
        </w:rPr>
        <w:t xml:space="preserve">An introduction to the bootstrap</w:t>
      </w:r>
      <w:r>
        <w:t xml:space="preserve">. Chapman &amp; Hall.</w:t>
      </w:r>
    </w:p>
    <w:p>
      <w:pPr>
        <w:pStyle w:val="Bibliografia"/>
      </w:pPr>
      <w:r>
        <w:t xml:space="preserve">Hosmer, D. W., Lemeshow, S., &amp; Sturdivant, R. X. (2013). </w:t>
      </w:r>
      <w:r>
        <w:rPr>
          <w:i/>
          <w:iCs/>
        </w:rPr>
        <w:t xml:space="preserve">Applied logistic regression</w:t>
      </w:r>
      <w:r>
        <w:t xml:space="preserve"> (3.ª ed.). Wiley.</w:t>
      </w:r>
    </w:p>
    <w:p>
      <w:pPr>
        <w:pStyle w:val="Bibliografia"/>
      </w:pPr>
      <w:r>
        <w:t xml:space="preserve">Pedregosa, F., Varoquaux, G., Gramfort, A., Michel, V., Thirion, B., Grisel, O., … Duchesnay, É. (2011). Scikit-learn: Machine learning in Python. </w:t>
      </w:r>
      <w:r>
        <w:rPr>
          <w:i/>
          <w:iCs/>
        </w:rPr>
        <w:t xml:space="preserve">Journal of Machine Learning Research, 12</w:t>
      </w:r>
      <w:r>
        <w:t xml:space="preserve">, 2825–2830.</w:t>
      </w:r>
    </w:p>
    <w:p>
      <w:pPr>
        <w:pStyle w:val="Bibliografia"/>
      </w:pPr>
      <w:r>
        <w:t xml:space="preserve">Rubin, D. B. (1976). Inference and missing data. </w:t>
      </w:r>
      <w:r>
        <w:rPr>
          <w:i/>
          <w:iCs/>
        </w:rPr>
        <w:t xml:space="preserve">Biometrika, 63</w:t>
      </w:r>
      <w:r>
        <w:t xml:space="preserve">(3), 581–592. https://doi.org/10.1093/biomet/63.3.581</w:t>
      </w:r>
    </w:p>
    <w:p>
      <w:pPr>
        <w:pStyle w:val="Bibliografia"/>
      </w:pPr>
      <w:r>
        <w:t xml:space="preserve">Seabold, S., &amp; Perktold, J. (2010). Statsmodels: Econometric and statistical modeling with Python. En </w:t>
      </w:r>
      <w:r>
        <w:rPr>
          <w:i/>
          <w:iCs/>
        </w:rPr>
        <w:t xml:space="preserve">Proceedings of the 9th Python in Science Conference</w:t>
      </w:r>
      <w:r>
        <w:t xml:space="preserve"> (pp. 92–96). https://doi.org/10.25080/Majora-92bf1922-011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</w:pPr>
    <w:r>
      <w:rPr>
        <w:color w:val="5A5A5A"/>
        <w:sz w:val="16"/>
        <w:szCs w:val="16"/>
      </w:rPr>
      <w:t xml:space="preserve">Magíster en Ciencia de Datos e Inteligencia Artificial</w:t>
    </w:r>
    <w:r>
      <w:t xml:space="preserve">	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>
    <w:multiLevelType w:val="multilevel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</w:lvl>
  </w:abstractNum>
  <w:abstractNum w:abstractNumId="20">
    <w:multiLevelType w:val="hybridMultilevel"/>
    <w:lvl w:ilvl="0">
      <w:start w:val="1"/>
      <w:numFmt w:val="bullet"/>
      <w:lvlText w:val="•"/>
      <w:lvlJc w:val="left"/>
      <w:pPr>
        <w:ind w:left="567" w:hanging="283"/>
      </w:pPr>
      <w:rPr>
        <w:rFonts w:ascii="Calibri" w:cs="Calibri" w:eastAsia="Calibri" w:hAnsi="Calibri"/>
      </w:rPr>
    </w:lvl>
  </w:abstractNum>
  <w:num w:numId="1">
    <w:abstractNumId w:val="1"/>
    <w:lvlOverride w:ilvl="0">
      <w:startOverride w:val="1"/>
    </w:lvlOverride>
  </w:num>
  <w:num w:numId="10">
    <w:abstractNumId w:val="10"/>
  </w:num>
  <w:num w:numId="20">
    <w:abstractNumId w:val="2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0"/>
      </w:numPr>
      <w:spacing w:after="160" w:before="360"/>
      <w:outlineLvl w:val="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10"/>
      </w:numPr>
      <w:spacing w:after="120" w:before="260"/>
      <w:outlineLvl w:val="1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default="1" w:styleId="Normal">
    <w:name w:val="Normal"/>
    <w:qFormat/>
  </w:style>
  <w:style w:type="paragraph" w:customStyle="1" w:styleId="CuerpoInforme">
    <w:name w:val="Cuerpo informe"/>
    <w:basedOn w:val="Normal"/>
    <w:qFormat/>
    <w:pPr>
      <w:spacing w:after="100" w:line="252" w:lineRule="auto"/>
      <w:jc w:val="both"/>
    </w:pPr>
    <w:rPr>
      <w:rFonts w:ascii="Calibri" w:cs="Calibri" w:eastAsia="Calibri" w:hAnsi="Calibri"/>
      <w:sz w:val="22"/>
      <w:szCs w:val="22"/>
    </w:rPr>
  </w:style>
  <w:style w:type="paragraph" w:customStyle="1" w:styleId="TablaInforme">
    <w:name w:val="Tabla informe"/>
    <w:basedOn w:val="Normal"/>
    <w:qFormat/>
    <w:pPr>
      <w:spacing w:after="0" w:line="240" w:lineRule="auto"/>
    </w:pPr>
    <w:rPr>
      <w:rFonts w:ascii="Calibri" w:cs="Calibri" w:eastAsia="Calibri" w:hAnsi="Calibri"/>
      <w:sz w:val="18"/>
      <w:szCs w:val="18"/>
    </w:rPr>
  </w:style>
  <w:style w:type="paragraph" w:customStyle="1" w:styleId="Figura">
    <w:name w:val="Figura informe"/>
    <w:basedOn w:val="Normal"/>
    <w:qFormat/>
    <w:pPr>
      <w:spacing w:before="120" w:after="60"/>
      <w:jc w:val="center"/>
    </w:pPr>
  </w:style>
  <w:style w:type="paragraph" w:customStyle="1" w:styleId="Espacio">
    <w:name w:val="Espacio tras tabla"/>
    <w:basedOn w:val="Normal"/>
    <w:pPr>
      <w:spacing w:after="0" w:line="120" w:lineRule="exact"/>
    </w:pPr>
    <w:rPr>
      <w:sz w:val="12"/>
      <w:szCs w:val="12"/>
    </w:rPr>
  </w:style>
  <w:style w:type="paragraph" w:customStyle="1" w:styleId="Bibliografia">
    <w:name w:val="Bibliografía informe"/>
    <w:basedOn w:val="Normal"/>
    <w:qFormat/>
    <w:pPr>
      <w:spacing w:after="60" w:line="240" w:lineRule="auto"/>
      <w:ind w:left="567" w:hanging="567"/>
    </w:pPr>
    <w:rPr>
      <w:rFonts w:ascii="Calibri" w:cs="Calibri" w:eastAsia="Calibri" w:hAnsi="Calibri"/>
      <w:sz w:val="20"/>
      <w:szCs w:val="20"/>
    </w:rPr>
  </w:style>
  <w:style w:type="paragraph" w:styleId="Caption">
    <w:name w:val="caption"/>
    <w:basedOn w:val="Normal"/>
    <w:next w:val="CuerpoInforme"/>
    <w:qFormat/>
    <w:pPr>
      <w:spacing w:before="60" w:after="200"/>
      <w:jc w:val="center"/>
    </w:pPr>
    <w:rPr>
      <w:rFonts w:ascii="Calibri" w:cs="Calibri" w:eastAsia="Calibri" w:hAnsi="Calibri"/>
      <w:color w:val="404040"/>
      <w:sz w:val="18"/>
      <w:szCs w:val="18"/>
    </w:rPr>
  </w:style>
  <w:style w:type="paragraph" w:styleId="TOCHeading">
    <w:name w:val="TOC Heading"/>
    <w:basedOn w:val="Normal"/>
    <w:next w:val="Normal"/>
    <w:uiPriority w:val="39"/>
    <w:unhideWhenUsed/>
    <w:qFormat/>
    <w:pPr>
      <w:keepNext/>
      <w:spacing w:before="360" w:after="160"/>
      <w:outlineLvl w:val="9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062"/>
      </w:tabs>
      <w:spacing w:before="120" w:after="40"/>
    </w:pPr>
    <w:rPr>
      <w:rFonts w:ascii="Calibri" w:cs="Calibri" w:eastAsia="Calibri" w:hAnsi="Calibri"/>
      <w:b/>
      <w:bCs/>
      <w:sz w:val="22"/>
      <w:szCs w:val="22"/>
    </w:rPr>
  </w:style>
  <w:style w:type="paragraph" w:styleId="TOC2">
    <w:name w:val="toc 2"/>
    <w:basedOn w:val="Normal"/>
    <w:next w:val="Normal"/>
    <w:uiPriority w:val="39"/>
    <w:unhideWhenUsed/>
    <w:pPr>
      <w:tabs>
        <w:tab w:val="right" w:leader="dot" w:pos="9062"/>
      </w:tabs>
      <w:spacing w:after="40"/>
      <w:ind w:left="440"/>
    </w:pPr>
    <w:rPr>
      <w:rFonts w:ascii="Calibri" w:cs="Calibri" w:eastAsia="Calibri" w:hAnsi="Calibri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a9d4b85755b26c34cf374a1252d3d51c5da297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Sumativa 3</dc:title>
  <dc:creator>Víctor Bravo Barrera, Nayadeth Garrido Ibáñez, Mauricio Cid</dc:creator>
  <cp:lastModifiedBy>Equipo MCDI501</cp:lastModifiedBy>
  <cp:revision>1</cp:revision>
  <dcterms:created xsi:type="dcterms:W3CDTF">2026-10-13T20:30:00Z</dcterms:created>
  <dcterms:modified xsi:type="dcterms:W3CDTF">2026-10-13T22:50:00Z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