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2D509" w14:textId="77777777" w:rsidR="00800423" w:rsidRDefault="00000000">
      <w:pPr>
        <w:keepLines/>
        <w:spacing w:after="60"/>
        <w:jc w:val="center"/>
      </w:pPr>
      <w:r>
        <w:rPr>
          <w:noProof/>
        </w:rPr>
        <w:drawing>
          <wp:inline distT="0" distB="0" distL="0" distR="0" wp14:anchorId="42C892C2" wp14:editId="23B2EEFA">
            <wp:extent cx="1417320" cy="11441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14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3995A" w14:textId="77777777" w:rsidR="00800423" w:rsidRDefault="00800423"/>
    <w:p w14:paraId="76DEFECA" w14:textId="77777777" w:rsidR="00800423" w:rsidRDefault="00800423"/>
    <w:p w14:paraId="63E17734" w14:textId="77777777" w:rsidR="00800423" w:rsidRDefault="00000000">
      <w:pPr>
        <w:widowControl/>
        <w:spacing w:after="160" w:line="259" w:lineRule="auto"/>
        <w:jc w:val="center"/>
      </w:pPr>
      <w:r>
        <w:t>MCDI500 • PROGRAMACIÓN PARA LA CIENCIA DE DATOS</w:t>
      </w:r>
    </w:p>
    <w:p w14:paraId="5BA6EE6A" w14:textId="77777777" w:rsidR="00800423" w:rsidRDefault="00000000">
      <w:pPr>
        <w:widowControl/>
        <w:spacing w:after="160" w:line="259" w:lineRule="auto"/>
        <w:jc w:val="center"/>
      </w:pPr>
      <w:r>
        <w:t>MAGÍSTER EN CIENCIA DE DATOS E INTELIGENCIA ARTIFICIAL</w:t>
      </w:r>
    </w:p>
    <w:p w14:paraId="2E154142" w14:textId="77777777" w:rsidR="00800423" w:rsidRDefault="00000000">
      <w:pPr>
        <w:widowControl/>
        <w:spacing w:after="160" w:line="259" w:lineRule="auto"/>
        <w:jc w:val="center"/>
      </w:pPr>
      <w:r>
        <w:t>UNIVERSIDAD ANDRÉS BELLO</w:t>
      </w:r>
    </w:p>
    <w:p w14:paraId="00755846" w14:textId="77777777" w:rsidR="00800423" w:rsidRDefault="00800423"/>
    <w:p w14:paraId="30C819FF" w14:textId="77777777" w:rsidR="00800423" w:rsidRDefault="00000000">
      <w:pPr>
        <w:pStyle w:val="Ttulo"/>
        <w:widowControl/>
        <w:spacing w:before="0" w:after="160" w:line="259" w:lineRule="auto"/>
        <w:jc w:val="center"/>
      </w:pPr>
      <w:r>
        <w:t>Análisis de ofertas en licitaciones públicas del sector Salud</w:t>
      </w:r>
    </w:p>
    <w:p w14:paraId="079A17B2" w14:textId="77777777" w:rsidR="00800423" w:rsidRDefault="00000000">
      <w:pPr>
        <w:widowControl/>
        <w:spacing w:after="160" w:line="259" w:lineRule="auto"/>
        <w:jc w:val="center"/>
      </w:pPr>
      <w:r>
        <w:t>Proyecto final integrador Fase 4: análisis, reproducibilidad y comunicación de resultados</w:t>
      </w:r>
    </w:p>
    <w:p w14:paraId="3D8BAE4A" w14:textId="77777777" w:rsidR="00800423" w:rsidRDefault="00000000">
      <w:pPr>
        <w:widowControl/>
        <w:spacing w:after="360" w:line="259" w:lineRule="auto"/>
        <w:jc w:val="center"/>
      </w:pPr>
      <w:r>
        <w:t>Repositorio: github.com/vbravo29/mcdi500-licitaciones-salud</w:t>
      </w:r>
    </w:p>
    <w:p w14:paraId="32AA2BEE" w14:textId="77777777" w:rsidR="00800423" w:rsidRDefault="00000000">
      <w:pPr>
        <w:widowControl/>
        <w:spacing w:after="100" w:line="259" w:lineRule="auto"/>
        <w:jc w:val="center"/>
      </w:pPr>
      <w:r>
        <w:t>Grupo 5</w:t>
      </w:r>
    </w:p>
    <w:p w14:paraId="45641FEE" w14:textId="77777777" w:rsidR="00800423" w:rsidRDefault="00000000">
      <w:pPr>
        <w:widowControl/>
        <w:spacing w:after="100" w:line="259" w:lineRule="auto"/>
        <w:jc w:val="center"/>
      </w:pPr>
      <w:r>
        <w:t>Víctor Bravo Barrera</w:t>
      </w:r>
    </w:p>
    <w:p w14:paraId="2D29B877" w14:textId="77777777" w:rsidR="00800423" w:rsidRDefault="00000000">
      <w:pPr>
        <w:widowControl/>
        <w:spacing w:after="100" w:line="259" w:lineRule="auto"/>
        <w:jc w:val="center"/>
      </w:pPr>
      <w:r>
        <w:t>Nayadeth Garrido Ibáñez</w:t>
      </w:r>
    </w:p>
    <w:p w14:paraId="34968041" w14:textId="77777777" w:rsidR="00800423" w:rsidRDefault="00000000">
      <w:pPr>
        <w:widowControl/>
        <w:spacing w:after="100" w:line="259" w:lineRule="auto"/>
        <w:jc w:val="center"/>
      </w:pPr>
      <w:r>
        <w:t>Mauricio Cid</w:t>
      </w:r>
    </w:p>
    <w:p w14:paraId="0CC2FAFC" w14:textId="77777777" w:rsidR="00800423" w:rsidRDefault="00800423"/>
    <w:p w14:paraId="2F233FF5" w14:textId="77777777" w:rsidR="00800423" w:rsidRDefault="00000000">
      <w:pPr>
        <w:widowControl/>
        <w:spacing w:after="140" w:line="259" w:lineRule="auto"/>
        <w:jc w:val="center"/>
      </w:pPr>
      <w:r>
        <w:t>Docente: Omar Salinas Silva</w:t>
      </w:r>
    </w:p>
    <w:p w14:paraId="76596C7F" w14:textId="4CBF5C79" w:rsidR="00800423" w:rsidRDefault="00000000">
      <w:pPr>
        <w:widowControl/>
        <w:spacing w:after="140" w:line="259" w:lineRule="auto"/>
        <w:jc w:val="center"/>
      </w:pPr>
      <w:r>
        <w:t xml:space="preserve">Fecha: </w:t>
      </w:r>
      <w:r w:rsidR="00AB31B1">
        <w:t xml:space="preserve">4 </w:t>
      </w:r>
      <w:r>
        <w:t>de octubre de 2026</w:t>
      </w:r>
    </w:p>
    <w:p w14:paraId="5FA443D0" w14:textId="77777777" w:rsidR="00800423" w:rsidRDefault="00800423">
      <w:pPr>
        <w:sectPr w:rsidR="00800423">
          <w:pgSz w:w="12240" w:h="15840"/>
          <w:pgMar w:top="1152" w:right="1152" w:bottom="1296" w:left="1152" w:header="432" w:footer="576" w:gutter="0"/>
          <w:cols w:space="720"/>
        </w:sectPr>
      </w:pPr>
    </w:p>
    <w:p w14:paraId="3BCA702F" w14:textId="77777777" w:rsidR="00800423" w:rsidRDefault="00000000">
      <w:pPr>
        <w:widowControl/>
        <w:spacing w:line="259" w:lineRule="auto"/>
      </w:pPr>
      <w:r>
        <w:rPr>
          <w:b/>
        </w:rPr>
        <w:lastRenderedPageBreak/>
        <w:t>Índice de contenidos</w:t>
      </w:r>
    </w:p>
    <w:p w14:paraId="603E8AF2" w14:textId="77777777" w:rsidR="00AB31B1" w:rsidRDefault="00000000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930165" w:history="1">
        <w:r w:rsidR="00AB31B1" w:rsidRPr="005A0533">
          <w:rPr>
            <w:rStyle w:val="Hipervnculo"/>
            <w:noProof/>
          </w:rPr>
          <w:t>1. Introducción y contextualización</w:t>
        </w:r>
        <w:r w:rsidR="00AB31B1">
          <w:rPr>
            <w:noProof/>
            <w:webHidden/>
          </w:rPr>
          <w:tab/>
        </w:r>
        <w:r w:rsidR="00AB31B1">
          <w:rPr>
            <w:noProof/>
            <w:webHidden/>
          </w:rPr>
          <w:fldChar w:fldCharType="begin"/>
        </w:r>
        <w:r w:rsidR="00AB31B1">
          <w:rPr>
            <w:noProof/>
            <w:webHidden/>
          </w:rPr>
          <w:instrText xml:space="preserve"> PAGEREF _Toc241930165 \h </w:instrText>
        </w:r>
        <w:r w:rsidR="00AB31B1">
          <w:rPr>
            <w:noProof/>
            <w:webHidden/>
          </w:rPr>
        </w:r>
        <w:r w:rsidR="00AB31B1">
          <w:rPr>
            <w:noProof/>
            <w:webHidden/>
          </w:rPr>
          <w:fldChar w:fldCharType="separate"/>
        </w:r>
        <w:r w:rsidR="00AB31B1">
          <w:rPr>
            <w:noProof/>
            <w:webHidden/>
          </w:rPr>
          <w:t>3</w:t>
        </w:r>
        <w:r w:rsidR="00AB31B1">
          <w:rPr>
            <w:noProof/>
            <w:webHidden/>
          </w:rPr>
          <w:fldChar w:fldCharType="end"/>
        </w:r>
      </w:hyperlink>
    </w:p>
    <w:p w14:paraId="5A6557E1" w14:textId="77777777" w:rsidR="00AB31B1" w:rsidRDefault="00AB31B1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66" w:history="1">
        <w:r w:rsidRPr="005A0533">
          <w:rPr>
            <w:rStyle w:val="Hipervnculo"/>
            <w:noProof/>
          </w:rPr>
          <w:t>2. Problema, objetivos e hipótesis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E93724" w14:textId="77777777" w:rsidR="00AB31B1" w:rsidRDefault="00AB31B1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67" w:history="1">
        <w:r w:rsidRPr="005A0533">
          <w:rPr>
            <w:rStyle w:val="Hipervnculo"/>
            <w:noProof/>
          </w:rPr>
          <w:t>3. Metodología del desarrollo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F54935" w14:textId="77777777" w:rsidR="00AB31B1" w:rsidRDefault="00AB31B1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68" w:history="1">
        <w:r w:rsidRPr="005A0533">
          <w:rPr>
            <w:rStyle w:val="Hipervnculo"/>
            <w:noProof/>
          </w:rPr>
          <w:t>3.1 Integración de las fases F1-F4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0623BC" w14:textId="77777777" w:rsidR="00AB31B1" w:rsidRDefault="00AB31B1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69" w:history="1">
        <w:r w:rsidRPr="005A0533">
          <w:rPr>
            <w:rStyle w:val="Hipervnculo"/>
            <w:noProof/>
          </w:rPr>
          <w:t>3.2 Herramientas, reproducibilidad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95C6F3" w14:textId="77777777" w:rsidR="00AB31B1" w:rsidRDefault="00AB31B1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70" w:history="1">
        <w:r w:rsidRPr="005A0533">
          <w:rPr>
            <w:rStyle w:val="Hipervnculo"/>
            <w:noProof/>
          </w:rPr>
          <w:t>3.3 Eficiencia, validación y programación orientada a objetos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FE4898" w14:textId="77777777" w:rsidR="00AB31B1" w:rsidRDefault="00AB31B1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71" w:history="1">
        <w:r w:rsidRPr="005A0533">
          <w:rPr>
            <w:rStyle w:val="Hipervnculo"/>
            <w:noProof/>
          </w:rPr>
          <w:t>4. Resultados y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33D3DA" w14:textId="77777777" w:rsidR="00AB31B1" w:rsidRDefault="00AB31B1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72" w:history="1">
        <w:r w:rsidRPr="005A0533">
          <w:rPr>
            <w:rStyle w:val="Hipervnculo"/>
            <w:noProof/>
          </w:rPr>
          <w:t>4.1 Resultados por tipo de licitación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530380" w14:textId="77777777" w:rsidR="00AB31B1" w:rsidRDefault="00AB31B1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73" w:history="1">
        <w:r w:rsidRPr="005A0533">
          <w:rPr>
            <w:rStyle w:val="Hipervnculo"/>
            <w:noProof/>
          </w:rPr>
          <w:t>4.2 Plazos de cierre y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BA0CE9" w14:textId="77777777" w:rsidR="00AB31B1" w:rsidRDefault="00AB31B1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74" w:history="1">
        <w:r w:rsidRPr="005A0533">
          <w:rPr>
            <w:rStyle w:val="Hipervnculo"/>
            <w:noProof/>
          </w:rPr>
          <w:t>5. Conclusiones y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8E1519" w14:textId="77777777" w:rsidR="00AB31B1" w:rsidRDefault="00AB31B1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75" w:history="1">
        <w:r w:rsidRPr="005A0533">
          <w:rPr>
            <w:rStyle w:val="Hipervnculo"/>
            <w:noProof/>
          </w:rPr>
          <w:t>6. Trazabilidad de mejoras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CC1A61" w14:textId="77777777" w:rsidR="00AB31B1" w:rsidRDefault="00AB31B1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es-CL"/>
          <w14:ligatures w14:val="standardContextual"/>
        </w:rPr>
      </w:pPr>
      <w:hyperlink w:anchor="_Toc241930176" w:history="1">
        <w:r w:rsidRPr="005A0533">
          <w:rPr>
            <w:rStyle w:val="Hipervnculo"/>
            <w:noProof/>
          </w:rPr>
          <w:t>7. 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1CBADA" w14:textId="77777777" w:rsidR="00800423" w:rsidRDefault="00000000">
      <w:pPr>
        <w:widowControl/>
        <w:spacing w:after="0"/>
      </w:pPr>
      <w:r>
        <w:fldChar w:fldCharType="end"/>
      </w:r>
    </w:p>
    <w:p w14:paraId="0F391F34" w14:textId="77777777" w:rsidR="00800423" w:rsidRDefault="00800423">
      <w:pPr>
        <w:sectPr w:rsidR="00800423">
          <w:headerReference w:type="default" r:id="rId12"/>
          <w:footerReference w:type="default" r:id="rId13"/>
          <w:pgSz w:w="12240" w:h="15840"/>
          <w:pgMar w:top="1152" w:right="1152" w:bottom="1296" w:left="1152" w:header="432" w:footer="576" w:gutter="0"/>
          <w:cols w:space="720"/>
        </w:sectPr>
      </w:pPr>
    </w:p>
    <w:p w14:paraId="1D6ED7D9" w14:textId="77777777" w:rsidR="00800423" w:rsidRDefault="00000000">
      <w:pPr>
        <w:pStyle w:val="Ttulo1"/>
        <w:spacing w:before="160" w:after="80"/>
      </w:pPr>
      <w:bookmarkStart w:id="0" w:name="_Toc241930165"/>
      <w:r>
        <w:lastRenderedPageBreak/>
        <w:t>1. Introducción y contextualización</w:t>
      </w:r>
      <w:bookmarkEnd w:id="0"/>
    </w:p>
    <w:p w14:paraId="405B5E06" w14:textId="77777777" w:rsidR="00800423" w:rsidRDefault="00000000">
      <w:pPr>
        <w:widowControl/>
        <w:spacing w:after="100" w:line="259" w:lineRule="auto"/>
        <w:jc w:val="both"/>
      </w:pPr>
      <w:r>
        <w:t xml:space="preserve">Este informe integra las cuatro fases del proyecto de análisis de ofertas en licitaciones públicas del sector Salud. El trabajo utiliza el reporte de Datos Abiertos de </w:t>
      </w:r>
      <w:proofErr w:type="spellStart"/>
      <w:r>
        <w:t>ChileCompra</w:t>
      </w:r>
      <w:proofErr w:type="spellEnd"/>
      <w:r>
        <w:t xml:space="preserve"> de marzo de 2026, compuesto por 44.226 ofertas y 74 variables. La unidad de observación es una oferta asociada a un ítem; por ello, una misma licitación puede aparecer varias veces. El análisis busca describir diferencias en la proporción de ofertas ganadoras y en los plazos de cierre, con un flujo reproducible que conserva el archivo original, valida cada transformación y comunica los resultados mediante tres visualizaciones finales (</w:t>
      </w:r>
      <w:proofErr w:type="spellStart"/>
      <w:r>
        <w:t>ChileCompra</w:t>
      </w:r>
      <w:proofErr w:type="spellEnd"/>
      <w:r>
        <w:t>, s. f.).</w:t>
      </w:r>
    </w:p>
    <w:p w14:paraId="0C32DCE2" w14:textId="77777777" w:rsidR="00800423" w:rsidRDefault="00000000">
      <w:pPr>
        <w:widowControl/>
        <w:spacing w:after="100" w:line="259" w:lineRule="auto"/>
        <w:jc w:val="both"/>
      </w:pPr>
      <w:r>
        <w:t>El problema es relevante porque los porcentajes pueden inducir conclusiones erróneas si se mezclan procesos no adjudicados, se usa un denominador global o se ignora que ciertas categorías tienen muy pocos casos. Resolverlo requiere programación para leer y transformar el archivo de forma consistente, pruebas para detectar errores, mediciones para escoger una implementación eficiente y visualizaciones que permitan interpretar los patrones sin presentar relaciones descriptivas como causales.</w:t>
      </w:r>
    </w:p>
    <w:p w14:paraId="16506F45" w14:textId="77777777" w:rsidR="00800423" w:rsidRDefault="00000000">
      <w:pPr>
        <w:pStyle w:val="Ttulo1"/>
        <w:spacing w:before="160" w:after="80"/>
      </w:pPr>
      <w:bookmarkStart w:id="1" w:name="_Toc241930166"/>
      <w:r>
        <w:t>2. Problema, objetivos e hipótesis</w:t>
      </w:r>
      <w:bookmarkEnd w:id="1"/>
    </w:p>
    <w:p w14:paraId="26C96124" w14:textId="77777777" w:rsidR="00800423" w:rsidRDefault="00000000">
      <w:pPr>
        <w:widowControl/>
        <w:spacing w:after="100" w:line="259" w:lineRule="auto"/>
        <w:jc w:val="both"/>
      </w:pPr>
      <w:r>
        <w:rPr>
          <w:b/>
        </w:rPr>
        <w:t xml:space="preserve">Problema. </w:t>
      </w:r>
      <w:r>
        <w:t>Se requiere establecer cómo varía la proporción de ofertas ganadoras según el tamaño del proveedor y el tipo de licitación, y si los procesos de distinto monto ofrecen plazos de cierre diferentes. El cálculo se restringe a procesos adjudicados y usa como denominador las ofertas con resultado válido de cada grupo.</w:t>
      </w:r>
    </w:p>
    <w:p w14:paraId="16A068F7" w14:textId="77777777" w:rsidR="00800423" w:rsidRDefault="00000000">
      <w:pPr>
        <w:widowControl/>
        <w:spacing w:after="100" w:line="259" w:lineRule="auto"/>
        <w:jc w:val="both"/>
      </w:pPr>
      <w:r>
        <w:rPr>
          <w:b/>
        </w:rPr>
        <w:t xml:space="preserve">Objetivo general. </w:t>
      </w:r>
      <w:r>
        <w:t>Desarrollar y documentar un flujo reproducible en Python que prepare, valide, analice y comunique los patrones de adjudicación del sector Salud observados en marzo de 2026.</w:t>
      </w:r>
    </w:p>
    <w:p w14:paraId="22E778C4" w14:textId="77777777" w:rsidR="00800423" w:rsidRDefault="00000000">
      <w:pPr>
        <w:widowControl/>
        <w:spacing w:after="100" w:line="259" w:lineRule="auto"/>
        <w:jc w:val="both"/>
      </w:pPr>
      <w:r>
        <w:rPr>
          <w:b/>
        </w:rPr>
        <w:t xml:space="preserve">Objetivos específicos. </w:t>
      </w:r>
      <w:r>
        <w:t>(1) conservar la trazabilidad entre datos originales y resultados; (2) comparar alternativas algorítmicas equivalentes; (3) aplicar una arquitectura modular y orientada a objetos; (4) contrastar la hipótesis mediante tres visualizaciones; y (5) documentar límites, decisiones y mejoras entre F1 y F4.</w:t>
      </w:r>
    </w:p>
    <w:p w14:paraId="2510B10D" w14:textId="77777777" w:rsidR="00800423" w:rsidRDefault="00000000">
      <w:pPr>
        <w:widowControl/>
        <w:spacing w:after="100" w:line="259" w:lineRule="auto"/>
        <w:jc w:val="both"/>
      </w:pPr>
      <w:r>
        <w:rPr>
          <w:b/>
        </w:rPr>
        <w:t xml:space="preserve">Hipótesis. </w:t>
      </w:r>
      <w:r>
        <w:t>La proporción de ofertas ganadoras aumenta con el tamaño del proveedor: las empresas grandes ganan una mayor parte de sus ofertas que las micro y pequeñas. Las preguntas complementarias examinan si esa proporción cambia según el tipo de licitación y si el plazo de cierre aumenta con el monto del proceso.</w:t>
      </w:r>
    </w:p>
    <w:p w14:paraId="0C64FBE5" w14:textId="77777777" w:rsidR="00800423" w:rsidRDefault="00000000">
      <w:pPr>
        <w:widowControl/>
        <w:spacing w:after="0" w:line="259" w:lineRule="auto"/>
        <w:jc w:val="both"/>
      </w:pPr>
      <w:r>
        <w:rPr>
          <w:b/>
        </w:rPr>
        <w:t xml:space="preserve">Alcance y supuestos. </w:t>
      </w:r>
      <w:r>
        <w:t xml:space="preserve">El análisis es descriptivo, cubre un mes y un sector, y no demuestra causalidad. Se supone que las etiquetas de resultado y tipo de licitación reflejan el registro administrativo; las fechas centinela de 1900 no se interpretan como fechas reales; y la categoría </w:t>
      </w:r>
      <w:proofErr w:type="spellStart"/>
      <w:r>
        <w:t>NoClasificado</w:t>
      </w:r>
      <w:proofErr w:type="spellEnd"/>
      <w:r>
        <w:t xml:space="preserve"> se conserva para no asignar un tamaño empresarial sin evidencia.</w:t>
      </w:r>
    </w:p>
    <w:p w14:paraId="19202E33" w14:textId="77777777" w:rsidR="00800423" w:rsidRDefault="00800423">
      <w:pPr>
        <w:sectPr w:rsidR="00800423">
          <w:headerReference w:type="default" r:id="rId14"/>
          <w:footerReference w:type="default" r:id="rId15"/>
          <w:pgSz w:w="12240" w:h="15840"/>
          <w:pgMar w:top="1152" w:right="1152" w:bottom="1296" w:left="1152" w:header="432" w:footer="576" w:gutter="0"/>
          <w:cols w:space="720"/>
        </w:sectPr>
      </w:pPr>
    </w:p>
    <w:p w14:paraId="0299223D" w14:textId="77777777" w:rsidR="00800423" w:rsidRDefault="00000000">
      <w:pPr>
        <w:pStyle w:val="Ttulo1"/>
        <w:spacing w:before="160" w:after="80"/>
      </w:pPr>
      <w:bookmarkStart w:id="2" w:name="_Toc241930167"/>
      <w:r>
        <w:lastRenderedPageBreak/>
        <w:t>3. Metodología del desarrollo técnico</w:t>
      </w:r>
      <w:bookmarkEnd w:id="2"/>
    </w:p>
    <w:p w14:paraId="47C32B1E" w14:textId="77777777" w:rsidR="00800423" w:rsidRDefault="00000000">
      <w:pPr>
        <w:pStyle w:val="Ttulo2"/>
        <w:spacing w:before="100" w:after="80"/>
      </w:pPr>
      <w:bookmarkStart w:id="3" w:name="_Toc241930168"/>
      <w:r>
        <w:t>3.1 Integración de las fases F1-F4</w:t>
      </w:r>
      <w:bookmarkEnd w:id="3"/>
    </w:p>
    <w:p w14:paraId="2559F724" w14:textId="77777777" w:rsidR="00800423" w:rsidRDefault="00000000">
      <w:pPr>
        <w:widowControl/>
        <w:spacing w:after="100" w:line="259" w:lineRule="auto"/>
        <w:jc w:val="both"/>
      </w:pPr>
      <w:r>
        <w:t>El proyecto se construyó como una secuencia acumulativa. Cada fase dejó un artefacto ejecutable y una evidencia verificable, de modo que las mejoras posteriores no reemplazaran silenciosamente las decisiones anteriores.</w:t>
      </w:r>
    </w:p>
    <w:p w14:paraId="076AF760" w14:textId="77777777" w:rsidR="00800423" w:rsidRDefault="00000000">
      <w:pPr>
        <w:keepNext/>
        <w:widowControl/>
        <w:spacing w:after="0" w:line="259" w:lineRule="auto"/>
      </w:pPr>
      <w:r>
        <w:rPr>
          <w:b/>
        </w:rPr>
        <w:t>Tabla 1</w:t>
      </w:r>
    </w:p>
    <w:p w14:paraId="2DA0C271" w14:textId="77777777" w:rsidR="00800423" w:rsidRDefault="00000000">
      <w:pPr>
        <w:keepNext/>
        <w:widowControl/>
        <w:spacing w:after="60" w:line="259" w:lineRule="auto"/>
      </w:pPr>
      <w:r>
        <w:rPr>
          <w:i/>
        </w:rPr>
        <w:t>Síntesis metodológica de las fases del proyecto</w:t>
      </w:r>
    </w:p>
    <w:tbl>
      <w:tblPr>
        <w:tblW w:w="0" w:type="auto"/>
        <w:jc w:val="center"/>
        <w:tblBorders>
          <w:top w:val="single" w:sz="5" w:space="0" w:color="B8CCE4"/>
          <w:left w:val="single" w:sz="5" w:space="0" w:color="B8CCE4"/>
          <w:bottom w:val="single" w:sz="5" w:space="0" w:color="B8CCE4"/>
          <w:right w:val="single" w:sz="5" w:space="0" w:color="B8CCE4"/>
          <w:insideH w:val="single" w:sz="5" w:space="0" w:color="B8CCE4"/>
          <w:insideV w:val="single" w:sz="5" w:space="0" w:color="B8CCE4"/>
        </w:tblBorders>
        <w:tblLayout w:type="fixed"/>
        <w:tblLook w:val="04A0" w:firstRow="1" w:lastRow="0" w:firstColumn="1" w:lastColumn="0" w:noHBand="0" w:noVBand="1"/>
      </w:tblPr>
      <w:tblGrid>
        <w:gridCol w:w="792"/>
        <w:gridCol w:w="5112"/>
        <w:gridCol w:w="3816"/>
      </w:tblGrid>
      <w:tr w:rsidR="00800423" w14:paraId="361304BF" w14:textId="77777777">
        <w:trPr>
          <w:tblHeader/>
          <w:jc w:val="center"/>
        </w:trPr>
        <w:tc>
          <w:tcPr>
            <w:tcW w:w="792" w:type="dxa"/>
            <w:shd w:val="clear" w:color="auto" w:fill="28558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0351B" w14:textId="77777777" w:rsidR="0080042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w="5112" w:type="dxa"/>
            <w:shd w:val="clear" w:color="auto" w:fill="28558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120E4C" w14:textId="77777777" w:rsidR="0080042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Trabajo realizado</w:t>
            </w:r>
          </w:p>
        </w:tc>
        <w:tc>
          <w:tcPr>
            <w:tcW w:w="3816" w:type="dxa"/>
            <w:shd w:val="clear" w:color="auto" w:fill="28558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B4A03" w14:textId="77777777" w:rsidR="0080042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Evidencia principal</w:t>
            </w:r>
          </w:p>
        </w:tc>
      </w:tr>
      <w:tr w:rsidR="00800423" w14:paraId="0EE5BC43" w14:textId="77777777">
        <w:trPr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A9DAF2" w14:textId="77777777" w:rsidR="00800423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F1</w:t>
            </w:r>
          </w:p>
        </w:tc>
        <w:tc>
          <w:tcPr>
            <w:tcW w:w="511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413B4D" w14:textId="77777777" w:rsidR="00800423" w:rsidRDefault="00000000">
            <w:pPr>
              <w:spacing w:after="0" w:line="240" w:lineRule="auto"/>
            </w:pPr>
            <w:r>
              <w:rPr>
                <w:sz w:val="19"/>
              </w:rPr>
              <w:t>Definición del problema, unidad de análisis, fuente y entorno reproducible.</w:t>
            </w:r>
          </w:p>
        </w:tc>
        <w:tc>
          <w:tcPr>
            <w:tcW w:w="38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CB417" w14:textId="77777777" w:rsidR="00800423" w:rsidRDefault="00000000">
            <w:pPr>
              <w:spacing w:after="0" w:line="240" w:lineRule="auto"/>
            </w:pPr>
            <w:r>
              <w:rPr>
                <w:sz w:val="19"/>
              </w:rPr>
              <w:t>F1_Definición.ipynb y verificar_f1.py</w:t>
            </w:r>
          </w:p>
        </w:tc>
      </w:tr>
      <w:tr w:rsidR="00800423" w14:paraId="2E24B7EE" w14:textId="77777777">
        <w:trPr>
          <w:jc w:val="center"/>
        </w:trPr>
        <w:tc>
          <w:tcPr>
            <w:tcW w:w="792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740B04" w14:textId="77777777" w:rsidR="00800423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F2</w:t>
            </w:r>
          </w:p>
        </w:tc>
        <w:tc>
          <w:tcPr>
            <w:tcW w:w="5112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D76687" w14:textId="77777777" w:rsidR="00800423" w:rsidRDefault="00000000">
            <w:pPr>
              <w:spacing w:after="0" w:line="240" w:lineRule="auto"/>
            </w:pPr>
            <w:r>
              <w:rPr>
                <w:sz w:val="19"/>
              </w:rPr>
              <w:t>Exploración de 74 variables; limpieza, fechas, categorías, variables derivadas y validación.</w:t>
            </w:r>
          </w:p>
        </w:tc>
        <w:tc>
          <w:tcPr>
            <w:tcW w:w="3816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852D39" w14:textId="77777777" w:rsidR="00800423" w:rsidRDefault="00000000">
            <w:pPr>
              <w:spacing w:after="0" w:line="240" w:lineRule="auto"/>
            </w:pPr>
            <w:r>
              <w:rPr>
                <w:sz w:val="19"/>
              </w:rPr>
              <w:t>F2_Preprocesamiento.ipynb y CSV derivados</w:t>
            </w:r>
          </w:p>
        </w:tc>
      </w:tr>
      <w:tr w:rsidR="00800423" w14:paraId="3AF74952" w14:textId="77777777">
        <w:trPr>
          <w:jc w:val="center"/>
        </w:trPr>
        <w:tc>
          <w:tcPr>
            <w:tcW w:w="7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B0DF3B" w14:textId="77777777" w:rsidR="00800423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F3</w:t>
            </w:r>
          </w:p>
        </w:tc>
        <w:tc>
          <w:tcPr>
            <w:tcW w:w="511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70B600" w14:textId="77777777" w:rsidR="00800423" w:rsidRDefault="00000000">
            <w:pPr>
              <w:spacing w:after="0" w:line="240" w:lineRule="auto"/>
            </w:pPr>
            <w:r>
              <w:rPr>
                <w:sz w:val="19"/>
              </w:rPr>
              <w:t xml:space="preserve">Separación modular, POO, algoritmos iterativo, recursivo y agrupado; pruebas y </w:t>
            </w:r>
            <w:proofErr w:type="spellStart"/>
            <w:r>
              <w:rPr>
                <w:sz w:val="19"/>
              </w:rPr>
              <w:t>benchmarks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8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02D021" w14:textId="77777777" w:rsidR="00800423" w:rsidRDefault="00000000">
            <w:pPr>
              <w:spacing w:after="0" w:line="240" w:lineRule="auto"/>
            </w:pPr>
            <w:r>
              <w:rPr>
                <w:sz w:val="19"/>
              </w:rPr>
              <w:t>F3_Algoritmos.ipynb, 29 pruebas y evidencias</w:t>
            </w:r>
          </w:p>
        </w:tc>
      </w:tr>
      <w:tr w:rsidR="00800423" w14:paraId="2988C6A3" w14:textId="77777777">
        <w:trPr>
          <w:jc w:val="center"/>
        </w:trPr>
        <w:tc>
          <w:tcPr>
            <w:tcW w:w="792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4A5A2" w14:textId="77777777" w:rsidR="00800423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F4</w:t>
            </w:r>
          </w:p>
        </w:tc>
        <w:tc>
          <w:tcPr>
            <w:tcW w:w="5112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12FF56" w14:textId="77777777" w:rsidR="00800423" w:rsidRDefault="00000000">
            <w:pPr>
              <w:spacing w:after="0" w:line="240" w:lineRule="auto"/>
            </w:pPr>
            <w:r>
              <w:rPr>
                <w:sz w:val="19"/>
              </w:rPr>
              <w:t>Reutilización del pipeline validado, tres gráficos, interpretación y comunicación final.</w:t>
            </w:r>
          </w:p>
        </w:tc>
        <w:tc>
          <w:tcPr>
            <w:tcW w:w="3816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DA44A9" w14:textId="77777777" w:rsidR="00800423" w:rsidRDefault="00000000">
            <w:pPr>
              <w:spacing w:after="0" w:line="240" w:lineRule="auto"/>
            </w:pPr>
            <w:r>
              <w:rPr>
                <w:sz w:val="19"/>
              </w:rPr>
              <w:t>F4_Comunicacion.ipynb y figuras</w:t>
            </w:r>
          </w:p>
        </w:tc>
      </w:tr>
    </w:tbl>
    <w:p w14:paraId="7F393161" w14:textId="77777777" w:rsidR="00800423" w:rsidRDefault="00800423">
      <w:pPr>
        <w:spacing w:after="0"/>
      </w:pPr>
    </w:p>
    <w:p w14:paraId="50285218" w14:textId="77777777" w:rsidR="00800423" w:rsidRDefault="00000000">
      <w:pPr>
        <w:widowControl/>
        <w:spacing w:after="80" w:line="259" w:lineRule="auto"/>
        <w:jc w:val="both"/>
      </w:pPr>
      <w:r>
        <w:rPr>
          <w:i/>
          <w:sz w:val="19"/>
        </w:rPr>
        <w:t xml:space="preserve">Nota. </w:t>
      </w:r>
      <w:r>
        <w:rPr>
          <w:sz w:val="19"/>
        </w:rPr>
        <w:t>Elaboración propia a partir de los notebooks y verificadores del repositorio.</w:t>
      </w:r>
    </w:p>
    <w:p w14:paraId="35E2464D" w14:textId="77777777" w:rsidR="00800423" w:rsidRDefault="00000000">
      <w:pPr>
        <w:widowControl/>
        <w:spacing w:after="100" w:line="259" w:lineRule="auto"/>
        <w:jc w:val="both"/>
      </w:pPr>
      <w:r>
        <w:t xml:space="preserve">En F2 se eliminaron únicamente tres columnas completamente vacías; 7.613 valores del año 1900 en la fecha estimada de evaluación se convirtieron en valores ausentes; se normalizaron espacios en categorías; y se calcularon </w:t>
      </w:r>
      <w:proofErr w:type="spellStart"/>
      <w:r>
        <w:t>oferta_ganadora</w:t>
      </w:r>
      <w:proofErr w:type="spellEnd"/>
      <w:r>
        <w:t xml:space="preserve">, </w:t>
      </w:r>
      <w:proofErr w:type="spellStart"/>
      <w:r>
        <w:t>licitacion_adjudicada</w:t>
      </w:r>
      <w:proofErr w:type="spellEnd"/>
      <w:r>
        <w:t xml:space="preserve"> y </w:t>
      </w:r>
      <w:proofErr w:type="spellStart"/>
      <w:r>
        <w:t>plazo_cierre_dias</w:t>
      </w:r>
      <w:proofErr w:type="spellEnd"/>
      <w:r>
        <w:t>. No se imputaron los faltantes parciales porque las variables del análisis estaban completas, y no se escalaron variables porque no se entrenó un modelo que lo requiriera. Las 44.226 filas se conservaron.</w:t>
      </w:r>
    </w:p>
    <w:p w14:paraId="44AFBACF" w14:textId="77777777" w:rsidR="00800423" w:rsidRDefault="00000000">
      <w:pPr>
        <w:widowControl/>
        <w:spacing w:after="0" w:line="259" w:lineRule="auto"/>
        <w:jc w:val="both"/>
      </w:pPr>
      <w:r>
        <w:t>El flujo final puede resumirse como: CSV original → verificación SHA-256 → lectura de siete columnas → limpieza sin mutar la entrada → seis reglas de calidad → cálculo agrupado → tablas y figuras. Antes de graficar, el notebook F4 comprueba que las proporciones coincidan con la función de referencia de F2. Esta equivalencia conecta entradas, procesamiento y resultados y evita que una optimización cambie la respuesta analítica.</w:t>
      </w:r>
    </w:p>
    <w:p w14:paraId="249E71F0" w14:textId="77777777" w:rsidR="00800423" w:rsidRDefault="00800423">
      <w:pPr>
        <w:sectPr w:rsidR="00800423">
          <w:headerReference w:type="default" r:id="rId16"/>
          <w:footerReference w:type="default" r:id="rId17"/>
          <w:pgSz w:w="12240" w:h="15840"/>
          <w:pgMar w:top="1152" w:right="1152" w:bottom="1296" w:left="1152" w:header="432" w:footer="576" w:gutter="0"/>
          <w:cols w:space="720"/>
        </w:sectPr>
      </w:pPr>
    </w:p>
    <w:p w14:paraId="6D85DCC0" w14:textId="77777777" w:rsidR="00800423" w:rsidRDefault="00000000">
      <w:pPr>
        <w:pStyle w:val="Ttulo2"/>
        <w:spacing w:before="100" w:after="80"/>
      </w:pPr>
      <w:bookmarkStart w:id="4" w:name="_Toc241930169"/>
      <w:r>
        <w:lastRenderedPageBreak/>
        <w:t>3.2 Herramientas, reproducibilidad y control de versiones</w:t>
      </w:r>
      <w:bookmarkEnd w:id="4"/>
    </w:p>
    <w:p w14:paraId="4372A66A" w14:textId="77777777" w:rsidR="00800423" w:rsidRDefault="00000000">
      <w:pPr>
        <w:widowControl/>
        <w:spacing w:after="100" w:line="259" w:lineRule="auto"/>
        <w:jc w:val="both"/>
      </w:pPr>
      <w:r>
        <w:t xml:space="preserve">El ecosistema combina Python, </w:t>
      </w:r>
      <w:proofErr w:type="spellStart"/>
      <w:r>
        <w:t>NumPy</w:t>
      </w:r>
      <w:proofErr w:type="spellEnd"/>
      <w:r>
        <w:t xml:space="preserve">, pandas, </w:t>
      </w:r>
      <w:proofErr w:type="spellStart"/>
      <w:r>
        <w:t>Jupyter</w:t>
      </w:r>
      <w:proofErr w:type="spellEnd"/>
      <w:r>
        <w:t xml:space="preserve">, </w:t>
      </w:r>
      <w:proofErr w:type="spellStart"/>
      <w:r>
        <w:t>Matplotlib</w:t>
      </w:r>
      <w:proofErr w:type="spellEnd"/>
      <w:r>
        <w:t xml:space="preserve">, Seaborn y </w:t>
      </w:r>
      <w:proofErr w:type="spellStart"/>
      <w:r>
        <w:t>unittest</w:t>
      </w:r>
      <w:proofErr w:type="spellEnd"/>
      <w:r>
        <w:t xml:space="preserve">. requirements.txt registra las dependencias; los verificadores ejecutan los notebooks en un </w:t>
      </w:r>
      <w:proofErr w:type="spellStart"/>
      <w:r>
        <w:t>kernel</w:t>
      </w:r>
      <w:proofErr w:type="spellEnd"/>
      <w:r>
        <w:t xml:space="preserve"> nuevo; y los archivos de evidencias guardan fecha, versiones, número de celdas, errores y huellas del código y de los datos. El CSV original permanece versionado y los derivados reproducibles quedan fuera de Git para no duplicar archivos grandes. El historial usa ramas, </w:t>
      </w:r>
      <w:proofErr w:type="spellStart"/>
      <w:r>
        <w:t>commits</w:t>
      </w:r>
      <w:proofErr w:type="spellEnd"/>
      <w:r>
        <w:t xml:space="preserve"> descriptivos </w:t>
      </w:r>
      <w:proofErr w:type="gramStart"/>
      <w:r>
        <w:t>y .</w:t>
      </w:r>
      <w:proofErr w:type="spellStart"/>
      <w:r>
        <w:t>mailmap</w:t>
      </w:r>
      <w:proofErr w:type="spellEnd"/>
      <w:proofErr w:type="gramEnd"/>
      <w:r>
        <w:t xml:space="preserve"> para mantener la autoría trazable.</w:t>
      </w:r>
    </w:p>
    <w:p w14:paraId="2067034E" w14:textId="77777777" w:rsidR="00800423" w:rsidRDefault="00000000">
      <w:pPr>
        <w:pStyle w:val="Ttulo2"/>
        <w:spacing w:before="100" w:after="80"/>
      </w:pPr>
      <w:bookmarkStart w:id="5" w:name="_Toc241930170"/>
      <w:r>
        <w:t>3.3 Eficiencia, validación y programación orientada a objetos</w:t>
      </w:r>
      <w:bookmarkEnd w:id="5"/>
    </w:p>
    <w:p w14:paraId="2AF6962A" w14:textId="77777777" w:rsidR="00800423" w:rsidRDefault="00000000">
      <w:pPr>
        <w:widowControl/>
        <w:spacing w:after="100" w:line="259" w:lineRule="auto"/>
        <w:jc w:val="both"/>
      </w:pPr>
      <w:r>
        <w:t xml:space="preserve">Se compararon cuatro implementaciones equivalentes mediante </w:t>
      </w:r>
      <w:proofErr w:type="spellStart"/>
      <w:r>
        <w:t>timeit</w:t>
      </w:r>
      <w:proofErr w:type="spellEnd"/>
      <w:r>
        <w:t xml:space="preserve">: la referencia F2, una iterativa, una recursiva por división y conquista y una agrupada con pandas. Las pruebas usaron muestras de 100, 1.000, 10.000 y 44.226 filas, siete rondas de tres ejecuciones y orden alternado. En el conjunto completo, la variante agrupada alcanzó medianas de 19,02 ms por tamaño de proveedor y 20,96 ms por tipo de licitación, aproximadamente 1,16 veces más rápida que la referencia. El cambio más importante fue leer solo siete de 74 columnas: el flujo completo bajó de 1.199 a 506 ms y el </w:t>
      </w:r>
      <w:proofErr w:type="spellStart"/>
      <w:r>
        <w:t>DataFrame</w:t>
      </w:r>
      <w:proofErr w:type="spellEnd"/>
      <w:r>
        <w:t xml:space="preserve"> leído de 195,7 a 8,9 MiB. Estas cifras describen el equipo y las versiones registradas; no prueban superioridad universal (Python Software </w:t>
      </w:r>
      <w:proofErr w:type="spellStart"/>
      <w:r>
        <w:t>Foundation</w:t>
      </w:r>
      <w:proofErr w:type="spellEnd"/>
      <w:r>
        <w:t xml:space="preserve">, s. f.-a, s. f.-b; The pandas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team</w:t>
      </w:r>
      <w:proofErr w:type="spellEnd"/>
      <w:r>
        <w:t>, s. f.-a).</w:t>
      </w:r>
    </w:p>
    <w:p w14:paraId="50EB8008" w14:textId="77777777" w:rsidR="00800423" w:rsidRDefault="00000000">
      <w:pPr>
        <w:keepNext/>
        <w:widowControl/>
        <w:spacing w:after="0" w:line="259" w:lineRule="auto"/>
      </w:pPr>
      <w:r>
        <w:rPr>
          <w:b/>
        </w:rPr>
        <w:t>Tabla 2</w:t>
      </w:r>
    </w:p>
    <w:p w14:paraId="759B8447" w14:textId="77777777" w:rsidR="00800423" w:rsidRDefault="00000000">
      <w:pPr>
        <w:keepNext/>
        <w:widowControl/>
        <w:spacing w:after="60" w:line="259" w:lineRule="auto"/>
      </w:pPr>
      <w:r>
        <w:rPr>
          <w:i/>
        </w:rPr>
        <w:t>Arquitectura, principios orientados a objetos y verificación</w:t>
      </w:r>
    </w:p>
    <w:tbl>
      <w:tblPr>
        <w:tblW w:w="0" w:type="auto"/>
        <w:jc w:val="center"/>
        <w:tblBorders>
          <w:top w:val="single" w:sz="5" w:space="0" w:color="B8CCE4"/>
          <w:left w:val="single" w:sz="5" w:space="0" w:color="B8CCE4"/>
          <w:bottom w:val="single" w:sz="5" w:space="0" w:color="B8CCE4"/>
          <w:right w:val="single" w:sz="5" w:space="0" w:color="B8CCE4"/>
          <w:insideH w:val="single" w:sz="5" w:space="0" w:color="B8CCE4"/>
          <w:insideV w:val="single" w:sz="5" w:space="0" w:color="B8CCE4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5184"/>
        <w:gridCol w:w="3096"/>
      </w:tblGrid>
      <w:tr w:rsidR="00800423" w14:paraId="1A9A68D4" w14:textId="77777777">
        <w:trPr>
          <w:tblHeader/>
          <w:jc w:val="center"/>
        </w:trPr>
        <w:tc>
          <w:tcPr>
            <w:tcW w:w="1440" w:type="dxa"/>
            <w:shd w:val="clear" w:color="auto" w:fill="28558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2E7BAC" w14:textId="77777777" w:rsidR="0080042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5184" w:type="dxa"/>
            <w:shd w:val="clear" w:color="auto" w:fill="28558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4B5446" w14:textId="77777777" w:rsidR="0080042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Decisión de diseño</w:t>
            </w:r>
          </w:p>
        </w:tc>
        <w:tc>
          <w:tcPr>
            <w:tcW w:w="3096" w:type="dxa"/>
            <w:shd w:val="clear" w:color="auto" w:fill="28558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ECAC4A" w14:textId="77777777" w:rsidR="0080042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Comprobación</w:t>
            </w:r>
          </w:p>
        </w:tc>
      </w:tr>
      <w:tr w:rsidR="00800423" w14:paraId="6D19C18B" w14:textId="77777777">
        <w:trPr>
          <w:jc w:val="center"/>
        </w:trPr>
        <w:tc>
          <w:tcPr>
            <w:tcW w:w="144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B44D9B" w14:textId="77777777" w:rsidR="0080042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Lectura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11FCD1" w14:textId="77777777" w:rsidR="00800423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LectorDatos</w:t>
            </w:r>
            <w:proofErr w:type="spellEnd"/>
            <w:r>
              <w:rPr>
                <w:sz w:val="18"/>
              </w:rPr>
              <w:t xml:space="preserve"> define el contrato y </w:t>
            </w:r>
            <w:proofErr w:type="spellStart"/>
            <w:r>
              <w:rPr>
                <w:sz w:val="18"/>
              </w:rPr>
              <w:t>LectorCSV</w:t>
            </w:r>
            <w:proofErr w:type="spellEnd"/>
            <w:r>
              <w:rPr>
                <w:sz w:val="18"/>
              </w:rPr>
              <w:t xml:space="preserve"> implementa la lectura.</w:t>
            </w:r>
          </w:p>
        </w:tc>
        <w:tc>
          <w:tcPr>
            <w:tcW w:w="309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1C98AC" w14:textId="77777777" w:rsidR="00800423" w:rsidRDefault="00000000">
            <w:pPr>
              <w:spacing w:after="0" w:line="240" w:lineRule="auto"/>
            </w:pPr>
            <w:r>
              <w:rPr>
                <w:sz w:val="18"/>
              </w:rPr>
              <w:t>Herencia y sustitución polimórfica.</w:t>
            </w:r>
          </w:p>
        </w:tc>
      </w:tr>
      <w:tr w:rsidR="00800423" w14:paraId="11E46312" w14:textId="77777777">
        <w:trPr>
          <w:jc w:val="center"/>
        </w:trPr>
        <w:tc>
          <w:tcPr>
            <w:tcW w:w="1440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22E124" w14:textId="77777777" w:rsidR="0080042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Limpieza</w:t>
            </w:r>
          </w:p>
        </w:tc>
        <w:tc>
          <w:tcPr>
            <w:tcW w:w="5184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23EE6F" w14:textId="77777777" w:rsidR="00800423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LimpiadorLicitaciones</w:t>
            </w:r>
            <w:proofErr w:type="spellEnd"/>
            <w:r>
              <w:rPr>
                <w:sz w:val="18"/>
              </w:rPr>
              <w:t xml:space="preserve"> coordina transformaciones y protege su resumen interno.</w:t>
            </w:r>
          </w:p>
        </w:tc>
        <w:tc>
          <w:tcPr>
            <w:tcW w:w="3096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ECF52" w14:textId="77777777" w:rsidR="00800423" w:rsidRDefault="00000000">
            <w:pPr>
              <w:spacing w:after="0" w:line="240" w:lineRule="auto"/>
            </w:pPr>
            <w:r>
              <w:rPr>
                <w:sz w:val="18"/>
              </w:rPr>
              <w:t>La copia devuelta no altera el estado.</w:t>
            </w:r>
          </w:p>
        </w:tc>
      </w:tr>
      <w:tr w:rsidR="00800423" w14:paraId="26D1DD9A" w14:textId="77777777">
        <w:trPr>
          <w:jc w:val="center"/>
        </w:trPr>
        <w:tc>
          <w:tcPr>
            <w:tcW w:w="144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B95AC5" w14:textId="77777777" w:rsidR="0080042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Validación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BF801" w14:textId="77777777" w:rsidR="00800423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ReglaValidacion</w:t>
            </w:r>
            <w:proofErr w:type="spellEnd"/>
            <w:r>
              <w:rPr>
                <w:sz w:val="18"/>
              </w:rPr>
              <w:t xml:space="preserve"> permite reglas intercambiables; el validador las compone.</w:t>
            </w:r>
          </w:p>
        </w:tc>
        <w:tc>
          <w:tcPr>
            <w:tcW w:w="309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C6204D" w14:textId="77777777" w:rsidR="00800423" w:rsidRDefault="00000000">
            <w:pPr>
              <w:spacing w:after="0" w:line="240" w:lineRule="auto"/>
            </w:pPr>
            <w:r>
              <w:rPr>
                <w:sz w:val="18"/>
              </w:rPr>
              <w:t>Lista vacía rechazada y casos de error cubiertos.</w:t>
            </w:r>
          </w:p>
        </w:tc>
      </w:tr>
      <w:tr w:rsidR="00800423" w14:paraId="7EE50D52" w14:textId="77777777">
        <w:trPr>
          <w:jc w:val="center"/>
        </w:trPr>
        <w:tc>
          <w:tcPr>
            <w:tcW w:w="1440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2F1630" w14:textId="77777777" w:rsidR="0080042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Análisis</w:t>
            </w:r>
          </w:p>
        </w:tc>
        <w:tc>
          <w:tcPr>
            <w:tcW w:w="5184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7326F3" w14:textId="77777777" w:rsidR="00800423" w:rsidRDefault="00000000">
            <w:pPr>
              <w:spacing w:after="0" w:line="240" w:lineRule="auto"/>
            </w:pPr>
            <w:r>
              <w:rPr>
                <w:sz w:val="18"/>
              </w:rPr>
              <w:t>Funciones con la misma firma actúan como estrategias comparables.</w:t>
            </w:r>
          </w:p>
        </w:tc>
        <w:tc>
          <w:tcPr>
            <w:tcW w:w="3096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A0740" w14:textId="77777777" w:rsidR="00800423" w:rsidRDefault="00000000">
            <w:pPr>
              <w:spacing w:after="0" w:line="240" w:lineRule="auto"/>
            </w:pPr>
            <w:r>
              <w:rPr>
                <w:sz w:val="18"/>
              </w:rPr>
              <w:t>Equivalencia con F2 antes de medir.</w:t>
            </w:r>
          </w:p>
        </w:tc>
      </w:tr>
    </w:tbl>
    <w:p w14:paraId="343CF25C" w14:textId="77777777" w:rsidR="00800423" w:rsidRDefault="00800423">
      <w:pPr>
        <w:spacing w:after="0"/>
      </w:pPr>
    </w:p>
    <w:p w14:paraId="212A78BC" w14:textId="77777777" w:rsidR="00800423" w:rsidRDefault="00000000">
      <w:pPr>
        <w:widowControl/>
        <w:spacing w:after="80" w:line="259" w:lineRule="auto"/>
        <w:jc w:val="both"/>
      </w:pPr>
      <w:r>
        <w:rPr>
          <w:i/>
          <w:sz w:val="19"/>
        </w:rPr>
        <w:t xml:space="preserve">Nota. </w:t>
      </w:r>
      <w:r>
        <w:rPr>
          <w:sz w:val="19"/>
        </w:rPr>
        <w:t>La suite F3 contiene 29 pruebas y F4 añade 10 pruebas de visualización; todas finalizaron correctamente en los notebooks ejecutados.</w:t>
      </w:r>
    </w:p>
    <w:p w14:paraId="75667872" w14:textId="77777777" w:rsidR="00800423" w:rsidRDefault="00000000">
      <w:pPr>
        <w:widowControl/>
        <w:spacing w:after="0" w:line="259" w:lineRule="auto"/>
        <w:jc w:val="both"/>
      </w:pPr>
      <w:r>
        <w:t xml:space="preserve">La herencia aparece en las interfaces abstractas </w:t>
      </w:r>
      <w:proofErr w:type="spellStart"/>
      <w:r>
        <w:t>LectorDatos</w:t>
      </w:r>
      <w:proofErr w:type="spellEnd"/>
      <w:r>
        <w:t xml:space="preserve"> y </w:t>
      </w:r>
      <w:proofErr w:type="spellStart"/>
      <w:r>
        <w:t>ReglaValidacion</w:t>
      </w:r>
      <w:proofErr w:type="spellEnd"/>
      <w:r>
        <w:t xml:space="preserve">; el polimorfismo permite que el validador invoque validar sin conocer la regla concreta; y el encapsulamiento impide que una modificación externa del resumen del limpiador cambie su estado. La corrección específica de </w:t>
      </w:r>
      <w:proofErr w:type="spellStart"/>
      <w:r>
        <w:t>ValidadorDatasetProcesado</w:t>
      </w:r>
      <w:proofErr w:type="spellEnd"/>
      <w:r>
        <w:t xml:space="preserve"> distingue </w:t>
      </w:r>
      <w:proofErr w:type="spellStart"/>
      <w:r>
        <w:t>None</w:t>
      </w:r>
      <w:proofErr w:type="spellEnd"/>
      <w:r>
        <w:t xml:space="preserve"> -que selecciona reglas predeterminadas- de una lista vacía -que produce un error explícito-.</w:t>
      </w:r>
    </w:p>
    <w:p w14:paraId="7727976F" w14:textId="77777777" w:rsidR="00800423" w:rsidRDefault="00800423">
      <w:pPr>
        <w:sectPr w:rsidR="00800423">
          <w:headerReference w:type="default" r:id="rId18"/>
          <w:footerReference w:type="default" r:id="rId19"/>
          <w:pgSz w:w="12240" w:h="15840"/>
          <w:pgMar w:top="1152" w:right="1152" w:bottom="1296" w:left="1152" w:header="432" w:footer="576" w:gutter="0"/>
          <w:cols w:space="720"/>
        </w:sectPr>
      </w:pPr>
    </w:p>
    <w:p w14:paraId="44E97E6D" w14:textId="77777777" w:rsidR="00800423" w:rsidRDefault="00000000">
      <w:pPr>
        <w:pStyle w:val="Ttulo1"/>
        <w:spacing w:before="160" w:after="80"/>
      </w:pPr>
      <w:bookmarkStart w:id="6" w:name="_Toc241930171"/>
      <w:r>
        <w:lastRenderedPageBreak/>
        <w:t>4. Resultados y discusión</w:t>
      </w:r>
      <w:bookmarkEnd w:id="6"/>
    </w:p>
    <w:p w14:paraId="4CA3F43D" w14:textId="77777777" w:rsidR="00800423" w:rsidRDefault="00000000">
      <w:pPr>
        <w:widowControl/>
        <w:spacing w:after="100" w:line="259" w:lineRule="auto"/>
        <w:jc w:val="both"/>
      </w:pPr>
      <w:r>
        <w:t>Las tablas de F4 se construyeron con 44.025 ofertas válidas pertenecientes a procesos adjudicados. Cada porcentaje utiliza su propio grupo como denominador. Las figuras se generaron desde el notebook ejecutado y conservan títulos, ejes, fuente y señalización de categorías con poco respaldo.</w:t>
      </w:r>
    </w:p>
    <w:p w14:paraId="48DD9D6E" w14:textId="77777777" w:rsidR="00800423" w:rsidRDefault="00000000">
      <w:pPr>
        <w:keepNext/>
        <w:widowControl/>
        <w:spacing w:after="0" w:line="259" w:lineRule="auto"/>
      </w:pPr>
      <w:r>
        <w:rPr>
          <w:b/>
        </w:rPr>
        <w:t>Figura 1</w:t>
      </w:r>
    </w:p>
    <w:p w14:paraId="78ED538F" w14:textId="77777777" w:rsidR="00800423" w:rsidRDefault="00000000">
      <w:pPr>
        <w:keepNext/>
        <w:widowControl/>
        <w:spacing w:after="60" w:line="259" w:lineRule="auto"/>
      </w:pPr>
      <w:r>
        <w:rPr>
          <w:i/>
        </w:rPr>
        <w:t>Proporción de ofertas ganadoras según el tamaño del proveedor</w:t>
      </w:r>
    </w:p>
    <w:p w14:paraId="43AB838B" w14:textId="77777777" w:rsidR="00800423" w:rsidRDefault="00000000">
      <w:pPr>
        <w:keepLines/>
        <w:spacing w:after="60"/>
        <w:jc w:val="center"/>
      </w:pPr>
      <w:r>
        <w:rPr>
          <w:noProof/>
        </w:rPr>
        <w:drawing>
          <wp:inline distT="0" distB="0" distL="0" distR="0" wp14:anchorId="22869FC6" wp14:editId="21AC3630">
            <wp:extent cx="5715000" cy="31582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1_tamano_proveed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58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493C" w14:textId="77777777" w:rsidR="00800423" w:rsidRDefault="00000000">
      <w:pPr>
        <w:widowControl/>
        <w:spacing w:after="80" w:line="259" w:lineRule="auto"/>
        <w:jc w:val="both"/>
      </w:pPr>
      <w:r>
        <w:rPr>
          <w:i/>
          <w:sz w:val="19"/>
        </w:rPr>
        <w:t xml:space="preserve">Nota. </w:t>
      </w:r>
      <w:r>
        <w:rPr>
          <w:sz w:val="19"/>
        </w:rPr>
        <w:t xml:space="preserve">Elaboración propia a partir de Datos Abiertos de </w:t>
      </w:r>
      <w:proofErr w:type="spellStart"/>
      <w:r>
        <w:rPr>
          <w:sz w:val="19"/>
        </w:rPr>
        <w:t>ChileCompra</w:t>
      </w:r>
      <w:proofErr w:type="spellEnd"/>
      <w:r>
        <w:rPr>
          <w:sz w:val="19"/>
        </w:rPr>
        <w:t>, marzo de 2026. n = 44.025 ofertas válidas en procesos adjudicados.</w:t>
      </w:r>
    </w:p>
    <w:p w14:paraId="75203F30" w14:textId="77777777" w:rsidR="00800423" w:rsidRDefault="00000000">
      <w:pPr>
        <w:widowControl/>
        <w:spacing w:after="0" w:line="259" w:lineRule="auto"/>
        <w:jc w:val="both"/>
      </w:pPr>
      <w:r>
        <w:t>Las empresas grandes ganan el 66,8 % de sus ofertas, 7,6 puntos porcentuales sobre el total y 14,8 puntos sobre las micro (52,0 %). El orden micro, pequeña, mediana y grande coincide con la hipótesis, pero el aumento no es gradual: micro, pequeña y mediana se concentran en un rango de 3,5 puntos y el salto se produce en las grandes. Por ello, la evidencia respalda la dirección de la hipótesis, no una relación lineal entre tamaño y éxito. Además, las grandes reúnen 18.830 ofertas válidas, por lo que influyen de manera importante en el promedio general.</w:t>
      </w:r>
    </w:p>
    <w:p w14:paraId="7124FDB6" w14:textId="77777777" w:rsidR="00800423" w:rsidRDefault="00800423">
      <w:pPr>
        <w:sectPr w:rsidR="00800423">
          <w:headerReference w:type="default" r:id="rId21"/>
          <w:footerReference w:type="default" r:id="rId22"/>
          <w:pgSz w:w="12240" w:h="15840"/>
          <w:pgMar w:top="1152" w:right="1152" w:bottom="1296" w:left="1152" w:header="432" w:footer="576" w:gutter="0"/>
          <w:cols w:space="720"/>
        </w:sectPr>
      </w:pPr>
    </w:p>
    <w:p w14:paraId="332610E6" w14:textId="77777777" w:rsidR="00800423" w:rsidRDefault="00000000">
      <w:pPr>
        <w:pStyle w:val="Ttulo2"/>
        <w:spacing w:before="100" w:after="80"/>
      </w:pPr>
      <w:bookmarkStart w:id="7" w:name="_Toc241930172"/>
      <w:r>
        <w:lastRenderedPageBreak/>
        <w:t>4.1 Resultados por tipo de licitación</w:t>
      </w:r>
      <w:bookmarkEnd w:id="7"/>
    </w:p>
    <w:p w14:paraId="5663230B" w14:textId="77777777" w:rsidR="00800423" w:rsidRDefault="00000000">
      <w:pPr>
        <w:keepNext/>
        <w:widowControl/>
        <w:spacing w:after="0" w:line="259" w:lineRule="auto"/>
      </w:pPr>
      <w:r>
        <w:rPr>
          <w:b/>
        </w:rPr>
        <w:t>Figura 2</w:t>
      </w:r>
    </w:p>
    <w:p w14:paraId="34442E85" w14:textId="77777777" w:rsidR="00800423" w:rsidRDefault="00000000">
      <w:pPr>
        <w:keepNext/>
        <w:widowControl/>
        <w:spacing w:after="60" w:line="259" w:lineRule="auto"/>
      </w:pPr>
      <w:r>
        <w:rPr>
          <w:i/>
        </w:rPr>
        <w:t>Proporción de ofertas ganadoras según el tipo de licitación</w:t>
      </w:r>
    </w:p>
    <w:p w14:paraId="36B96FC5" w14:textId="77777777" w:rsidR="00800423" w:rsidRDefault="00000000">
      <w:pPr>
        <w:keepLines/>
        <w:spacing w:after="60"/>
        <w:jc w:val="center"/>
      </w:pPr>
      <w:r>
        <w:rPr>
          <w:noProof/>
        </w:rPr>
        <w:drawing>
          <wp:inline distT="0" distB="0" distL="0" distR="0" wp14:anchorId="66A79F4F" wp14:editId="47978BAA">
            <wp:extent cx="5486400" cy="37538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2_tipo_licitac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AF0A" w14:textId="77777777" w:rsidR="00800423" w:rsidRDefault="00000000">
      <w:pPr>
        <w:widowControl/>
        <w:spacing w:after="80" w:line="259" w:lineRule="auto"/>
        <w:jc w:val="both"/>
      </w:pPr>
      <w:r>
        <w:rPr>
          <w:i/>
          <w:sz w:val="19"/>
        </w:rPr>
        <w:t xml:space="preserve">Nota. </w:t>
      </w:r>
      <w:r>
        <w:rPr>
          <w:sz w:val="19"/>
        </w:rPr>
        <w:t xml:space="preserve">Elaboración propia a partir de Datos Abiertos de </w:t>
      </w:r>
      <w:proofErr w:type="spellStart"/>
      <w:r>
        <w:rPr>
          <w:sz w:val="19"/>
        </w:rPr>
        <w:t>ChileCompra</w:t>
      </w:r>
      <w:proofErr w:type="spellEnd"/>
      <w:r>
        <w:rPr>
          <w:sz w:val="19"/>
        </w:rPr>
        <w:t>, marzo de 2026. Los tipos con menos de 100 ofertas se muestran con menor énfasis visual.</w:t>
      </w:r>
    </w:p>
    <w:p w14:paraId="72A4B745" w14:textId="77777777" w:rsidR="00800423" w:rsidRDefault="00000000">
      <w:pPr>
        <w:widowControl/>
        <w:spacing w:after="0" w:line="259" w:lineRule="auto"/>
        <w:jc w:val="both"/>
      </w:pPr>
      <w:r>
        <w:t>Las licitaciones públicas concentran el 99,8 % de las ofertas. En los procesos sobre 100 UTM, la proporción ganadora disminuye al aumentar el monto: 62,3 % en LE, 56,0 % en LP y 51,5 % en LR. Las licitaciones menores a 100 UTM alcanzan 57,7 % y no siguen ese orden. Los porcentajes de procesos privados -entre 50,0 % y 91,7 %- se basan en solo 2, 12 y 72 ofertas; se informan por transparencia, pero no sostienen una comparación estable. El resultado muestra que el tipo y el tramo del proceso importan para describir el éxito observado, aunque el diseño no permite atribuir causalidad.</w:t>
      </w:r>
    </w:p>
    <w:p w14:paraId="3417CB74" w14:textId="77777777" w:rsidR="00800423" w:rsidRDefault="00800423">
      <w:pPr>
        <w:sectPr w:rsidR="00800423">
          <w:headerReference w:type="default" r:id="rId24"/>
          <w:footerReference w:type="default" r:id="rId25"/>
          <w:pgSz w:w="12240" w:h="15840"/>
          <w:pgMar w:top="1152" w:right="1152" w:bottom="1296" w:left="1152" w:header="432" w:footer="576" w:gutter="0"/>
          <w:cols w:space="720"/>
        </w:sectPr>
      </w:pPr>
    </w:p>
    <w:p w14:paraId="0FE4F597" w14:textId="77777777" w:rsidR="00800423" w:rsidRDefault="00000000">
      <w:pPr>
        <w:pStyle w:val="Ttulo2"/>
        <w:spacing w:before="100" w:after="80"/>
      </w:pPr>
      <w:bookmarkStart w:id="8" w:name="_Toc241930173"/>
      <w:r>
        <w:lastRenderedPageBreak/>
        <w:t>4.2 Plazos de cierre y discusión</w:t>
      </w:r>
      <w:bookmarkEnd w:id="8"/>
    </w:p>
    <w:p w14:paraId="5DAE4A2A" w14:textId="77777777" w:rsidR="00800423" w:rsidRDefault="00000000">
      <w:pPr>
        <w:keepNext/>
        <w:widowControl/>
        <w:spacing w:after="0" w:line="259" w:lineRule="auto"/>
      </w:pPr>
      <w:r>
        <w:rPr>
          <w:b/>
        </w:rPr>
        <w:t>Figura 3</w:t>
      </w:r>
    </w:p>
    <w:p w14:paraId="026022D3" w14:textId="77777777" w:rsidR="00800423" w:rsidRDefault="00000000">
      <w:pPr>
        <w:keepNext/>
        <w:widowControl/>
        <w:spacing w:after="60" w:line="259" w:lineRule="auto"/>
      </w:pPr>
      <w:r>
        <w:rPr>
          <w:i/>
        </w:rPr>
        <w:t>Distribución del plazo de cierre según el tipo de licitación</w:t>
      </w:r>
    </w:p>
    <w:p w14:paraId="3D24ABE7" w14:textId="77777777" w:rsidR="00800423" w:rsidRDefault="00000000">
      <w:pPr>
        <w:keepLines/>
        <w:spacing w:after="60"/>
        <w:jc w:val="center"/>
      </w:pPr>
      <w:r>
        <w:rPr>
          <w:noProof/>
        </w:rPr>
        <w:drawing>
          <wp:inline distT="0" distB="0" distL="0" distR="0" wp14:anchorId="1BD5DD2A" wp14:editId="76925704">
            <wp:extent cx="5440680" cy="38227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3_plazo_cier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82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A00D" w14:textId="77777777" w:rsidR="00800423" w:rsidRDefault="00000000">
      <w:pPr>
        <w:widowControl/>
        <w:spacing w:after="80" w:line="259" w:lineRule="auto"/>
        <w:jc w:val="both"/>
      </w:pPr>
      <w:r>
        <w:rPr>
          <w:i/>
          <w:sz w:val="19"/>
        </w:rPr>
        <w:t xml:space="preserve">Nota. </w:t>
      </w:r>
      <w:r>
        <w:rPr>
          <w:sz w:val="19"/>
        </w:rPr>
        <w:t>Elaboración propia a partir de 1.864 licitaciones únicas. Los tipos con menos de 30 procesos se muestran como puntos individuales.</w:t>
      </w:r>
    </w:p>
    <w:p w14:paraId="317FE91E" w14:textId="77777777" w:rsidR="00800423" w:rsidRDefault="00000000">
      <w:pPr>
        <w:widowControl/>
        <w:spacing w:after="100" w:line="259" w:lineRule="auto"/>
        <w:jc w:val="both"/>
      </w:pPr>
      <w:r>
        <w:t>El plazo mediano de las licitaciones públicas aumenta con el monto: 7,2 días en L1, 11,0 en LE, 20,0 en LP y 32,0 en LR. Las cajas muestran un patrón escalonado y los plazos de hasta 61 días se concentran en procesos LR; por ello se conservaron como observaciones plausibles y no como errores. Leído junto con la Figura 2, los procesos de mayor monto otorgan más tiempo para ofertar y presentan una menor proporción de ofertas ganadoras. Esta coexistencia es descriptiva y no demuestra que el plazo cause la diferencia.</w:t>
      </w:r>
    </w:p>
    <w:p w14:paraId="131EE7F0" w14:textId="77777777" w:rsidR="00800423" w:rsidRDefault="00000000">
      <w:pPr>
        <w:widowControl/>
        <w:spacing w:after="0" w:line="259" w:lineRule="auto"/>
        <w:jc w:val="both"/>
      </w:pPr>
      <w:r>
        <w:rPr>
          <w:b/>
        </w:rPr>
        <w:t xml:space="preserve">Limitaciones y riesgos. </w:t>
      </w:r>
      <w:r>
        <w:t xml:space="preserve">El conjunto cubre un solo mes y el sector Salud, no permite observar tendencias temporales ni generalizar a todo el sistema. Los porcentajes por oferta dan mayor peso a licitaciones con más ítems u oferentes; 3.379 ofertas válidas no tienen tamaño de proveedor clasificado; y no se controlan monto ofertado, producto, institución compradora u otras variables. Las categorías privadas tienen tamaños muy pequeños. En términos técnicos, las mediciones dependen del equipo y de la caché, y </w:t>
      </w:r>
      <w:proofErr w:type="spellStart"/>
      <w:r>
        <w:t>tracemalloc</w:t>
      </w:r>
      <w:proofErr w:type="spellEnd"/>
      <w:r>
        <w:t xml:space="preserve"> no representa toda la memoria del proceso.</w:t>
      </w:r>
    </w:p>
    <w:p w14:paraId="23B492F8" w14:textId="77777777" w:rsidR="00800423" w:rsidRDefault="00800423">
      <w:pPr>
        <w:sectPr w:rsidR="00800423">
          <w:headerReference w:type="default" r:id="rId27"/>
          <w:footerReference w:type="default" r:id="rId28"/>
          <w:pgSz w:w="12240" w:h="15840"/>
          <w:pgMar w:top="1152" w:right="1152" w:bottom="1296" w:left="1152" w:header="432" w:footer="576" w:gutter="0"/>
          <w:cols w:space="720"/>
        </w:sectPr>
      </w:pPr>
    </w:p>
    <w:p w14:paraId="6176F115" w14:textId="77777777" w:rsidR="00800423" w:rsidRDefault="00000000">
      <w:pPr>
        <w:pStyle w:val="Ttulo1"/>
        <w:spacing w:before="160" w:after="80"/>
      </w:pPr>
      <w:bookmarkStart w:id="9" w:name="_Toc241930174"/>
      <w:r>
        <w:lastRenderedPageBreak/>
        <w:t>5. Conclusiones y recomendaciones</w:t>
      </w:r>
      <w:bookmarkEnd w:id="9"/>
    </w:p>
    <w:p w14:paraId="2B0BAD4A" w14:textId="77777777" w:rsidR="00800423" w:rsidRDefault="00000000">
      <w:pPr>
        <w:widowControl/>
        <w:spacing w:after="100" w:line="259" w:lineRule="auto"/>
        <w:jc w:val="both"/>
      </w:pPr>
      <w:r>
        <w:t>El proyecto confirma que es posible responder la pregunta analítica con un flujo reproducible, modular y verificable. La hipótesis se cumple en su dirección: las empresas grandes presentan la mayor proporción de ofertas ganadoras; sin embargo, la diferencia se concentra en ese grupo y no forma una progresión uniforme. En las licitaciones públicas sobre 100 UTM, el porcentaje ganador disminuye al aumentar el monto, mientras el plazo mediano de cierre crece de 11 a 32 días.</w:t>
      </w:r>
    </w:p>
    <w:p w14:paraId="7A03B09E" w14:textId="77777777" w:rsidR="00800423" w:rsidRDefault="00000000">
      <w:pPr>
        <w:widowControl/>
        <w:spacing w:after="100" w:line="259" w:lineRule="auto"/>
        <w:jc w:val="both"/>
      </w:pPr>
      <w:r>
        <w:t>La principal mejora técnica no provino solo de cambiar el algoritmo, sino de reducir los datos que ingresan al cálculo. Leer siete columnas con tipos definidos disminuyó el tiempo total y la memoria sin modificar los resultados. La variante agrupada resultó apropiada para el volumen completo, mientras que las alternativas iterativa y recursiva fueron competitivas en muestras pequeñas. Esta evidencia justifica una elección situada, no una regla general.</w:t>
      </w:r>
    </w:p>
    <w:p w14:paraId="7A9B9B33" w14:textId="77777777" w:rsidR="00800423" w:rsidRDefault="00000000">
      <w:pPr>
        <w:widowControl/>
        <w:spacing w:after="100" w:line="259" w:lineRule="auto"/>
        <w:jc w:val="both"/>
      </w:pPr>
      <w:r>
        <w:t xml:space="preserve">La arquitectura orientada a objetos separa lectura, limpieza y validación; las pruebas cubren comportamiento normal, límites y excepciones; y los verificadores conectan notebooks, código y evidencias. Como mejora futura se recomienda ampliar el período de observación, comparar sectores, analizar por licitación además de por oferta, incorporar variables de monto y producto, y repetir los </w:t>
      </w:r>
      <w:proofErr w:type="spellStart"/>
      <w:r>
        <w:t>benchmarks</w:t>
      </w:r>
      <w:proofErr w:type="spellEnd"/>
      <w:r>
        <w:t xml:space="preserve"> en otros equipos.</w:t>
      </w:r>
    </w:p>
    <w:p w14:paraId="3E9DF2D5" w14:textId="77777777" w:rsidR="00800423" w:rsidRDefault="00000000">
      <w:pPr>
        <w:pStyle w:val="Ttulo1"/>
        <w:spacing w:before="160" w:after="80"/>
      </w:pPr>
      <w:bookmarkStart w:id="10" w:name="_Toc241930175"/>
      <w:r>
        <w:t>6. Trazabilidad de mejoras</w:t>
      </w:r>
      <w:bookmarkEnd w:id="10"/>
    </w:p>
    <w:p w14:paraId="4C79A03B" w14:textId="77777777" w:rsidR="00800423" w:rsidRDefault="00000000">
      <w:pPr>
        <w:keepNext/>
        <w:widowControl/>
        <w:spacing w:after="0" w:line="259" w:lineRule="auto"/>
      </w:pPr>
      <w:r>
        <w:rPr>
          <w:b/>
        </w:rPr>
        <w:t>Tabla 3</w:t>
      </w:r>
    </w:p>
    <w:p w14:paraId="7104E2E1" w14:textId="77777777" w:rsidR="00800423" w:rsidRDefault="00000000">
      <w:pPr>
        <w:keepNext/>
        <w:widowControl/>
        <w:spacing w:after="60" w:line="259" w:lineRule="auto"/>
      </w:pPr>
      <w:r>
        <w:rPr>
          <w:i/>
        </w:rPr>
        <w:t>Observaciones recibidas y acciones incorporadas</w:t>
      </w:r>
    </w:p>
    <w:tbl>
      <w:tblPr>
        <w:tblW w:w="0" w:type="auto"/>
        <w:jc w:val="center"/>
        <w:tblBorders>
          <w:top w:val="single" w:sz="5" w:space="0" w:color="B8CCE4"/>
          <w:left w:val="single" w:sz="5" w:space="0" w:color="B8CCE4"/>
          <w:bottom w:val="single" w:sz="5" w:space="0" w:color="B8CCE4"/>
          <w:right w:val="single" w:sz="5" w:space="0" w:color="B8CCE4"/>
          <w:insideH w:val="single" w:sz="5" w:space="0" w:color="B8CCE4"/>
          <w:insideV w:val="single" w:sz="5" w:space="0" w:color="B8CCE4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4896"/>
        <w:gridCol w:w="2448"/>
      </w:tblGrid>
      <w:tr w:rsidR="00800423" w14:paraId="35227074" w14:textId="77777777">
        <w:trPr>
          <w:tblHeader/>
          <w:jc w:val="center"/>
        </w:trPr>
        <w:tc>
          <w:tcPr>
            <w:tcW w:w="2376" w:type="dxa"/>
            <w:shd w:val="clear" w:color="auto" w:fill="28558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80BDB5" w14:textId="77777777" w:rsidR="0080042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Observación</w:t>
            </w:r>
          </w:p>
        </w:tc>
        <w:tc>
          <w:tcPr>
            <w:tcW w:w="4896" w:type="dxa"/>
            <w:shd w:val="clear" w:color="auto" w:fill="28558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FABF37" w14:textId="77777777" w:rsidR="0080042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Acción y evidencia</w:t>
            </w:r>
          </w:p>
        </w:tc>
        <w:tc>
          <w:tcPr>
            <w:tcW w:w="2448" w:type="dxa"/>
            <w:shd w:val="clear" w:color="auto" w:fill="28558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86817E" w14:textId="77777777" w:rsidR="0080042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Impacto</w:t>
            </w:r>
          </w:p>
        </w:tc>
      </w:tr>
      <w:tr w:rsidR="00800423" w14:paraId="26572418" w14:textId="77777777">
        <w:trPr>
          <w:jc w:val="center"/>
        </w:trPr>
        <w:tc>
          <w:tcPr>
            <w:tcW w:w="237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40D608" w14:textId="77777777" w:rsidR="00800423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Precisar unidad y denominador</w:t>
            </w:r>
          </w:p>
        </w:tc>
        <w:tc>
          <w:tcPr>
            <w:tcW w:w="489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5F93C0" w14:textId="77777777" w:rsidR="00800423" w:rsidRDefault="00000000">
            <w:pPr>
              <w:spacing w:after="0" w:line="240" w:lineRule="auto"/>
            </w:pPr>
            <w:r>
              <w:rPr>
                <w:sz w:val="17"/>
              </w:rPr>
              <w:t>Se explicitó oferta por ítem y denominador propio por grupo en F1, F2 y README.</w:t>
            </w:r>
          </w:p>
        </w:tc>
        <w:tc>
          <w:tcPr>
            <w:tcW w:w="24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B3F1FC" w14:textId="77777777" w:rsidR="00800423" w:rsidRDefault="00000000">
            <w:pPr>
              <w:spacing w:after="0" w:line="240" w:lineRule="auto"/>
            </w:pPr>
            <w:r>
              <w:rPr>
                <w:sz w:val="17"/>
              </w:rPr>
              <w:t>Interpretación consistente.</w:t>
            </w:r>
          </w:p>
        </w:tc>
      </w:tr>
      <w:tr w:rsidR="00800423" w14:paraId="18A7F366" w14:textId="77777777">
        <w:trPr>
          <w:jc w:val="center"/>
        </w:trPr>
        <w:tc>
          <w:tcPr>
            <w:tcW w:w="2376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10747F" w14:textId="77777777" w:rsidR="00800423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F3 debía evaluar estructura y eficiencia</w:t>
            </w:r>
          </w:p>
        </w:tc>
        <w:tc>
          <w:tcPr>
            <w:tcW w:w="4896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522CCA" w14:textId="77777777" w:rsidR="00800423" w:rsidRDefault="00000000">
            <w:pPr>
              <w:spacing w:after="0" w:line="240" w:lineRule="auto"/>
            </w:pPr>
            <w:r>
              <w:rPr>
                <w:sz w:val="17"/>
              </w:rPr>
              <w:t xml:space="preserve">Clases, módulos, cuatro algoritmos, </w:t>
            </w:r>
            <w:proofErr w:type="spellStart"/>
            <w:r>
              <w:rPr>
                <w:sz w:val="17"/>
              </w:rPr>
              <w:t>timeit</w:t>
            </w:r>
            <w:proofErr w:type="spellEnd"/>
            <w:r>
              <w:rPr>
                <w:sz w:val="17"/>
              </w:rPr>
              <w:t xml:space="preserve"> y memoria; </w:t>
            </w:r>
            <w:proofErr w:type="spellStart"/>
            <w:r>
              <w:rPr>
                <w:sz w:val="17"/>
              </w:rPr>
              <w:t>commits</w:t>
            </w:r>
            <w:proofErr w:type="spellEnd"/>
            <w:r>
              <w:rPr>
                <w:sz w:val="17"/>
              </w:rPr>
              <w:t xml:space="preserve"> 48e62d3–87b1526.</w:t>
            </w:r>
          </w:p>
        </w:tc>
        <w:tc>
          <w:tcPr>
            <w:tcW w:w="2448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8D1694" w14:textId="77777777" w:rsidR="00800423" w:rsidRDefault="00000000">
            <w:pPr>
              <w:spacing w:after="0" w:line="240" w:lineRule="auto"/>
            </w:pPr>
            <w:r>
              <w:rPr>
                <w:sz w:val="17"/>
              </w:rPr>
              <w:t>Modularidad y elección verificable.</w:t>
            </w:r>
          </w:p>
        </w:tc>
      </w:tr>
      <w:tr w:rsidR="00800423" w14:paraId="19FB9052" w14:textId="77777777">
        <w:trPr>
          <w:jc w:val="center"/>
        </w:trPr>
        <w:tc>
          <w:tcPr>
            <w:tcW w:w="237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315C67" w14:textId="77777777" w:rsidR="00800423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Corregir validación y encapsulamiento</w:t>
            </w:r>
          </w:p>
        </w:tc>
        <w:tc>
          <w:tcPr>
            <w:tcW w:w="489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B2DF24" w14:textId="77777777" w:rsidR="00800423" w:rsidRDefault="00000000">
            <w:pPr>
              <w:spacing w:after="0" w:line="240" w:lineRule="auto"/>
            </w:pPr>
            <w:r>
              <w:rPr>
                <w:sz w:val="17"/>
              </w:rPr>
              <w:t xml:space="preserve">Lista vacía rechazada y resumen defensivo; </w:t>
            </w:r>
            <w:proofErr w:type="spellStart"/>
            <w:r>
              <w:rPr>
                <w:sz w:val="17"/>
              </w:rPr>
              <w:t>commit</w:t>
            </w:r>
            <w:proofErr w:type="spellEnd"/>
            <w:r>
              <w:rPr>
                <w:sz w:val="17"/>
              </w:rPr>
              <w:t xml:space="preserve"> d90111e y pruebas F3.</w:t>
            </w:r>
          </w:p>
        </w:tc>
        <w:tc>
          <w:tcPr>
            <w:tcW w:w="24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274E81" w14:textId="77777777" w:rsidR="00800423" w:rsidRDefault="00000000">
            <w:pPr>
              <w:spacing w:after="0" w:line="240" w:lineRule="auto"/>
            </w:pPr>
            <w:r>
              <w:rPr>
                <w:sz w:val="17"/>
              </w:rPr>
              <w:t>Errores explícitos y estado protegido.</w:t>
            </w:r>
          </w:p>
        </w:tc>
      </w:tr>
      <w:tr w:rsidR="00800423" w14:paraId="5CF277D8" w14:textId="77777777">
        <w:trPr>
          <w:jc w:val="center"/>
        </w:trPr>
        <w:tc>
          <w:tcPr>
            <w:tcW w:w="2376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C4B04" w14:textId="77777777" w:rsidR="00800423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Comunicar resultados finales</w:t>
            </w:r>
          </w:p>
        </w:tc>
        <w:tc>
          <w:tcPr>
            <w:tcW w:w="4896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36BF41" w14:textId="77777777" w:rsidR="00800423" w:rsidRDefault="00000000">
            <w:pPr>
              <w:spacing w:after="0" w:line="240" w:lineRule="auto"/>
            </w:pPr>
            <w:r>
              <w:rPr>
                <w:sz w:val="17"/>
              </w:rPr>
              <w:t xml:space="preserve">Notebook F4, tres gráficos y 10 pruebas; </w:t>
            </w:r>
            <w:proofErr w:type="spellStart"/>
            <w:r>
              <w:rPr>
                <w:sz w:val="17"/>
              </w:rPr>
              <w:t>commit</w:t>
            </w:r>
            <w:proofErr w:type="spellEnd"/>
            <w:r>
              <w:rPr>
                <w:sz w:val="17"/>
              </w:rPr>
              <w:t xml:space="preserve"> 5da8f2a.</w:t>
            </w:r>
          </w:p>
        </w:tc>
        <w:tc>
          <w:tcPr>
            <w:tcW w:w="2448" w:type="dxa"/>
            <w:shd w:val="clear" w:color="auto" w:fill="ED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54028C" w14:textId="77777777" w:rsidR="00800423" w:rsidRDefault="00000000">
            <w:pPr>
              <w:spacing w:after="0" w:line="240" w:lineRule="auto"/>
            </w:pPr>
            <w:r>
              <w:rPr>
                <w:sz w:val="17"/>
              </w:rPr>
              <w:t>Hallazgos claros y reproducibles.</w:t>
            </w:r>
          </w:p>
        </w:tc>
      </w:tr>
    </w:tbl>
    <w:p w14:paraId="5CEC8224" w14:textId="77777777" w:rsidR="00800423" w:rsidRDefault="00800423">
      <w:pPr>
        <w:spacing w:after="0"/>
      </w:pPr>
    </w:p>
    <w:p w14:paraId="784995C3" w14:textId="77777777" w:rsidR="00800423" w:rsidRDefault="00000000">
      <w:pPr>
        <w:widowControl/>
        <w:spacing w:after="80" w:line="259" w:lineRule="auto"/>
        <w:jc w:val="both"/>
      </w:pPr>
      <w:r>
        <w:rPr>
          <w:i/>
          <w:sz w:val="19"/>
        </w:rPr>
        <w:t xml:space="preserve">Nota. </w:t>
      </w:r>
      <w:r>
        <w:rPr>
          <w:sz w:val="19"/>
        </w:rPr>
        <w:t xml:space="preserve">El historial completo se conserva en Git; los </w:t>
      </w:r>
      <w:proofErr w:type="spellStart"/>
      <w:r>
        <w:rPr>
          <w:sz w:val="19"/>
        </w:rPr>
        <w:t>commits</w:t>
      </w:r>
      <w:proofErr w:type="spellEnd"/>
      <w:r>
        <w:rPr>
          <w:sz w:val="19"/>
        </w:rPr>
        <w:t xml:space="preserve"> citados permiten verificar la evolución entre fases.</w:t>
      </w:r>
    </w:p>
    <w:p w14:paraId="3A034F41" w14:textId="77777777" w:rsidR="00800423" w:rsidRDefault="00800423">
      <w:pPr>
        <w:sectPr w:rsidR="00800423">
          <w:headerReference w:type="default" r:id="rId29"/>
          <w:footerReference w:type="default" r:id="rId30"/>
          <w:pgSz w:w="12240" w:h="15840"/>
          <w:pgMar w:top="1152" w:right="1152" w:bottom="1296" w:left="1152" w:header="432" w:footer="576" w:gutter="0"/>
          <w:cols w:space="720"/>
        </w:sectPr>
      </w:pPr>
    </w:p>
    <w:p w14:paraId="2C043C5E" w14:textId="77777777" w:rsidR="00800423" w:rsidRDefault="00000000">
      <w:pPr>
        <w:pStyle w:val="Ttulo1"/>
        <w:spacing w:before="160" w:after="80"/>
      </w:pPr>
      <w:bookmarkStart w:id="11" w:name="_Toc241930176"/>
      <w:r>
        <w:lastRenderedPageBreak/>
        <w:t>7. Bibliografía</w:t>
      </w:r>
      <w:bookmarkEnd w:id="11"/>
    </w:p>
    <w:p w14:paraId="398CAE20" w14:textId="77777777" w:rsidR="00800423" w:rsidRDefault="00000000">
      <w:pPr>
        <w:spacing w:after="100" w:line="240" w:lineRule="auto"/>
        <w:ind w:left="403" w:hanging="403"/>
      </w:pPr>
      <w:proofErr w:type="spellStart"/>
      <w:r>
        <w:rPr>
          <w:sz w:val="21"/>
        </w:rPr>
        <w:t>ChileCompra</w:t>
      </w:r>
      <w:proofErr w:type="spellEnd"/>
      <w:r>
        <w:rPr>
          <w:sz w:val="21"/>
        </w:rPr>
        <w:t>. (s. f.). Datos abiertos del sistema de compras públicas. https://datos-abiertos.chilecompra.cl/descargas</w:t>
      </w:r>
    </w:p>
    <w:p w14:paraId="6500E281" w14:textId="77777777" w:rsidR="00800423" w:rsidRDefault="00000000">
      <w:pPr>
        <w:spacing w:after="100" w:line="240" w:lineRule="auto"/>
        <w:ind w:left="403" w:hanging="403"/>
      </w:pPr>
      <w:proofErr w:type="spellStart"/>
      <w:r>
        <w:rPr>
          <w:sz w:val="21"/>
        </w:rPr>
        <w:t>Cormen</w:t>
      </w:r>
      <w:proofErr w:type="spellEnd"/>
      <w:r>
        <w:rPr>
          <w:sz w:val="21"/>
        </w:rPr>
        <w:t xml:space="preserve">, T. H., Leiserson, C. E., Rivest, R. L., &amp; Stein, C. (2022). </w:t>
      </w:r>
      <w:proofErr w:type="spellStart"/>
      <w:r>
        <w:rPr>
          <w:sz w:val="21"/>
        </w:rPr>
        <w:t>Introduction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algorithms</w:t>
      </w:r>
      <w:proofErr w:type="spellEnd"/>
      <w:r>
        <w:rPr>
          <w:sz w:val="21"/>
        </w:rPr>
        <w:t xml:space="preserve"> (4.ª ed.). MIT Press.</w:t>
      </w:r>
    </w:p>
    <w:p w14:paraId="6DFE69BE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Hunter, J. D. (2007). </w:t>
      </w:r>
      <w:proofErr w:type="spellStart"/>
      <w:r>
        <w:rPr>
          <w:sz w:val="21"/>
        </w:rPr>
        <w:t>Matplotlib</w:t>
      </w:r>
      <w:proofErr w:type="spellEnd"/>
      <w:r>
        <w:rPr>
          <w:sz w:val="21"/>
        </w:rPr>
        <w:t xml:space="preserve">: A 2D </w:t>
      </w:r>
      <w:proofErr w:type="spellStart"/>
      <w:r>
        <w:rPr>
          <w:sz w:val="21"/>
        </w:rPr>
        <w:t>graphics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environment</w:t>
      </w:r>
      <w:proofErr w:type="spellEnd"/>
      <w:r>
        <w:rPr>
          <w:sz w:val="21"/>
        </w:rPr>
        <w:t xml:space="preserve">. Computing in </w:t>
      </w:r>
      <w:proofErr w:type="spellStart"/>
      <w:r>
        <w:rPr>
          <w:sz w:val="21"/>
        </w:rPr>
        <w:t>Science</w:t>
      </w:r>
      <w:proofErr w:type="spellEnd"/>
      <w:r>
        <w:rPr>
          <w:sz w:val="21"/>
        </w:rPr>
        <w:t xml:space="preserve"> &amp; </w:t>
      </w:r>
      <w:proofErr w:type="spellStart"/>
      <w:r>
        <w:rPr>
          <w:sz w:val="21"/>
        </w:rPr>
        <w:t>Engineering</w:t>
      </w:r>
      <w:proofErr w:type="spellEnd"/>
      <w:r>
        <w:rPr>
          <w:sz w:val="21"/>
        </w:rPr>
        <w:t>, 9(3), 90–95. https://doi.org/10.1109/MCSE.2007.55</w:t>
      </w:r>
    </w:p>
    <w:p w14:paraId="542B9A07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Lott, S. F., &amp; Phillips, D. (2021). Python </w:t>
      </w:r>
      <w:proofErr w:type="spellStart"/>
      <w:r>
        <w:rPr>
          <w:sz w:val="21"/>
        </w:rPr>
        <w:t>object-oriented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programming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Build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robust</w:t>
      </w:r>
      <w:proofErr w:type="spellEnd"/>
      <w:r>
        <w:rPr>
          <w:sz w:val="21"/>
        </w:rPr>
        <w:t xml:space="preserve"> and </w:t>
      </w:r>
      <w:proofErr w:type="spellStart"/>
      <w:r>
        <w:rPr>
          <w:sz w:val="21"/>
        </w:rPr>
        <w:t>maintainable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object-oriented</w:t>
      </w:r>
      <w:proofErr w:type="spellEnd"/>
      <w:r>
        <w:rPr>
          <w:sz w:val="21"/>
        </w:rPr>
        <w:t xml:space="preserve"> Python </w:t>
      </w:r>
      <w:proofErr w:type="spellStart"/>
      <w:r>
        <w:rPr>
          <w:sz w:val="21"/>
        </w:rPr>
        <w:t>applications</w:t>
      </w:r>
      <w:proofErr w:type="spellEnd"/>
      <w:r>
        <w:rPr>
          <w:sz w:val="21"/>
        </w:rPr>
        <w:t xml:space="preserve"> and </w:t>
      </w:r>
      <w:proofErr w:type="spellStart"/>
      <w:r>
        <w:rPr>
          <w:sz w:val="21"/>
        </w:rPr>
        <w:t>libraries</w:t>
      </w:r>
      <w:proofErr w:type="spellEnd"/>
      <w:r>
        <w:rPr>
          <w:sz w:val="21"/>
        </w:rPr>
        <w:t xml:space="preserve"> (4.ª ed.). </w:t>
      </w:r>
      <w:proofErr w:type="spellStart"/>
      <w:r>
        <w:rPr>
          <w:sz w:val="21"/>
        </w:rPr>
        <w:t>Packt</w:t>
      </w:r>
      <w:proofErr w:type="spellEnd"/>
      <w:r>
        <w:rPr>
          <w:sz w:val="21"/>
        </w:rPr>
        <w:t xml:space="preserve"> Publishing.</w:t>
      </w:r>
    </w:p>
    <w:p w14:paraId="27C0F010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McKinney, W. (2022). Python </w:t>
      </w:r>
      <w:proofErr w:type="spellStart"/>
      <w:r>
        <w:rPr>
          <w:sz w:val="21"/>
        </w:rPr>
        <w:t>for</w:t>
      </w:r>
      <w:proofErr w:type="spellEnd"/>
      <w:r>
        <w:rPr>
          <w:sz w:val="21"/>
        </w:rPr>
        <w:t xml:space="preserve"> data </w:t>
      </w:r>
      <w:proofErr w:type="spellStart"/>
      <w:r>
        <w:rPr>
          <w:sz w:val="21"/>
        </w:rPr>
        <w:t>analysis</w:t>
      </w:r>
      <w:proofErr w:type="spellEnd"/>
      <w:r>
        <w:rPr>
          <w:sz w:val="21"/>
        </w:rPr>
        <w:t xml:space="preserve">: Data </w:t>
      </w:r>
      <w:proofErr w:type="spellStart"/>
      <w:r>
        <w:rPr>
          <w:sz w:val="21"/>
        </w:rPr>
        <w:t>wrangling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with</w:t>
      </w:r>
      <w:proofErr w:type="spellEnd"/>
      <w:r>
        <w:rPr>
          <w:sz w:val="21"/>
        </w:rPr>
        <w:t xml:space="preserve"> pandas, </w:t>
      </w:r>
      <w:proofErr w:type="spellStart"/>
      <w:r>
        <w:rPr>
          <w:sz w:val="21"/>
        </w:rPr>
        <w:t>NumPy</w:t>
      </w:r>
      <w:proofErr w:type="spellEnd"/>
      <w:r>
        <w:rPr>
          <w:sz w:val="21"/>
        </w:rPr>
        <w:t xml:space="preserve">, and </w:t>
      </w:r>
      <w:proofErr w:type="spellStart"/>
      <w:r>
        <w:rPr>
          <w:sz w:val="21"/>
        </w:rPr>
        <w:t>Jupyter</w:t>
      </w:r>
      <w:proofErr w:type="spellEnd"/>
      <w:r>
        <w:rPr>
          <w:sz w:val="21"/>
        </w:rPr>
        <w:t xml:space="preserve"> (3.ª ed.). O’Reilly Media.</w:t>
      </w:r>
    </w:p>
    <w:p w14:paraId="2FC65068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Python Software </w:t>
      </w:r>
      <w:proofErr w:type="spellStart"/>
      <w:r>
        <w:rPr>
          <w:sz w:val="21"/>
        </w:rPr>
        <w:t>Foundation</w:t>
      </w:r>
      <w:proofErr w:type="spellEnd"/>
      <w:r>
        <w:rPr>
          <w:sz w:val="21"/>
        </w:rPr>
        <w:t xml:space="preserve">. (s. f.-a). </w:t>
      </w:r>
      <w:proofErr w:type="spellStart"/>
      <w:r>
        <w:rPr>
          <w:sz w:val="21"/>
        </w:rPr>
        <w:t>timeit</w:t>
      </w:r>
      <w:proofErr w:type="spellEnd"/>
      <w:r>
        <w:rPr>
          <w:sz w:val="21"/>
        </w:rPr>
        <w:t xml:space="preserve"> - </w:t>
      </w:r>
      <w:proofErr w:type="spellStart"/>
      <w:r>
        <w:rPr>
          <w:sz w:val="21"/>
        </w:rPr>
        <w:t>Measure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execution</w:t>
      </w:r>
      <w:proofErr w:type="spellEnd"/>
      <w:r>
        <w:rPr>
          <w:sz w:val="21"/>
        </w:rPr>
        <w:t xml:space="preserve"> time </w:t>
      </w:r>
      <w:proofErr w:type="spellStart"/>
      <w:r>
        <w:rPr>
          <w:sz w:val="21"/>
        </w:rPr>
        <w:t>of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small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code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snippets</w:t>
      </w:r>
      <w:proofErr w:type="spellEnd"/>
      <w:r>
        <w:rPr>
          <w:sz w:val="21"/>
        </w:rPr>
        <w:t xml:space="preserve">. Python 3 </w:t>
      </w:r>
      <w:proofErr w:type="spellStart"/>
      <w:r>
        <w:rPr>
          <w:sz w:val="21"/>
        </w:rPr>
        <w:t>documentation</w:t>
      </w:r>
      <w:proofErr w:type="spellEnd"/>
      <w:r>
        <w:rPr>
          <w:sz w:val="21"/>
        </w:rPr>
        <w:t>. https://docs.python.org/3/library/timeit.html</w:t>
      </w:r>
    </w:p>
    <w:p w14:paraId="66078144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Python Software </w:t>
      </w:r>
      <w:proofErr w:type="spellStart"/>
      <w:r>
        <w:rPr>
          <w:sz w:val="21"/>
        </w:rPr>
        <w:t>Foundation</w:t>
      </w:r>
      <w:proofErr w:type="spellEnd"/>
      <w:r>
        <w:rPr>
          <w:sz w:val="21"/>
        </w:rPr>
        <w:t xml:space="preserve">. (s. f.-b). </w:t>
      </w:r>
      <w:proofErr w:type="spellStart"/>
      <w:r>
        <w:rPr>
          <w:sz w:val="21"/>
        </w:rPr>
        <w:t>tracemalloc</w:t>
      </w:r>
      <w:proofErr w:type="spellEnd"/>
      <w:r>
        <w:rPr>
          <w:sz w:val="21"/>
        </w:rPr>
        <w:t xml:space="preserve"> - Trace </w:t>
      </w:r>
      <w:proofErr w:type="spellStart"/>
      <w:r>
        <w:rPr>
          <w:sz w:val="21"/>
        </w:rPr>
        <w:t>memory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allocations</w:t>
      </w:r>
      <w:proofErr w:type="spellEnd"/>
      <w:r>
        <w:rPr>
          <w:sz w:val="21"/>
        </w:rPr>
        <w:t xml:space="preserve">. Python 3 </w:t>
      </w:r>
      <w:proofErr w:type="spellStart"/>
      <w:r>
        <w:rPr>
          <w:sz w:val="21"/>
        </w:rPr>
        <w:t>documentation</w:t>
      </w:r>
      <w:proofErr w:type="spellEnd"/>
      <w:r>
        <w:rPr>
          <w:sz w:val="21"/>
        </w:rPr>
        <w:t>. https://docs.python.org/3/library/tracemalloc.html</w:t>
      </w:r>
    </w:p>
    <w:p w14:paraId="48F70597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Python Software </w:t>
      </w:r>
      <w:proofErr w:type="spellStart"/>
      <w:r>
        <w:rPr>
          <w:sz w:val="21"/>
        </w:rPr>
        <w:t>Foundation</w:t>
      </w:r>
      <w:proofErr w:type="spellEnd"/>
      <w:r>
        <w:rPr>
          <w:sz w:val="21"/>
        </w:rPr>
        <w:t xml:space="preserve">. (s. f.-c). </w:t>
      </w:r>
      <w:proofErr w:type="spellStart"/>
      <w:r>
        <w:rPr>
          <w:sz w:val="21"/>
        </w:rPr>
        <w:t>abc</w:t>
      </w:r>
      <w:proofErr w:type="spellEnd"/>
      <w:r>
        <w:rPr>
          <w:sz w:val="21"/>
        </w:rPr>
        <w:t xml:space="preserve"> - </w:t>
      </w:r>
      <w:proofErr w:type="spellStart"/>
      <w:r>
        <w:rPr>
          <w:sz w:val="21"/>
        </w:rPr>
        <w:t>Abstract</w:t>
      </w:r>
      <w:proofErr w:type="spellEnd"/>
      <w:r>
        <w:rPr>
          <w:sz w:val="21"/>
        </w:rPr>
        <w:t xml:space="preserve"> base </w:t>
      </w:r>
      <w:proofErr w:type="spellStart"/>
      <w:r>
        <w:rPr>
          <w:sz w:val="21"/>
        </w:rPr>
        <w:t>classes</w:t>
      </w:r>
      <w:proofErr w:type="spellEnd"/>
      <w:r>
        <w:rPr>
          <w:sz w:val="21"/>
        </w:rPr>
        <w:t xml:space="preserve">. Python 3 </w:t>
      </w:r>
      <w:proofErr w:type="spellStart"/>
      <w:r>
        <w:rPr>
          <w:sz w:val="21"/>
        </w:rPr>
        <w:t>documentation</w:t>
      </w:r>
      <w:proofErr w:type="spellEnd"/>
      <w:r>
        <w:rPr>
          <w:sz w:val="21"/>
        </w:rPr>
        <w:t>. https://docs.python.org/3/library/abc.html</w:t>
      </w:r>
    </w:p>
    <w:p w14:paraId="479E3D4F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Samuel, S., &amp; </w:t>
      </w:r>
      <w:proofErr w:type="spellStart"/>
      <w:r>
        <w:rPr>
          <w:sz w:val="21"/>
        </w:rPr>
        <w:t>Mietchen</w:t>
      </w:r>
      <w:proofErr w:type="spellEnd"/>
      <w:r>
        <w:rPr>
          <w:sz w:val="21"/>
        </w:rPr>
        <w:t xml:space="preserve">, D. (2024). </w:t>
      </w:r>
      <w:proofErr w:type="spellStart"/>
      <w:r>
        <w:rPr>
          <w:sz w:val="21"/>
        </w:rPr>
        <w:t>Computational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reproducibility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of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Jupyter</w:t>
      </w:r>
      <w:proofErr w:type="spellEnd"/>
      <w:r>
        <w:rPr>
          <w:sz w:val="21"/>
        </w:rPr>
        <w:t xml:space="preserve"> notebooks </w:t>
      </w:r>
      <w:proofErr w:type="spellStart"/>
      <w:r>
        <w:rPr>
          <w:sz w:val="21"/>
        </w:rPr>
        <w:t>from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biomedical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publications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GigaScience</w:t>
      </w:r>
      <w:proofErr w:type="spellEnd"/>
      <w:r>
        <w:rPr>
          <w:sz w:val="21"/>
        </w:rPr>
        <w:t>, 13, giae113. https://doi.org/10.1093/gigascience/giae113</w:t>
      </w:r>
    </w:p>
    <w:p w14:paraId="1CA2D62B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The pandas </w:t>
      </w:r>
      <w:proofErr w:type="spellStart"/>
      <w:r>
        <w:rPr>
          <w:sz w:val="21"/>
        </w:rPr>
        <w:t>development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team</w:t>
      </w:r>
      <w:proofErr w:type="spellEnd"/>
      <w:r>
        <w:rPr>
          <w:sz w:val="21"/>
        </w:rPr>
        <w:t xml:space="preserve">. (s. f.-a). </w:t>
      </w:r>
      <w:proofErr w:type="spellStart"/>
      <w:proofErr w:type="gramStart"/>
      <w:r>
        <w:rPr>
          <w:sz w:val="21"/>
        </w:rPr>
        <w:t>pandas.DataFrame.groupby</w:t>
      </w:r>
      <w:proofErr w:type="spellEnd"/>
      <w:proofErr w:type="gramEnd"/>
      <w:r>
        <w:rPr>
          <w:sz w:val="21"/>
        </w:rPr>
        <w:t xml:space="preserve">. pandas </w:t>
      </w:r>
      <w:proofErr w:type="spellStart"/>
      <w:r>
        <w:rPr>
          <w:sz w:val="21"/>
        </w:rPr>
        <w:t>documentation</w:t>
      </w:r>
      <w:proofErr w:type="spellEnd"/>
      <w:r>
        <w:rPr>
          <w:sz w:val="21"/>
        </w:rPr>
        <w:t>. https://pandas.pydata.org/docs/reference/api/pandas.DataFrame.groupby.html</w:t>
      </w:r>
    </w:p>
    <w:p w14:paraId="2DFEFAA0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The pandas </w:t>
      </w:r>
      <w:proofErr w:type="spellStart"/>
      <w:r>
        <w:rPr>
          <w:sz w:val="21"/>
        </w:rPr>
        <w:t>development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team</w:t>
      </w:r>
      <w:proofErr w:type="spellEnd"/>
      <w:r>
        <w:rPr>
          <w:sz w:val="21"/>
        </w:rPr>
        <w:t xml:space="preserve">. (s. f.-b). </w:t>
      </w:r>
      <w:proofErr w:type="spellStart"/>
      <w:proofErr w:type="gramStart"/>
      <w:r>
        <w:rPr>
          <w:sz w:val="21"/>
        </w:rPr>
        <w:t>pandas.read</w:t>
      </w:r>
      <w:proofErr w:type="gramEnd"/>
      <w:r>
        <w:rPr>
          <w:sz w:val="21"/>
        </w:rPr>
        <w:t>_csv</w:t>
      </w:r>
      <w:proofErr w:type="spellEnd"/>
      <w:r>
        <w:rPr>
          <w:sz w:val="21"/>
        </w:rPr>
        <w:t xml:space="preserve">. pandas </w:t>
      </w:r>
      <w:proofErr w:type="spellStart"/>
      <w:r>
        <w:rPr>
          <w:sz w:val="21"/>
        </w:rPr>
        <w:t>documentation</w:t>
      </w:r>
      <w:proofErr w:type="spellEnd"/>
      <w:r>
        <w:rPr>
          <w:sz w:val="21"/>
        </w:rPr>
        <w:t>. https://pandas.pydata.org/docs/reference/api/pandas.read_csv.html</w:t>
      </w:r>
    </w:p>
    <w:p w14:paraId="29E19F26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Universidad Andrés Bello. (2026). Proyecto final integrador Fase 4: Análisis, reproducibilidad y comunicación de resultados [Pauta y rúbrica del curso MCDI500]. </w:t>
      </w:r>
      <w:proofErr w:type="spellStart"/>
      <w:r>
        <w:rPr>
          <w:sz w:val="21"/>
        </w:rPr>
        <w:t>Canvas</w:t>
      </w:r>
      <w:proofErr w:type="spellEnd"/>
      <w:r>
        <w:rPr>
          <w:sz w:val="21"/>
        </w:rPr>
        <w:t xml:space="preserve"> UNAB.</w:t>
      </w:r>
    </w:p>
    <w:p w14:paraId="4FA3322C" w14:textId="77777777" w:rsidR="00800423" w:rsidRDefault="00000000">
      <w:pPr>
        <w:spacing w:after="100" w:line="240" w:lineRule="auto"/>
        <w:ind w:left="403" w:hanging="403"/>
      </w:pPr>
      <w:r>
        <w:rPr>
          <w:sz w:val="21"/>
        </w:rPr>
        <w:t xml:space="preserve">Waskom, M. L. (2021). </w:t>
      </w:r>
      <w:proofErr w:type="spellStart"/>
      <w:r>
        <w:rPr>
          <w:sz w:val="21"/>
        </w:rPr>
        <w:t>seaborn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Statistical</w:t>
      </w:r>
      <w:proofErr w:type="spellEnd"/>
      <w:r>
        <w:rPr>
          <w:sz w:val="21"/>
        </w:rPr>
        <w:t xml:space="preserve"> data </w:t>
      </w:r>
      <w:proofErr w:type="spellStart"/>
      <w:r>
        <w:rPr>
          <w:sz w:val="21"/>
        </w:rPr>
        <w:t>visualization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Journal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of</w:t>
      </w:r>
      <w:proofErr w:type="spellEnd"/>
      <w:r>
        <w:rPr>
          <w:sz w:val="21"/>
        </w:rPr>
        <w:t xml:space="preserve"> Open </w:t>
      </w:r>
      <w:proofErr w:type="spellStart"/>
      <w:r>
        <w:rPr>
          <w:sz w:val="21"/>
        </w:rPr>
        <w:t>Source</w:t>
      </w:r>
      <w:proofErr w:type="spellEnd"/>
      <w:r>
        <w:rPr>
          <w:sz w:val="21"/>
        </w:rPr>
        <w:t xml:space="preserve"> Software, 6(60), 3021. https://doi.org/10.21105/joss.03021</w:t>
      </w:r>
    </w:p>
    <w:sectPr w:rsidR="00800423">
      <w:headerReference w:type="default" r:id="rId31"/>
      <w:footerReference w:type="default" r:id="rId32"/>
      <w:pgSz w:w="12240" w:h="15840"/>
      <w:pgMar w:top="1152" w:right="1152" w:bottom="1296" w:left="1152" w:header="432" w:footer="5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B725B" w14:textId="77777777" w:rsidR="00454D68" w:rsidRPr="00211F27" w:rsidRDefault="00454D68">
      <w:r w:rsidRPr="00211F27">
        <w:separator/>
      </w:r>
    </w:p>
  </w:endnote>
  <w:endnote w:type="continuationSeparator" w:id="0">
    <w:p w14:paraId="37797093" w14:textId="77777777" w:rsidR="00454D68" w:rsidRPr="00211F27" w:rsidRDefault="00454D68">
      <w:r w:rsidRPr="00211F2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3960"/>
      <w:gridCol w:w="2016"/>
      <w:gridCol w:w="3960"/>
    </w:tblGrid>
    <w:tr w:rsidR="00800423" w14:paraId="282389A8" w14:textId="77777777">
      <w:trPr>
        <w:jc w:val="center"/>
      </w:trPr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3FD05735" w14:textId="77777777" w:rsidR="00800423" w:rsidRDefault="00800423"/>
      </w:tc>
      <w:tc>
        <w:tcPr>
          <w:tcW w:w="2016" w:type="dxa"/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36AE6365" w14:textId="77777777" w:rsidR="00800423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363AFFC0" wp14:editId="107236E7">
                <wp:extent cx="1051560" cy="352024"/>
                <wp:effectExtent l="0" t="0" r="0" b="0"/>
                <wp:docPr id="203048420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35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5B27FD0C" w14:textId="77777777" w:rsidR="00800423" w:rsidRDefault="00000000">
          <w:pPr>
            <w:spacing w:after="0"/>
            <w:jc w:val="right"/>
          </w:pPr>
          <w:r>
            <w:fldChar w:fldCharType="begin"/>
          </w:r>
          <w:r>
            <w:instrText xml:space="preserve"> PAGE </w:instrText>
          </w:r>
          <w:r w:rsidR="00AB31B1">
            <w:fldChar w:fldCharType="separate"/>
          </w:r>
          <w:r w:rsidR="00AB31B1">
            <w:rPr>
              <w:noProof/>
            </w:rPr>
            <w:t>2</w:t>
          </w:r>
          <w:r>
            <w:fldChar w:fldCharType="end"/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3960"/>
      <w:gridCol w:w="2016"/>
      <w:gridCol w:w="3960"/>
    </w:tblGrid>
    <w:tr w:rsidR="00800423" w14:paraId="36A484A6" w14:textId="77777777">
      <w:trPr>
        <w:jc w:val="center"/>
      </w:trPr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115E5AE7" w14:textId="77777777" w:rsidR="00800423" w:rsidRDefault="00800423"/>
      </w:tc>
      <w:tc>
        <w:tcPr>
          <w:tcW w:w="2016" w:type="dxa"/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6BD20E08" w14:textId="77777777" w:rsidR="00800423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6062A0EB" wp14:editId="42C42F69">
                <wp:extent cx="1051560" cy="352024"/>
                <wp:effectExtent l="0" t="0" r="0" b="0"/>
                <wp:docPr id="90189503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35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747138FF" w14:textId="77777777" w:rsidR="00800423" w:rsidRDefault="00000000">
          <w:pPr>
            <w:spacing w:after="0"/>
            <w:jc w:val="right"/>
          </w:pPr>
          <w:r>
            <w:fldChar w:fldCharType="begin"/>
          </w:r>
          <w:r>
            <w:instrText xml:space="preserve"> PAGE </w:instrText>
          </w:r>
          <w:r w:rsidR="00AB31B1">
            <w:fldChar w:fldCharType="separate"/>
          </w:r>
          <w:r w:rsidR="00AB31B1">
            <w:rPr>
              <w:noProof/>
            </w:rPr>
            <w:t>3</w:t>
          </w:r>
          <w: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3960"/>
      <w:gridCol w:w="2016"/>
      <w:gridCol w:w="3960"/>
    </w:tblGrid>
    <w:tr w:rsidR="00800423" w14:paraId="12C520A8" w14:textId="77777777">
      <w:trPr>
        <w:jc w:val="center"/>
      </w:trPr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5E5F533E" w14:textId="77777777" w:rsidR="00800423" w:rsidRDefault="00800423"/>
      </w:tc>
      <w:tc>
        <w:tcPr>
          <w:tcW w:w="2016" w:type="dxa"/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0A096225" w14:textId="77777777" w:rsidR="00800423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32CEDCDD" wp14:editId="44FBE4CC">
                <wp:extent cx="1051560" cy="352024"/>
                <wp:effectExtent l="0" t="0" r="0" b="0"/>
                <wp:docPr id="124173106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35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2506D925" w14:textId="77777777" w:rsidR="00800423" w:rsidRDefault="00000000">
          <w:pPr>
            <w:spacing w:after="0"/>
            <w:jc w:val="right"/>
          </w:pPr>
          <w:r>
            <w:fldChar w:fldCharType="begin"/>
          </w:r>
          <w:r>
            <w:instrText xml:space="preserve"> PAGE </w:instrText>
          </w:r>
          <w:r w:rsidR="00AB31B1">
            <w:fldChar w:fldCharType="separate"/>
          </w:r>
          <w:r w:rsidR="00AB31B1">
            <w:rPr>
              <w:noProof/>
            </w:rPr>
            <w:t>4</w:t>
          </w:r>
          <w:r>
            <w:fldChar w:fldCharType="end"/>
          </w:r>
        </w:p>
      </w:tc>
    </w:tr>
  </w:tbl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3960"/>
      <w:gridCol w:w="2016"/>
      <w:gridCol w:w="3960"/>
    </w:tblGrid>
    <w:tr w:rsidR="00800423" w14:paraId="2629299D" w14:textId="77777777">
      <w:trPr>
        <w:jc w:val="center"/>
      </w:trPr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1FEC2349" w14:textId="77777777" w:rsidR="00800423" w:rsidRDefault="00800423"/>
      </w:tc>
      <w:tc>
        <w:tcPr>
          <w:tcW w:w="2016" w:type="dxa"/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411267A9" w14:textId="77777777" w:rsidR="00800423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1D60820D" wp14:editId="1A69FF25">
                <wp:extent cx="1051560" cy="352024"/>
                <wp:effectExtent l="0" t="0" r="0" b="0"/>
                <wp:docPr id="17170486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35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7A1F8473" w14:textId="77777777" w:rsidR="00800423" w:rsidRDefault="00000000">
          <w:pPr>
            <w:spacing w:after="0"/>
            <w:jc w:val="right"/>
          </w:pPr>
          <w:r>
            <w:fldChar w:fldCharType="begin"/>
          </w:r>
          <w:r>
            <w:instrText xml:space="preserve"> PAGE </w:instrText>
          </w:r>
          <w:r w:rsidR="00AB31B1">
            <w:fldChar w:fldCharType="separate"/>
          </w:r>
          <w:r w:rsidR="00AB31B1">
            <w:rPr>
              <w:noProof/>
            </w:rPr>
            <w:t>5</w:t>
          </w:r>
          <w:r>
            <w:fldChar w:fldCharType="end"/>
          </w:r>
        </w:p>
      </w:tc>
    </w:tr>
  </w:tbl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3960"/>
      <w:gridCol w:w="2016"/>
      <w:gridCol w:w="3960"/>
    </w:tblGrid>
    <w:tr w:rsidR="00800423" w14:paraId="6B94A7D7" w14:textId="77777777">
      <w:trPr>
        <w:jc w:val="center"/>
      </w:trPr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325395A8" w14:textId="77777777" w:rsidR="00800423" w:rsidRDefault="00800423"/>
      </w:tc>
      <w:tc>
        <w:tcPr>
          <w:tcW w:w="2016" w:type="dxa"/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4BA12C11" w14:textId="77777777" w:rsidR="00800423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118CD87E" wp14:editId="635A1078">
                <wp:extent cx="1051560" cy="352024"/>
                <wp:effectExtent l="0" t="0" r="0" b="0"/>
                <wp:docPr id="135305314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35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01246072" w14:textId="77777777" w:rsidR="00800423" w:rsidRDefault="00000000">
          <w:pPr>
            <w:spacing w:after="0"/>
            <w:jc w:val="right"/>
          </w:pPr>
          <w:r>
            <w:fldChar w:fldCharType="begin"/>
          </w:r>
          <w:r>
            <w:instrText xml:space="preserve"> PAGE </w:instrText>
          </w:r>
          <w:r w:rsidR="00AB31B1">
            <w:fldChar w:fldCharType="separate"/>
          </w:r>
          <w:r w:rsidR="00AB31B1">
            <w:rPr>
              <w:noProof/>
            </w:rPr>
            <w:t>6</w:t>
          </w:r>
          <w:r>
            <w:fldChar w:fldCharType="end"/>
          </w:r>
        </w:p>
      </w:tc>
    </w:tr>
  </w:tbl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3960"/>
      <w:gridCol w:w="2016"/>
      <w:gridCol w:w="3960"/>
    </w:tblGrid>
    <w:tr w:rsidR="00800423" w14:paraId="75E92EC6" w14:textId="77777777">
      <w:trPr>
        <w:jc w:val="center"/>
      </w:trPr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2CB5D8D6" w14:textId="77777777" w:rsidR="00800423" w:rsidRDefault="00800423"/>
      </w:tc>
      <w:tc>
        <w:tcPr>
          <w:tcW w:w="2016" w:type="dxa"/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574C569E" w14:textId="77777777" w:rsidR="00800423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1ADAF692" wp14:editId="5D320CE3">
                <wp:extent cx="1051560" cy="352024"/>
                <wp:effectExtent l="0" t="0" r="0" b="0"/>
                <wp:docPr id="53418830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35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26A3D32D" w14:textId="77777777" w:rsidR="00800423" w:rsidRDefault="00000000">
          <w:pPr>
            <w:spacing w:after="0"/>
            <w:jc w:val="right"/>
          </w:pPr>
          <w:r>
            <w:fldChar w:fldCharType="begin"/>
          </w:r>
          <w:r>
            <w:instrText xml:space="preserve"> PAGE </w:instrText>
          </w:r>
          <w:r w:rsidR="00AB31B1">
            <w:fldChar w:fldCharType="separate"/>
          </w:r>
          <w:r w:rsidR="00AB31B1">
            <w:rPr>
              <w:noProof/>
            </w:rPr>
            <w:t>7</w:t>
          </w:r>
          <w:r>
            <w:fldChar w:fldCharType="end"/>
          </w:r>
        </w:p>
      </w:tc>
    </w:tr>
  </w:tbl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3960"/>
      <w:gridCol w:w="2016"/>
      <w:gridCol w:w="3960"/>
    </w:tblGrid>
    <w:tr w:rsidR="00800423" w14:paraId="5A8F8117" w14:textId="77777777">
      <w:trPr>
        <w:jc w:val="center"/>
      </w:trPr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7CDB60F6" w14:textId="77777777" w:rsidR="00800423" w:rsidRDefault="00800423"/>
      </w:tc>
      <w:tc>
        <w:tcPr>
          <w:tcW w:w="2016" w:type="dxa"/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0723C823" w14:textId="77777777" w:rsidR="00800423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49585F8D" wp14:editId="5E568A59">
                <wp:extent cx="1051560" cy="352024"/>
                <wp:effectExtent l="0" t="0" r="0" b="0"/>
                <wp:docPr id="66792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35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02C1A97B" w14:textId="77777777" w:rsidR="00800423" w:rsidRDefault="00000000">
          <w:pPr>
            <w:spacing w:after="0"/>
            <w:jc w:val="right"/>
          </w:pPr>
          <w:r>
            <w:fldChar w:fldCharType="begin"/>
          </w:r>
          <w:r>
            <w:instrText xml:space="preserve"> PAGE </w:instrText>
          </w:r>
          <w:r w:rsidR="00AB31B1">
            <w:fldChar w:fldCharType="separate"/>
          </w:r>
          <w:r w:rsidR="00AB31B1">
            <w:rPr>
              <w:noProof/>
            </w:rPr>
            <w:t>8</w:t>
          </w:r>
          <w:r>
            <w:fldChar w:fldCharType="end"/>
          </w:r>
        </w:p>
      </w:tc>
    </w:tr>
  </w:tbl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3960"/>
      <w:gridCol w:w="2016"/>
      <w:gridCol w:w="3960"/>
    </w:tblGrid>
    <w:tr w:rsidR="00800423" w14:paraId="4A98705A" w14:textId="77777777">
      <w:trPr>
        <w:jc w:val="center"/>
      </w:trPr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460FFDB7" w14:textId="77777777" w:rsidR="00800423" w:rsidRDefault="00800423"/>
      </w:tc>
      <w:tc>
        <w:tcPr>
          <w:tcW w:w="2016" w:type="dxa"/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6E8534C9" w14:textId="77777777" w:rsidR="00800423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046D932C" wp14:editId="7AB3A246">
                <wp:extent cx="1051560" cy="352024"/>
                <wp:effectExtent l="0" t="0" r="0" b="0"/>
                <wp:docPr id="133382154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35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07470506" w14:textId="77777777" w:rsidR="00800423" w:rsidRDefault="00000000">
          <w:pPr>
            <w:spacing w:after="0"/>
            <w:jc w:val="right"/>
          </w:pPr>
          <w:r>
            <w:fldChar w:fldCharType="begin"/>
          </w:r>
          <w:r>
            <w:instrText xml:space="preserve"> PAGE </w:instrText>
          </w:r>
          <w:r w:rsidR="00AB31B1">
            <w:fldChar w:fldCharType="separate"/>
          </w:r>
          <w:r w:rsidR="00AB31B1">
            <w:rPr>
              <w:noProof/>
            </w:rPr>
            <w:t>9</w:t>
          </w:r>
          <w:r>
            <w:fldChar w:fldCharType="end"/>
          </w:r>
        </w:p>
      </w:tc>
    </w:tr>
  </w:tbl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3960"/>
      <w:gridCol w:w="2016"/>
      <w:gridCol w:w="3960"/>
    </w:tblGrid>
    <w:tr w:rsidR="00800423" w14:paraId="06021B6C" w14:textId="77777777">
      <w:trPr>
        <w:jc w:val="center"/>
      </w:trPr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3A6CE9E6" w14:textId="77777777" w:rsidR="00800423" w:rsidRDefault="00800423"/>
      </w:tc>
      <w:tc>
        <w:tcPr>
          <w:tcW w:w="2016" w:type="dxa"/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7F55EF6C" w14:textId="77777777" w:rsidR="00800423" w:rsidRDefault="00000000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75FFFBD8" wp14:editId="786D971C">
                <wp:extent cx="1051560" cy="352024"/>
                <wp:effectExtent l="0" t="0" r="0" b="0"/>
                <wp:docPr id="120169467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35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60" w:type="dxa"/>
          <w:tcBorders>
            <w:top w:val="single" w:sz="6" w:space="0" w:color="28558A"/>
          </w:tcBorders>
          <w:tcMar>
            <w:top w:w="0" w:type="dxa"/>
            <w:left w:w="25" w:type="dxa"/>
            <w:bottom w:w="0" w:type="dxa"/>
            <w:right w:w="25" w:type="dxa"/>
          </w:tcMar>
          <w:vAlign w:val="center"/>
        </w:tcPr>
        <w:p w14:paraId="1ECEFE65" w14:textId="77777777" w:rsidR="00800423" w:rsidRDefault="00000000">
          <w:pPr>
            <w:spacing w:after="0"/>
            <w:jc w:val="right"/>
          </w:pPr>
          <w:r>
            <w:fldChar w:fldCharType="begin"/>
          </w:r>
          <w:r>
            <w:instrText xml:space="preserve"> PAGE </w:instrText>
          </w:r>
          <w:r w:rsidR="00AB31B1">
            <w:fldChar w:fldCharType="separate"/>
          </w:r>
          <w:r w:rsidR="00AB31B1">
            <w:rPr>
              <w:noProof/>
            </w:rPr>
            <w:t>10</w:t>
          </w:r>
          <w: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868E9" w14:textId="77777777" w:rsidR="00454D68" w:rsidRPr="00211F27" w:rsidRDefault="00454D68">
      <w:r w:rsidRPr="00211F27">
        <w:separator/>
      </w:r>
    </w:p>
  </w:footnote>
  <w:footnote w:type="continuationSeparator" w:id="0">
    <w:p w14:paraId="2F5C3333" w14:textId="77777777" w:rsidR="00454D68" w:rsidRPr="00211F27" w:rsidRDefault="00454D68">
      <w:r w:rsidRPr="00211F2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EA704" w14:textId="77777777" w:rsidR="00800423" w:rsidRDefault="00000000">
    <w:pPr>
      <w:pBdr>
        <w:bottom w:val="single" w:sz="6" w:space="1" w:color="28558A"/>
      </w:pBdr>
      <w:tabs>
        <w:tab w:val="right" w:pos="9821"/>
      </w:tabs>
      <w:spacing w:after="0"/>
    </w:pPr>
    <w:r>
      <w:rPr>
        <w:noProof/>
        <w:sz w:val="19"/>
      </w:rPr>
      <w:drawing>
        <wp:inline distT="0" distB="0" distL="0" distR="0" wp14:anchorId="34AF3E6A" wp14:editId="41FA311D">
          <wp:extent cx="109728" cy="105339"/>
          <wp:effectExtent l="0" t="0" r="0" b="0"/>
          <wp:docPr id="173315584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" cy="105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9"/>
      </w:rPr>
      <w:tab/>
    </w:r>
    <w:r>
      <w:rPr>
        <w:sz w:val="19"/>
      </w:rPr>
      <w:fldChar w:fldCharType="begin"/>
    </w:r>
    <w:r>
      <w:rPr>
        <w:sz w:val="19"/>
      </w:rPr>
      <w:instrText xml:space="preserve"> PAGE </w:instrText>
    </w:r>
    <w:r w:rsidR="00AB31B1">
      <w:rPr>
        <w:sz w:val="19"/>
      </w:rPr>
      <w:fldChar w:fldCharType="separate"/>
    </w:r>
    <w:r w:rsidR="00AB31B1">
      <w:rPr>
        <w:noProof/>
        <w:sz w:val="19"/>
      </w:rPr>
      <w:t>2</w:t>
    </w:r>
    <w:r>
      <w:rPr>
        <w:sz w:val="19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B0703" w14:textId="77777777" w:rsidR="00800423" w:rsidRDefault="00000000">
    <w:pPr>
      <w:pBdr>
        <w:bottom w:val="single" w:sz="6" w:space="1" w:color="28558A"/>
      </w:pBdr>
      <w:tabs>
        <w:tab w:val="right" w:pos="9821"/>
      </w:tabs>
      <w:spacing w:after="0"/>
    </w:pPr>
    <w:r>
      <w:rPr>
        <w:noProof/>
        <w:sz w:val="19"/>
      </w:rPr>
      <w:drawing>
        <wp:inline distT="0" distB="0" distL="0" distR="0" wp14:anchorId="08B100B5" wp14:editId="0974C97E">
          <wp:extent cx="109728" cy="105339"/>
          <wp:effectExtent l="0" t="0" r="0" b="0"/>
          <wp:docPr id="2712692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" cy="105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9"/>
      </w:rPr>
      <w:tab/>
    </w:r>
    <w:r>
      <w:rPr>
        <w:sz w:val="19"/>
      </w:rPr>
      <w:fldChar w:fldCharType="begin"/>
    </w:r>
    <w:r>
      <w:rPr>
        <w:sz w:val="19"/>
      </w:rPr>
      <w:instrText xml:space="preserve"> PAGE </w:instrText>
    </w:r>
    <w:r w:rsidR="00AB31B1">
      <w:rPr>
        <w:sz w:val="19"/>
      </w:rPr>
      <w:fldChar w:fldCharType="separate"/>
    </w:r>
    <w:r w:rsidR="00AB31B1">
      <w:rPr>
        <w:noProof/>
        <w:sz w:val="19"/>
      </w:rPr>
      <w:t>3</w:t>
    </w:r>
    <w:r>
      <w:rPr>
        <w:sz w:val="19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10D6C" w14:textId="77777777" w:rsidR="00800423" w:rsidRDefault="00000000">
    <w:pPr>
      <w:pBdr>
        <w:bottom w:val="single" w:sz="6" w:space="1" w:color="28558A"/>
      </w:pBdr>
      <w:tabs>
        <w:tab w:val="right" w:pos="9821"/>
      </w:tabs>
      <w:spacing w:after="0"/>
    </w:pPr>
    <w:r>
      <w:rPr>
        <w:noProof/>
        <w:sz w:val="19"/>
      </w:rPr>
      <w:drawing>
        <wp:inline distT="0" distB="0" distL="0" distR="0" wp14:anchorId="7B5BB964" wp14:editId="08E420E6">
          <wp:extent cx="109728" cy="105339"/>
          <wp:effectExtent l="0" t="0" r="0" b="0"/>
          <wp:docPr id="5975856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" cy="105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9"/>
      </w:rPr>
      <w:tab/>
    </w:r>
    <w:r>
      <w:rPr>
        <w:sz w:val="19"/>
      </w:rPr>
      <w:fldChar w:fldCharType="begin"/>
    </w:r>
    <w:r>
      <w:rPr>
        <w:sz w:val="19"/>
      </w:rPr>
      <w:instrText xml:space="preserve"> PAGE </w:instrText>
    </w:r>
    <w:r w:rsidR="00AB31B1">
      <w:rPr>
        <w:sz w:val="19"/>
      </w:rPr>
      <w:fldChar w:fldCharType="separate"/>
    </w:r>
    <w:r w:rsidR="00AB31B1">
      <w:rPr>
        <w:noProof/>
        <w:sz w:val="19"/>
      </w:rPr>
      <w:t>4</w:t>
    </w:r>
    <w:r>
      <w:rPr>
        <w:sz w:val="19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D00CC" w14:textId="77777777" w:rsidR="00800423" w:rsidRDefault="00000000">
    <w:pPr>
      <w:pBdr>
        <w:bottom w:val="single" w:sz="6" w:space="1" w:color="28558A"/>
      </w:pBdr>
      <w:tabs>
        <w:tab w:val="right" w:pos="9821"/>
      </w:tabs>
      <w:spacing w:after="0"/>
    </w:pPr>
    <w:r>
      <w:rPr>
        <w:noProof/>
        <w:sz w:val="19"/>
      </w:rPr>
      <w:drawing>
        <wp:inline distT="0" distB="0" distL="0" distR="0" wp14:anchorId="0E855023" wp14:editId="2B600304">
          <wp:extent cx="109728" cy="105339"/>
          <wp:effectExtent l="0" t="0" r="0" b="0"/>
          <wp:docPr id="158363714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" cy="105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9"/>
      </w:rPr>
      <w:tab/>
    </w:r>
    <w:r>
      <w:rPr>
        <w:sz w:val="19"/>
      </w:rPr>
      <w:fldChar w:fldCharType="begin"/>
    </w:r>
    <w:r>
      <w:rPr>
        <w:sz w:val="19"/>
      </w:rPr>
      <w:instrText xml:space="preserve"> PAGE </w:instrText>
    </w:r>
    <w:r w:rsidR="00AB31B1">
      <w:rPr>
        <w:sz w:val="19"/>
      </w:rPr>
      <w:fldChar w:fldCharType="separate"/>
    </w:r>
    <w:r w:rsidR="00AB31B1">
      <w:rPr>
        <w:noProof/>
        <w:sz w:val="19"/>
      </w:rPr>
      <w:t>5</w:t>
    </w:r>
    <w:r>
      <w:rPr>
        <w:sz w:val="19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11EFC" w14:textId="77777777" w:rsidR="00800423" w:rsidRDefault="00000000">
    <w:pPr>
      <w:pBdr>
        <w:bottom w:val="single" w:sz="6" w:space="1" w:color="28558A"/>
      </w:pBdr>
      <w:tabs>
        <w:tab w:val="right" w:pos="9821"/>
      </w:tabs>
      <w:spacing w:after="0"/>
    </w:pPr>
    <w:r>
      <w:rPr>
        <w:noProof/>
        <w:sz w:val="19"/>
      </w:rPr>
      <w:drawing>
        <wp:inline distT="0" distB="0" distL="0" distR="0" wp14:anchorId="6F6E00C9" wp14:editId="6A2110C2">
          <wp:extent cx="109728" cy="105339"/>
          <wp:effectExtent l="0" t="0" r="0" b="0"/>
          <wp:docPr id="7886937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" cy="105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9"/>
      </w:rPr>
      <w:tab/>
    </w:r>
    <w:r>
      <w:rPr>
        <w:sz w:val="19"/>
      </w:rPr>
      <w:fldChar w:fldCharType="begin"/>
    </w:r>
    <w:r>
      <w:rPr>
        <w:sz w:val="19"/>
      </w:rPr>
      <w:instrText xml:space="preserve"> PAGE </w:instrText>
    </w:r>
    <w:r w:rsidR="00AB31B1">
      <w:rPr>
        <w:sz w:val="19"/>
      </w:rPr>
      <w:fldChar w:fldCharType="separate"/>
    </w:r>
    <w:r w:rsidR="00AB31B1">
      <w:rPr>
        <w:noProof/>
        <w:sz w:val="19"/>
      </w:rPr>
      <w:t>6</w:t>
    </w:r>
    <w:r>
      <w:rPr>
        <w:sz w:val="19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FBCF5" w14:textId="77777777" w:rsidR="00800423" w:rsidRDefault="00000000">
    <w:pPr>
      <w:pBdr>
        <w:bottom w:val="single" w:sz="6" w:space="1" w:color="28558A"/>
      </w:pBdr>
      <w:tabs>
        <w:tab w:val="right" w:pos="9821"/>
      </w:tabs>
      <w:spacing w:after="0"/>
    </w:pPr>
    <w:r>
      <w:rPr>
        <w:noProof/>
        <w:sz w:val="19"/>
      </w:rPr>
      <w:drawing>
        <wp:inline distT="0" distB="0" distL="0" distR="0" wp14:anchorId="1136BC5D" wp14:editId="7BE4FD6B">
          <wp:extent cx="109728" cy="105339"/>
          <wp:effectExtent l="0" t="0" r="0" b="0"/>
          <wp:docPr id="11612474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" cy="105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9"/>
      </w:rPr>
      <w:tab/>
    </w:r>
    <w:r>
      <w:rPr>
        <w:sz w:val="19"/>
      </w:rPr>
      <w:fldChar w:fldCharType="begin"/>
    </w:r>
    <w:r>
      <w:rPr>
        <w:sz w:val="19"/>
      </w:rPr>
      <w:instrText xml:space="preserve"> PAGE </w:instrText>
    </w:r>
    <w:r w:rsidR="00AB31B1">
      <w:rPr>
        <w:sz w:val="19"/>
      </w:rPr>
      <w:fldChar w:fldCharType="separate"/>
    </w:r>
    <w:r w:rsidR="00AB31B1">
      <w:rPr>
        <w:noProof/>
        <w:sz w:val="19"/>
      </w:rPr>
      <w:t>7</w:t>
    </w:r>
    <w:r>
      <w:rPr>
        <w:sz w:val="19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0394" w14:textId="77777777" w:rsidR="00800423" w:rsidRDefault="00000000">
    <w:pPr>
      <w:pBdr>
        <w:bottom w:val="single" w:sz="6" w:space="1" w:color="28558A"/>
      </w:pBdr>
      <w:tabs>
        <w:tab w:val="right" w:pos="9821"/>
      </w:tabs>
      <w:spacing w:after="0"/>
    </w:pPr>
    <w:r>
      <w:rPr>
        <w:noProof/>
        <w:sz w:val="19"/>
      </w:rPr>
      <w:drawing>
        <wp:inline distT="0" distB="0" distL="0" distR="0" wp14:anchorId="6425561A" wp14:editId="07650408">
          <wp:extent cx="109728" cy="105339"/>
          <wp:effectExtent l="0" t="0" r="0" b="0"/>
          <wp:docPr id="20386270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" cy="105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9"/>
      </w:rPr>
      <w:tab/>
    </w:r>
    <w:r>
      <w:rPr>
        <w:sz w:val="19"/>
      </w:rPr>
      <w:fldChar w:fldCharType="begin"/>
    </w:r>
    <w:r>
      <w:rPr>
        <w:sz w:val="19"/>
      </w:rPr>
      <w:instrText xml:space="preserve"> PAGE </w:instrText>
    </w:r>
    <w:r w:rsidR="00AB31B1">
      <w:rPr>
        <w:sz w:val="19"/>
      </w:rPr>
      <w:fldChar w:fldCharType="separate"/>
    </w:r>
    <w:r w:rsidR="00AB31B1">
      <w:rPr>
        <w:noProof/>
        <w:sz w:val="19"/>
      </w:rPr>
      <w:t>8</w:t>
    </w:r>
    <w:r>
      <w:rPr>
        <w:sz w:val="19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E86ED" w14:textId="77777777" w:rsidR="00800423" w:rsidRDefault="00000000">
    <w:pPr>
      <w:pBdr>
        <w:bottom w:val="single" w:sz="6" w:space="1" w:color="28558A"/>
      </w:pBdr>
      <w:tabs>
        <w:tab w:val="right" w:pos="9821"/>
      </w:tabs>
      <w:spacing w:after="0"/>
    </w:pPr>
    <w:r>
      <w:rPr>
        <w:noProof/>
        <w:sz w:val="19"/>
      </w:rPr>
      <w:drawing>
        <wp:inline distT="0" distB="0" distL="0" distR="0" wp14:anchorId="39066847" wp14:editId="45DB2D81">
          <wp:extent cx="109728" cy="105339"/>
          <wp:effectExtent l="0" t="0" r="0" b="0"/>
          <wp:docPr id="125798557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" cy="105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9"/>
      </w:rPr>
      <w:tab/>
    </w:r>
    <w:r>
      <w:rPr>
        <w:sz w:val="19"/>
      </w:rPr>
      <w:fldChar w:fldCharType="begin"/>
    </w:r>
    <w:r>
      <w:rPr>
        <w:sz w:val="19"/>
      </w:rPr>
      <w:instrText xml:space="preserve"> PAGE </w:instrText>
    </w:r>
    <w:r w:rsidR="00AB31B1">
      <w:rPr>
        <w:sz w:val="19"/>
      </w:rPr>
      <w:fldChar w:fldCharType="separate"/>
    </w:r>
    <w:r w:rsidR="00AB31B1">
      <w:rPr>
        <w:noProof/>
        <w:sz w:val="19"/>
      </w:rPr>
      <w:t>9</w:t>
    </w:r>
    <w:r>
      <w:rPr>
        <w:sz w:val="19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DC279" w14:textId="77777777" w:rsidR="00800423" w:rsidRDefault="00000000">
    <w:pPr>
      <w:pBdr>
        <w:bottom w:val="single" w:sz="6" w:space="1" w:color="28558A"/>
      </w:pBdr>
      <w:tabs>
        <w:tab w:val="right" w:pos="9821"/>
      </w:tabs>
      <w:spacing w:after="0"/>
    </w:pPr>
    <w:r>
      <w:rPr>
        <w:noProof/>
        <w:sz w:val="19"/>
      </w:rPr>
      <w:drawing>
        <wp:inline distT="0" distB="0" distL="0" distR="0" wp14:anchorId="58654679" wp14:editId="404D714A">
          <wp:extent cx="109728" cy="105339"/>
          <wp:effectExtent l="0" t="0" r="0" b="0"/>
          <wp:docPr id="1472770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" cy="105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9"/>
      </w:rPr>
      <w:tab/>
    </w:r>
    <w:r>
      <w:rPr>
        <w:sz w:val="19"/>
      </w:rPr>
      <w:fldChar w:fldCharType="begin"/>
    </w:r>
    <w:r>
      <w:rPr>
        <w:sz w:val="19"/>
      </w:rPr>
      <w:instrText xml:space="preserve"> PAGE </w:instrText>
    </w:r>
    <w:r w:rsidR="00AB31B1">
      <w:rPr>
        <w:sz w:val="19"/>
      </w:rPr>
      <w:fldChar w:fldCharType="separate"/>
    </w:r>
    <w:r w:rsidR="00AB31B1">
      <w:rPr>
        <w:noProof/>
        <w:sz w:val="19"/>
      </w:rPr>
      <w:t>10</w:t>
    </w:r>
    <w:r>
      <w:rPr>
        <w:sz w:val="19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ascii="Arial" w:eastAsia="Arial" w:hAnsi="Arial" w:cs="Arial"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ascii="Arial" w:eastAsia="Arial" w:hAnsi="Arial" w:cs="Arial"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ascii="Arial" w:eastAsia="Arial" w:hAnsi="Arial" w:cs="Arial"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ascii="Arial" w:eastAsia="Arial" w:hAnsi="Arial" w:cs="Arial"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ascii="Arial" w:eastAsia="Arial" w:hAnsi="Arial" w:cs="Arial"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ascii="Arial" w:eastAsia="Arial" w:hAnsi="Arial" w:cs="Arial"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Arial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ascii="Arial" w:eastAsia="Arial" w:hAnsi="Arial" w:cs="Arial"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ascii="Arial" w:eastAsia="Arial" w:hAnsi="Arial" w:cs="Arial"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ascii="Arial" w:eastAsia="Arial" w:hAnsi="Arial" w:cs="Arial"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ascii="Arial" w:eastAsia="Arial" w:hAnsi="Arial" w:cs="Arial"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ascii="Arial" w:eastAsia="Arial" w:hAnsi="Arial" w:cs="Arial"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ascii="Arial" w:eastAsia="Arial" w:hAnsi="Arial" w:cs="Arial"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ascii="Arial" w:eastAsia="Arial" w:hAnsi="Arial" w:cs="Arial"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ascii="Arial" w:eastAsia="Arial" w:hAnsi="Arial" w:cs="Arial"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ascii="Arial" w:eastAsia="Arial" w:hAnsi="Arial" w:cs="Arial"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ascii="Arial" w:eastAsia="Arial" w:hAnsi="Arial" w:cs="Aria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385089"/>
    <w:multiLevelType w:val="hybridMultilevel"/>
    <w:tmpl w:val="E3AE1850"/>
    <w:lvl w:ilvl="0" w:tplc="10A4DD86">
      <w:start w:val="1"/>
      <w:numFmt w:val="upperRoman"/>
      <w:lvlText w:val="%1."/>
      <w:lvlJc w:val="left"/>
      <w:pPr>
        <w:ind w:left="720" w:hanging="720"/>
      </w:pPr>
      <w:rPr>
        <w:rFonts w:ascii="Arial" w:eastAsia="Arial" w:hAnsi="Arial" w:cs="Arial"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4F268F6"/>
    <w:multiLevelType w:val="hybridMultilevel"/>
    <w:tmpl w:val="F07C54C0"/>
    <w:lvl w:ilvl="0" w:tplc="A7FACC8A">
      <w:start w:val="1"/>
      <w:numFmt w:val="bullet"/>
      <w:lvlText w:val="•"/>
      <w:lvlJc w:val="left"/>
      <w:pPr>
        <w:ind w:left="357" w:hanging="357"/>
      </w:pPr>
      <w:rPr>
        <w:rFonts w:ascii="Arial" w:hAnsi="Arial"/>
      </w:rPr>
    </w:lvl>
    <w:lvl w:ilvl="1" w:tplc="4F0E6494">
      <w:numFmt w:val="decimal"/>
      <w:lvlText w:val=""/>
      <w:lvlJc w:val="left"/>
    </w:lvl>
    <w:lvl w:ilvl="2" w:tplc="1E1C61AA">
      <w:numFmt w:val="decimal"/>
      <w:lvlText w:val=""/>
      <w:lvlJc w:val="left"/>
    </w:lvl>
    <w:lvl w:ilvl="3" w:tplc="5292434A">
      <w:numFmt w:val="decimal"/>
      <w:lvlText w:val=""/>
      <w:lvlJc w:val="left"/>
    </w:lvl>
    <w:lvl w:ilvl="4" w:tplc="D786D11E">
      <w:numFmt w:val="decimal"/>
      <w:lvlText w:val=""/>
      <w:lvlJc w:val="left"/>
    </w:lvl>
    <w:lvl w:ilvl="5" w:tplc="1974EE86">
      <w:numFmt w:val="decimal"/>
      <w:lvlText w:val=""/>
      <w:lvlJc w:val="left"/>
    </w:lvl>
    <w:lvl w:ilvl="6" w:tplc="1AFECEBE">
      <w:numFmt w:val="decimal"/>
      <w:lvlText w:val=""/>
      <w:lvlJc w:val="left"/>
    </w:lvl>
    <w:lvl w:ilvl="7" w:tplc="E83CF74E">
      <w:numFmt w:val="decimal"/>
      <w:lvlText w:val=""/>
      <w:lvlJc w:val="left"/>
    </w:lvl>
    <w:lvl w:ilvl="8" w:tplc="0032C07E">
      <w:numFmt w:val="decimal"/>
      <w:lvlText w:val=""/>
      <w:lvlJc w:val="left"/>
    </w:lvl>
  </w:abstractNum>
  <w:abstractNum w:abstractNumId="8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8"/>
  </w:num>
  <w:num w:numId="7" w16cid:durableId="701251958">
    <w:abstractNumId w:val="1"/>
  </w:num>
  <w:num w:numId="8" w16cid:durableId="92289541">
    <w:abstractNumId w:val="6"/>
  </w:num>
  <w:num w:numId="9" w16cid:durableId="1995983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2765F"/>
    <w:rsid w:val="00037EBC"/>
    <w:rsid w:val="00044BB0"/>
    <w:rsid w:val="00050C08"/>
    <w:rsid w:val="000617B5"/>
    <w:rsid w:val="000665BC"/>
    <w:rsid w:val="0007277F"/>
    <w:rsid w:val="00073F60"/>
    <w:rsid w:val="000B267A"/>
    <w:rsid w:val="000B6723"/>
    <w:rsid w:val="000B6E9A"/>
    <w:rsid w:val="000C58FE"/>
    <w:rsid w:val="000F1603"/>
    <w:rsid w:val="0011685F"/>
    <w:rsid w:val="001263BA"/>
    <w:rsid w:val="00127078"/>
    <w:rsid w:val="00133E7D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11F27"/>
    <w:rsid w:val="00215A03"/>
    <w:rsid w:val="0022688D"/>
    <w:rsid w:val="00231C99"/>
    <w:rsid w:val="002418E1"/>
    <w:rsid w:val="002424B3"/>
    <w:rsid w:val="00262F6A"/>
    <w:rsid w:val="00284814"/>
    <w:rsid w:val="002A2575"/>
    <w:rsid w:val="002B7C05"/>
    <w:rsid w:val="002C3333"/>
    <w:rsid w:val="002D371B"/>
    <w:rsid w:val="002D5310"/>
    <w:rsid w:val="002E1CE8"/>
    <w:rsid w:val="002E616E"/>
    <w:rsid w:val="002F23A4"/>
    <w:rsid w:val="002F3BCE"/>
    <w:rsid w:val="00300B03"/>
    <w:rsid w:val="00301165"/>
    <w:rsid w:val="00317DE7"/>
    <w:rsid w:val="00325008"/>
    <w:rsid w:val="00340A31"/>
    <w:rsid w:val="00381F0F"/>
    <w:rsid w:val="003901FC"/>
    <w:rsid w:val="0039037D"/>
    <w:rsid w:val="003A0515"/>
    <w:rsid w:val="003B24EF"/>
    <w:rsid w:val="003B6F13"/>
    <w:rsid w:val="003D0EEA"/>
    <w:rsid w:val="003D3911"/>
    <w:rsid w:val="003D665E"/>
    <w:rsid w:val="003E162C"/>
    <w:rsid w:val="003E54EE"/>
    <w:rsid w:val="004056E7"/>
    <w:rsid w:val="00411DF0"/>
    <w:rsid w:val="0042644D"/>
    <w:rsid w:val="00454D68"/>
    <w:rsid w:val="00461EC4"/>
    <w:rsid w:val="00464217"/>
    <w:rsid w:val="00467CE0"/>
    <w:rsid w:val="00477DBD"/>
    <w:rsid w:val="00481904"/>
    <w:rsid w:val="00483ECE"/>
    <w:rsid w:val="004857B6"/>
    <w:rsid w:val="004862CF"/>
    <w:rsid w:val="00486EEB"/>
    <w:rsid w:val="004922BF"/>
    <w:rsid w:val="0049588B"/>
    <w:rsid w:val="004B01AB"/>
    <w:rsid w:val="004C085A"/>
    <w:rsid w:val="004C3896"/>
    <w:rsid w:val="004C52ED"/>
    <w:rsid w:val="004C7A14"/>
    <w:rsid w:val="004D600B"/>
    <w:rsid w:val="004E6395"/>
    <w:rsid w:val="004F3059"/>
    <w:rsid w:val="00500A98"/>
    <w:rsid w:val="0051151E"/>
    <w:rsid w:val="00522F0F"/>
    <w:rsid w:val="00531247"/>
    <w:rsid w:val="00533F2F"/>
    <w:rsid w:val="005816D9"/>
    <w:rsid w:val="005A486C"/>
    <w:rsid w:val="005A7F4F"/>
    <w:rsid w:val="005C41FB"/>
    <w:rsid w:val="005C6C22"/>
    <w:rsid w:val="005D25B5"/>
    <w:rsid w:val="005E4D7C"/>
    <w:rsid w:val="005E6B67"/>
    <w:rsid w:val="005F2574"/>
    <w:rsid w:val="005F5AD8"/>
    <w:rsid w:val="006200A2"/>
    <w:rsid w:val="00623F5D"/>
    <w:rsid w:val="006914E8"/>
    <w:rsid w:val="006A36A9"/>
    <w:rsid w:val="006F001A"/>
    <w:rsid w:val="006F215C"/>
    <w:rsid w:val="006F458A"/>
    <w:rsid w:val="00712AB4"/>
    <w:rsid w:val="00720A64"/>
    <w:rsid w:val="007214FB"/>
    <w:rsid w:val="00724D2F"/>
    <w:rsid w:val="00736E5D"/>
    <w:rsid w:val="00770240"/>
    <w:rsid w:val="0077744A"/>
    <w:rsid w:val="00782D63"/>
    <w:rsid w:val="00784CCA"/>
    <w:rsid w:val="007A355A"/>
    <w:rsid w:val="007B1F3C"/>
    <w:rsid w:val="007B7377"/>
    <w:rsid w:val="007C2634"/>
    <w:rsid w:val="007C50F4"/>
    <w:rsid w:val="00800423"/>
    <w:rsid w:val="00803C56"/>
    <w:rsid w:val="00811041"/>
    <w:rsid w:val="008142D6"/>
    <w:rsid w:val="008202A7"/>
    <w:rsid w:val="008439A1"/>
    <w:rsid w:val="00843FEA"/>
    <w:rsid w:val="00871A63"/>
    <w:rsid w:val="008760E4"/>
    <w:rsid w:val="00892939"/>
    <w:rsid w:val="00896388"/>
    <w:rsid w:val="008B031A"/>
    <w:rsid w:val="008B49DF"/>
    <w:rsid w:val="008B6E60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27F46"/>
    <w:rsid w:val="00930529"/>
    <w:rsid w:val="00945213"/>
    <w:rsid w:val="00946FB5"/>
    <w:rsid w:val="00956246"/>
    <w:rsid w:val="00983E0A"/>
    <w:rsid w:val="009900A5"/>
    <w:rsid w:val="00992BB7"/>
    <w:rsid w:val="009B4827"/>
    <w:rsid w:val="009B4E43"/>
    <w:rsid w:val="009C1E16"/>
    <w:rsid w:val="009C393A"/>
    <w:rsid w:val="009C5D7C"/>
    <w:rsid w:val="009E6170"/>
    <w:rsid w:val="009E730E"/>
    <w:rsid w:val="00A03D66"/>
    <w:rsid w:val="00A10691"/>
    <w:rsid w:val="00A212A6"/>
    <w:rsid w:val="00A32CDC"/>
    <w:rsid w:val="00A43E00"/>
    <w:rsid w:val="00A45ED5"/>
    <w:rsid w:val="00A6381C"/>
    <w:rsid w:val="00A65622"/>
    <w:rsid w:val="00A656AB"/>
    <w:rsid w:val="00A90638"/>
    <w:rsid w:val="00AA1A95"/>
    <w:rsid w:val="00AA2D53"/>
    <w:rsid w:val="00AB31B1"/>
    <w:rsid w:val="00AB34B3"/>
    <w:rsid w:val="00AB60D8"/>
    <w:rsid w:val="00AB7950"/>
    <w:rsid w:val="00AC77E0"/>
    <w:rsid w:val="00AD533A"/>
    <w:rsid w:val="00AD5946"/>
    <w:rsid w:val="00AF2267"/>
    <w:rsid w:val="00AF7E8A"/>
    <w:rsid w:val="00B048AF"/>
    <w:rsid w:val="00B508A6"/>
    <w:rsid w:val="00B71533"/>
    <w:rsid w:val="00B7774E"/>
    <w:rsid w:val="00B80861"/>
    <w:rsid w:val="00B94BDF"/>
    <w:rsid w:val="00B9519A"/>
    <w:rsid w:val="00BA1323"/>
    <w:rsid w:val="00BB0CC0"/>
    <w:rsid w:val="00BB5099"/>
    <w:rsid w:val="00BB6352"/>
    <w:rsid w:val="00BC0427"/>
    <w:rsid w:val="00BC285A"/>
    <w:rsid w:val="00BE3C8C"/>
    <w:rsid w:val="00BF3934"/>
    <w:rsid w:val="00C10EDF"/>
    <w:rsid w:val="00C16BE1"/>
    <w:rsid w:val="00C414ED"/>
    <w:rsid w:val="00C52B01"/>
    <w:rsid w:val="00C619B6"/>
    <w:rsid w:val="00C70DEC"/>
    <w:rsid w:val="00C76855"/>
    <w:rsid w:val="00CA1302"/>
    <w:rsid w:val="00CA2FA1"/>
    <w:rsid w:val="00CA423F"/>
    <w:rsid w:val="00CA5E99"/>
    <w:rsid w:val="00CA7C74"/>
    <w:rsid w:val="00CD6A7F"/>
    <w:rsid w:val="00CE0A3E"/>
    <w:rsid w:val="00D0019F"/>
    <w:rsid w:val="00D20A9B"/>
    <w:rsid w:val="00D274B1"/>
    <w:rsid w:val="00D27F19"/>
    <w:rsid w:val="00D52415"/>
    <w:rsid w:val="00D74815"/>
    <w:rsid w:val="00D83A70"/>
    <w:rsid w:val="00DA55F0"/>
    <w:rsid w:val="00DA7401"/>
    <w:rsid w:val="00DB2B43"/>
    <w:rsid w:val="00DC1B28"/>
    <w:rsid w:val="00DC20FF"/>
    <w:rsid w:val="00DD3875"/>
    <w:rsid w:val="00DD654E"/>
    <w:rsid w:val="00E02CCA"/>
    <w:rsid w:val="00E0391D"/>
    <w:rsid w:val="00E07CB9"/>
    <w:rsid w:val="00E16DC1"/>
    <w:rsid w:val="00E2439E"/>
    <w:rsid w:val="00E32A92"/>
    <w:rsid w:val="00E34664"/>
    <w:rsid w:val="00E41C76"/>
    <w:rsid w:val="00E443CA"/>
    <w:rsid w:val="00E4499D"/>
    <w:rsid w:val="00E569E4"/>
    <w:rsid w:val="00E62E82"/>
    <w:rsid w:val="00E736F1"/>
    <w:rsid w:val="00E7407E"/>
    <w:rsid w:val="00E7757E"/>
    <w:rsid w:val="00E874B9"/>
    <w:rsid w:val="00E91A49"/>
    <w:rsid w:val="00E93BC4"/>
    <w:rsid w:val="00EB71D0"/>
    <w:rsid w:val="00EC4F31"/>
    <w:rsid w:val="00ED05CB"/>
    <w:rsid w:val="00ED2DCD"/>
    <w:rsid w:val="00EE1545"/>
    <w:rsid w:val="00EE713C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57136"/>
    <w:rsid w:val="00F71572"/>
    <w:rsid w:val="00F7174B"/>
    <w:rsid w:val="00F77C9C"/>
    <w:rsid w:val="00F814E4"/>
    <w:rsid w:val="00F83DBD"/>
    <w:rsid w:val="00F9616E"/>
    <w:rsid w:val="00FA6CBE"/>
    <w:rsid w:val="00FB1B22"/>
    <w:rsid w:val="00FB3EC9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1E6B4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000000"/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2D371B"/>
    <w:pPr>
      <w:keepNext/>
      <w:keepLines/>
      <w:spacing w:before="240" w:after="0"/>
      <w:outlineLvl w:val="0"/>
    </w:pPr>
    <w:rPr>
      <w:b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12A6"/>
    <w:pPr>
      <w:keepNext/>
      <w:keepLines/>
      <w:spacing w:before="40" w:after="0"/>
      <w:outlineLvl w:val="1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  <w:rPr>
      <w:rFonts w:ascii="Arial" w:eastAsia="Arial" w:hAnsi="Arial" w:cs="Arial"/>
      <w:sz w:val="22"/>
      <w:szCs w:val="22"/>
    </w:rPr>
  </w:style>
  <w:style w:type="character" w:customStyle="1" w:styleId="eop">
    <w:name w:val="eop"/>
    <w:basedOn w:val="Fuentedeprrafopredeter"/>
    <w:rsid w:val="00464217"/>
    <w:rPr>
      <w:rFonts w:ascii="Arial" w:eastAsia="Arial" w:hAnsi="Arial" w:cs="Arial"/>
      <w:sz w:val="22"/>
      <w:szCs w:val="22"/>
    </w:rPr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sz w:val="22"/>
      <w:szCs w:val="22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2"/>
      <w:szCs w:val="22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rFonts w:ascii="Arial" w:eastAsia="Arial" w:hAnsi="Arial" w:cs="Arial"/>
      <w:sz w:val="22"/>
      <w:szCs w:val="22"/>
    </w:rPr>
  </w:style>
  <w:style w:type="paragraph" w:customStyle="1" w:styleId="Ttulo11">
    <w:name w:val="Título 11"/>
    <w:pPr>
      <w:keepNext/>
      <w:spacing w:after="120" w:line="276" w:lineRule="auto"/>
      <w:outlineLvl w:val="0"/>
    </w:pPr>
    <w:rPr>
      <w:b/>
      <w:color w:val="000000"/>
    </w:rPr>
  </w:style>
  <w:style w:type="paragraph" w:customStyle="1" w:styleId="Ttulo21">
    <w:name w:val="Título 21"/>
    <w:pPr>
      <w:keepNext/>
      <w:spacing w:after="120" w:line="276" w:lineRule="auto"/>
      <w:outlineLvl w:val="1"/>
    </w:pPr>
    <w:rPr>
      <w:b/>
      <w:color w:val="000000"/>
    </w:rPr>
  </w:style>
  <w:style w:type="paragraph" w:customStyle="1" w:styleId="Descripcin1">
    <w:name w:val="Descripción1"/>
    <w:pPr>
      <w:spacing w:after="120" w:line="276" w:lineRule="auto"/>
    </w:pPr>
    <w:rPr>
      <w:color w:val="111827"/>
    </w:rPr>
  </w:style>
  <w:style w:type="paragraph" w:customStyle="1" w:styleId="Listaconvietas1">
    <w:name w:val="Lista con viñetas1"/>
  </w:style>
  <w:style w:type="paragraph" w:styleId="TDC1">
    <w:name w:val="toc 1"/>
    <w:basedOn w:val="Normal"/>
    <w:next w:val="Normal"/>
    <w:autoRedefine/>
    <w:uiPriority w:val="39"/>
    <w:unhideWhenUsed/>
    <w:rsid w:val="00381F0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81F0F"/>
    <w:pPr>
      <w:spacing w:after="100"/>
      <w:ind w:left="216"/>
    </w:pPr>
  </w:style>
  <w:style w:type="character" w:styleId="Hipervnculo">
    <w:name w:val="Hyperlink"/>
    <w:basedOn w:val="Fuentedeprrafopredeter"/>
    <w:uiPriority w:val="99"/>
    <w:unhideWhenUsed/>
    <w:rsid w:val="00381F0F"/>
    <w:rPr>
      <w:rFonts w:ascii="Arial" w:eastAsia="Arial" w:hAnsi="Arial" w:cs="Arial"/>
      <w:color w:val="0000FF" w:themeColor="hyperlink"/>
      <w:sz w:val="22"/>
      <w:szCs w:val="22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D371B"/>
    <w:rPr>
      <w:rFonts w:ascii="Arial" w:eastAsia="Arial" w:hAnsi="Arial" w:cs="Arial"/>
      <w:color w:val="000000"/>
      <w:sz w:val="22"/>
      <w:szCs w:val="2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12A6"/>
    <w:rPr>
      <w:rFonts w:ascii="Arial" w:eastAsia="Arial" w:hAnsi="Arial" w:cs="Arial"/>
      <w:color w:val="000000"/>
      <w:sz w:val="22"/>
      <w:szCs w:val="22"/>
      <w:lang w:val="es-ES"/>
    </w:rPr>
  </w:style>
  <w:style w:type="table" w:styleId="Tablaconcuadrcula1clara-nfasis1">
    <w:name w:val="Grid Table 1 Light Accent 1"/>
    <w:basedOn w:val="Tablanormal"/>
    <w:uiPriority w:val="46"/>
    <w:rsid w:val="006F458A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F458A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header" Target="header5.xml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6.xml"/><Relationship Id="rId32" Type="http://schemas.openxmlformats.org/officeDocument/2006/relationships/footer" Target="footer9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5.png"/><Relationship Id="rId28" Type="http://schemas.openxmlformats.org/officeDocument/2006/relationships/footer" Target="footer7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31" Type="http://schemas.openxmlformats.org/officeDocument/2006/relationships/header" Target="header9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footer" Target="footer5.xml"/><Relationship Id="rId27" Type="http://schemas.openxmlformats.org/officeDocument/2006/relationships/header" Target="header7.xml"/><Relationship Id="rId30" Type="http://schemas.openxmlformats.org/officeDocument/2006/relationships/footer" Target="footer8.xml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7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8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Arial"/>
        <a:cs typeface="Arial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Arial"/>
        <a:cs typeface="Arial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customXml/itemProps2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10</Pages>
  <Words>2528</Words>
  <Characters>13905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Análisis de ofertas en licitaciones públicas del sector Salud (Fases 1 y 2)</vt:lpstr>
    </vt:vector>
  </TitlesOfParts>
  <Company/>
  <LinksUpToDate>false</LinksUpToDate>
  <CharactersWithSpaces>16401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ofertas en licitaciones públicas del sector Salud</dc:title>
  <dc:subject>Proyecto final integrador Fase 4</dc:subject>
  <dc:creator>Grupo 5: Víctor Bravo Barrera, Nayadeth Garrido Ibáñez y Mauricio Cid</dc:creator>
  <cp:keywords>MCDI500, licitaciones, ChileCompra, reproducibilidad, visualización</cp:keywords>
  <cp:lastModifiedBy>GARRIDO IBAÑEZ NAYADETH ROSA PAZ</cp:lastModifiedBy>
  <cp:revision>55</cp:revision>
  <dcterms:created xsi:type="dcterms:W3CDTF">2026-01-07T16:22:00Z</dcterms:created>
  <dcterms:modified xsi:type="dcterms:W3CDTF">2026-10-03T17:36:00Z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