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F7F36" w14:textId="75ABA2C6" w:rsidR="00167D87" w:rsidRPr="005F5AD8" w:rsidRDefault="00E34664">
      <w:pPr>
        <w:ind w:left="3566"/>
        <w:rPr>
          <w:sz w:val="20"/>
        </w:rPr>
      </w:pPr>
      <w:r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FA1" w:rsidRPr="005F5AD8"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C17CFE" id="Group 2" o:spid="_x0000_s1026" style="width:85.45pt;height:51.55pt;mso-position-horizontal-relative:char;mso-position-vertical-relative:line" coordsize="10852,65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o:spid="_x0000_s1027" style="position:absolute;left:122;top:167;width:2101;height:3099;visibility:visible;mso-wrap-style:square;v-text-anchor:top" coordsize="210185,30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 path="m209791,l188086,r,184061l181850,232548r-17516,33480l137327,285432r-34712,6261l71098,285811,45396,267038,28085,233684,21742,184061,21742,,,,,185381r8392,58937l30862,282681r32483,20806l101777,309753r41068,-6762l177287,281095r23690,-39451l209791,182219,209791,xe" fillcolor="#c6c4c4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681;top:994;width:173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r:id="rId17" o:title=""/>
                </v:shape>
                <v:shape id="Image 5" o:spid="_x0000_s1029" type="#_x0000_t75" style="position:absolute;left:4679;top:994;width:1574;height: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r:id="rId18" o:title=""/>
                </v:shape>
                <v:shape id="Graphic 6" o:spid="_x0000_s1030" style="position:absolute;left:6646;width:1969;height:3270;visibility:visible;mso-wrap-style:square;v-text-anchor:top" coordsize="19685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fillcolor="#c6c4c4" stroked="f">
                  <v:path arrowok="t"/>
                </v:shape>
                <v:shape id="Graphic 7" o:spid="_x0000_s1031" style="position:absolute;top:3590;width:2622;height:2953;visibility:visible;mso-wrap-style:square;v-text-anchor:top" coordsize="26225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fillcolor="#af0f1e" stroked="f">
                  <v:path arrowok="t"/>
                </v:shape>
                <v:shape id="Image 8" o:spid="_x0000_s1032" type="#_x0000_t75" style="position:absolute;left:2929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r:id="rId19" o:title=""/>
                </v:shape>
                <v:shape id="Graphic 9" o:spid="_x0000_s1033" style="position:absolute;left:5204;top:3545;width:1212;height:2953;visibility:visible;mso-wrap-style:square;v-text-anchor:top" coordsize="12128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 path="m39789,l,,,294817r39789,l39789,xem121208,71894r-39789,l81419,294817r39789,l121208,71894xem121208,21717r-39789,l81419,52946r39789,l121208,21717xe" fillcolor="#af0f1e" stroked="f">
                  <v:path arrowok="t"/>
                </v:shape>
                <v:shape id="Image 10" o:spid="_x0000_s1034" type="#_x0000_t75" style="position:absolute;left:6805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r:id="rId20" o:title=""/>
                </v:shape>
                <v:shape id="Image 11" o:spid="_x0000_s1035" type="#_x0000_t75" style="position:absolute;left:8921;top:4259;width:1930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r:id="rId21" o:title=""/>
                </v:shape>
                <w10:anchorlock/>
              </v:group>
            </w:pict>
          </mc:Fallback>
        </mc:AlternateContent>
      </w:r>
    </w:p>
    <w:p w14:paraId="07C02F6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MCDIA500 • PROGRAMACIÓN PARA LA CIENCIA DE DATOS</w:t>
      </w:r>
    </w:p>
    <w:p w14:paraId="72E86FB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MAGÍSTER EN CIENCIA DE DATOS E INTELIGENCIA ARTIFICIAL</w:t>
      </w:r>
    </w:p>
    <w:p w14:paraId="5A11C63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</w:t>
      </w:r>
    </w:p>
    <w:p w14:paraId="76EF3CEB" w14:textId="77777777" w:rsidR="00CA5E99" w:rsidRDefault="00CA5E99"/>
    <w:p w14:paraId="53010200" w14:textId="77777777" w:rsidR="00CA5E99" w:rsidRPr="00317DE7" w:rsidRDefault="00B94BDF">
      <w:pPr>
        <w:pStyle w:val="Ttulo"/>
        <w:jc w:val="center"/>
        <w:rPr>
          <w:rFonts w:ascii="Arial" w:hAnsi="Arial"/>
        </w:rPr>
      </w:pPr>
      <w:r w:rsidRPr="00317DE7">
        <w:rPr>
          <w:rFonts w:ascii="Arial" w:hAnsi="Arial"/>
        </w:rPr>
        <w:t>Análisis de ofertas en licitaciones públicas del sector Salud</w:t>
      </w:r>
    </w:p>
    <w:p w14:paraId="68B692F0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Sumativa 1: Avance del proyecto Fases 1 y 2 – Entorno reproducible, exploración y procesamiento inicial de datos</w:t>
      </w:r>
    </w:p>
    <w:p w14:paraId="3F2FF25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Reporte oficial de marzo de 2026</w:t>
      </w:r>
    </w:p>
    <w:p w14:paraId="2D7064FF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4BDF545E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Grupo 5</w:t>
      </w:r>
    </w:p>
    <w:p w14:paraId="51B469C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Víctor Bravo Barrera</w:t>
      </w:r>
    </w:p>
    <w:p w14:paraId="114B942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Nayadeth Garrido Ibáñez</w:t>
      </w:r>
    </w:p>
    <w:p w14:paraId="1B802664" w14:textId="23576717" w:rsidR="00CA5E99" w:rsidRPr="00317DE7" w:rsidRDefault="00317DE7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Mauricio Cid</w:t>
      </w:r>
    </w:p>
    <w:p w14:paraId="1E4D8BF8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1FFF611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Docente: Omar Salinas Silva</w:t>
      </w:r>
    </w:p>
    <w:p w14:paraId="233B96F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Fecha: 16 de septiembre de 2026</w:t>
      </w:r>
    </w:p>
    <w:p w14:paraId="401AD6F2" w14:textId="77777777" w:rsidR="00CA5E99" w:rsidRDefault="00B94BDF">
      <w:r>
        <w:br w:type="page"/>
      </w:r>
    </w:p>
    <w:p w14:paraId="60B4E69E" w14:textId="77777777" w:rsidR="00CA5E99" w:rsidRPr="00EB71D0" w:rsidRDefault="00B94BDF" w:rsidP="00E2439E">
      <w:pPr>
        <w:pStyle w:val="Ttulo"/>
        <w:spacing w:line="240" w:lineRule="auto"/>
        <w:jc w:val="both"/>
        <w:rPr>
          <w:rFonts w:ascii="Arial" w:hAnsi="Arial"/>
          <w:sz w:val="24"/>
          <w:szCs w:val="24"/>
        </w:rPr>
      </w:pPr>
      <w:r w:rsidRPr="00EB71D0">
        <w:rPr>
          <w:rFonts w:ascii="Arial" w:hAnsi="Arial"/>
          <w:sz w:val="24"/>
          <w:szCs w:val="24"/>
        </w:rPr>
        <w:lastRenderedPageBreak/>
        <w:t>Índice de contenidos</w:t>
      </w:r>
    </w:p>
    <w:p w14:paraId="4A69B203" w14:textId="4A2FD59D" w:rsidR="00EE713C" w:rsidRPr="00EE713C" w:rsidRDefault="00B94BDF">
      <w:pPr>
        <w:pStyle w:val="TDC1"/>
        <w:tabs>
          <w:tab w:val="left" w:pos="480"/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 w:rsidRPr="00EB71D0">
        <w:rPr>
          <w:rFonts w:ascii="Arial" w:hAnsi="Arial"/>
          <w:sz w:val="24"/>
          <w:szCs w:val="24"/>
        </w:rPr>
        <w:fldChar w:fldCharType="begin"/>
      </w:r>
      <w:r w:rsidRPr="00EB71D0">
        <w:rPr>
          <w:rFonts w:ascii="Arial" w:hAnsi="Arial"/>
          <w:sz w:val="24"/>
          <w:szCs w:val="24"/>
        </w:rPr>
        <w:instrText xml:space="preserve"> TOC \o "1-2" \h \z \u </w:instrText>
      </w:r>
      <w:r w:rsidRPr="00EB71D0">
        <w:rPr>
          <w:rFonts w:ascii="Arial" w:hAnsi="Arial"/>
          <w:sz w:val="24"/>
          <w:szCs w:val="24"/>
        </w:rPr>
        <w:fldChar w:fldCharType="separate"/>
      </w:r>
      <w:hyperlink w:anchor="_Toc240403222" w:history="1">
        <w:r w:rsidR="00EE713C" w:rsidRPr="00EE713C">
          <w:rPr>
            <w:rStyle w:val="Hipervnculo"/>
            <w:rFonts w:ascii="Arial" w:hAnsi="Arial"/>
            <w:noProof/>
            <w:sz w:val="24"/>
            <w:szCs w:val="24"/>
            <w:lang w:val="es-CL"/>
          </w:rPr>
          <w:t>I.</w:t>
        </w:r>
        <w:r w:rsidR="00EE713C" w:rsidRPr="00EE713C">
          <w:rPr>
            <w:rFonts w:ascii="Arial" w:eastAsiaTheme="minorEastAsia" w:hAnsi="Arial"/>
            <w:noProof/>
            <w:color w:val="auto"/>
            <w:kern w:val="2"/>
            <w:sz w:val="24"/>
            <w:szCs w:val="24"/>
            <w:lang w:val="es-CL" w:eastAsia="es-CL"/>
            <w14:ligatures w14:val="standardContextual"/>
          </w:rPr>
          <w:tab/>
        </w:r>
        <w:r w:rsidR="00EE713C" w:rsidRPr="00EE713C">
          <w:rPr>
            <w:rStyle w:val="Hipervnculo"/>
            <w:rFonts w:ascii="Arial" w:hAnsi="Arial"/>
            <w:noProof/>
            <w:sz w:val="24"/>
            <w:szCs w:val="24"/>
            <w:lang w:val="es-CL"/>
          </w:rPr>
          <w:t>Introducción y contextualización</w:t>
        </w:r>
        <w:r w:rsidR="00EE713C"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="00EE713C"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="00EE713C"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_Toc240403222 \h </w:instrText>
        </w:r>
        <w:r w:rsidR="00EE713C" w:rsidRPr="00EE713C">
          <w:rPr>
            <w:rFonts w:ascii="Arial" w:hAnsi="Arial"/>
            <w:noProof/>
            <w:webHidden/>
            <w:sz w:val="24"/>
            <w:szCs w:val="24"/>
          </w:rPr>
        </w:r>
        <w:r w:rsidR="00EE713C"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EE713C" w:rsidRPr="00EE713C">
          <w:rPr>
            <w:rFonts w:ascii="Arial" w:hAnsi="Arial"/>
            <w:noProof/>
            <w:webHidden/>
            <w:sz w:val="24"/>
            <w:szCs w:val="24"/>
          </w:rPr>
          <w:t>3</w:t>
        </w:r>
        <w:r w:rsidR="00EE713C"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3DEFDAC" w14:textId="58F01A7C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23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Conexión explícita con las fases F1–F4 del Proyecto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_Toc240403223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3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CB68E7F" w14:textId="1FC37DB2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24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II</w:t>
        </w:r>
        <w:r w:rsidRPr="00EE713C">
          <w:rPr>
            <w:rStyle w:val="Hipervnculo"/>
            <w:rFonts w:ascii="Arial" w:hAnsi="Arial"/>
            <w:noProof/>
            <w:sz w:val="24"/>
            <w:szCs w:val="24"/>
            <w:lang w:val="es-CL"/>
          </w:rPr>
          <w:t>. Definición de la problemática y objetivos del Proyecto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_Toc240403224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5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2855DE6" w14:textId="5B572E5B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25" w:history="1">
        <w:r w:rsidRPr="00EE713C">
          <w:rPr>
            <w:rStyle w:val="Hipervnculo"/>
            <w:rFonts w:ascii="Arial" w:hAnsi="Arial"/>
            <w:bCs/>
            <w:noProof/>
            <w:sz w:val="24"/>
            <w:szCs w:val="24"/>
            <w:lang w:val="es-CL"/>
          </w:rPr>
          <w:t>Preguntas específicas del estudio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_Toc240403225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5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1703080" w14:textId="4A404079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26" w:history="1">
        <w:r w:rsidRPr="00EE713C">
          <w:rPr>
            <w:rStyle w:val="Hipervnculo"/>
            <w:rFonts w:ascii="Arial" w:hAnsi="Arial"/>
            <w:noProof/>
            <w:sz w:val="24"/>
            <w:szCs w:val="24"/>
            <w:lang w:val="es-CL"/>
          </w:rPr>
          <w:t>Objetivos del proyecto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_Toc240403226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5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801605D" w14:textId="0CBF577F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27" w:history="1">
        <w:r w:rsidRPr="00EE713C">
          <w:rPr>
            <w:rStyle w:val="Hipervnculo"/>
            <w:rFonts w:ascii="Arial" w:hAnsi="Arial"/>
            <w:noProof/>
            <w:sz w:val="24"/>
            <w:szCs w:val="24"/>
            <w:lang w:val="es-CL"/>
          </w:rPr>
          <w:t>Alcance, restricciones y supuestos analíticos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_Toc240403227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5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7DA9CA9" w14:textId="5BBDE15E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28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III. Herramientas científicas, reproducibilidad y control de versions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_Toc240403228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7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8B8F2A3" w14:textId="0B2C4620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29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Arquitectura modular y estructura del repositorio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_Toc240403229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7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A4118C8" w14:textId="3B828FEA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0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Gestión colaborativa y control de versiones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_Toc240403230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8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E6061A8" w14:textId="67C82F98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1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IV. Diseño de soluciones algorítmicas, preprocesamiento y validación (F2)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_Toc240403231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9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28F624A" w14:textId="1D3BA1C8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2" w:history="1">
        <w:r w:rsidRPr="00EE713C">
          <w:rPr>
            <w:rStyle w:val="Hipervnculo"/>
            <w:rFonts w:ascii="Arial" w:hAnsi="Arial"/>
            <w:noProof/>
            <w:sz w:val="24"/>
            <w:szCs w:val="24"/>
            <w:lang w:val="es-CL"/>
          </w:rPr>
          <w:t>A. Codificación funcional modular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_Toc240403232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9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1BA9F40" w14:textId="69BFD864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3" w:history="1">
        <w:r w:rsidRPr="00EE713C">
          <w:rPr>
            <w:rStyle w:val="Hipervnculo"/>
            <w:rFonts w:ascii="Arial" w:hAnsi="Arial"/>
            <w:noProof/>
            <w:sz w:val="24"/>
            <w:szCs w:val="24"/>
            <w:lang w:val="es-CL"/>
          </w:rPr>
          <w:t>B. Preprocesamiento, transformaciones y tratamiento de NA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_Toc240403233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9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F7C4971" w14:textId="69236CBF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4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C. Validación técnica y verificación del Código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_Toc240403234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10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E1A632B" w14:textId="6BEF9DFA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5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V. Resultados preliminares de la preparación de datos (F1 y F2)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_Toc240403235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11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55B50C6" w14:textId="40EA9104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6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Tasa de adjudicación según tamaño de proveedor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_Toc240403236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11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B3681FD" w14:textId="42540E46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7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Distribución por tipo de licitación y plazos administrativos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_Toc240403237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11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5259A62" w14:textId="7AA91D14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8" w:history="1">
        <w:r w:rsidRPr="00EE713C">
          <w:rPr>
            <w:rStyle w:val="Hipervnculo"/>
            <w:rFonts w:ascii="Arial" w:hAnsi="Arial"/>
            <w:b/>
            <w:bCs/>
            <w:noProof/>
            <w:sz w:val="24"/>
            <w:szCs w:val="24"/>
          </w:rPr>
          <w:t>VI. Evidencias de ejecución de las Fases 1 y 2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_Toc240403238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12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EA0626A" w14:textId="1B9D397B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39" w:history="1">
        <w:r w:rsidRPr="00EE713C">
          <w:rPr>
            <w:rStyle w:val="Hipervnculo"/>
            <w:rFonts w:ascii="Arial" w:hAnsi="Arial"/>
            <w:b/>
            <w:bCs/>
            <w:noProof/>
            <w:sz w:val="24"/>
            <w:szCs w:val="24"/>
          </w:rPr>
          <w:t>Evidencia del Notebook F1_Definición.ipynb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_Toc240403239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12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9EC5AEB" w14:textId="60730958" w:rsidR="00EE713C" w:rsidRPr="00EE713C" w:rsidRDefault="00EE713C">
      <w:pPr>
        <w:pStyle w:val="TDC2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40" w:history="1">
        <w:r w:rsidRPr="00EE713C">
          <w:rPr>
            <w:rStyle w:val="Hipervnculo"/>
            <w:rFonts w:ascii="Arial" w:hAnsi="Arial"/>
            <w:b/>
            <w:bCs/>
            <w:noProof/>
            <w:sz w:val="24"/>
            <w:szCs w:val="24"/>
            <w:lang w:val="es-CL"/>
          </w:rPr>
          <w:t>Evidencia del Notebook F2_Preprocesamiento.ipynb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_Toc240403240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13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B68BE1E" w14:textId="3346C655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41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VII. Vinculación del mapa conceptual con el avance del Proyecto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_Toc240403241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17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C524915" w14:textId="7C54DA10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42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VIII. Referencias bibliográficas (Normas APA 7.ª edición)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_Toc240403242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19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BCA8FB6" w14:textId="23F2D0D6" w:rsidR="00EE713C" w:rsidRPr="00EE713C" w:rsidRDefault="00EE713C">
      <w:pPr>
        <w:pStyle w:val="TDC1"/>
        <w:tabs>
          <w:tab w:val="right" w:leader="dot" w:pos="9926"/>
        </w:tabs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3243" w:history="1">
        <w:r w:rsidRPr="00EE713C">
          <w:rPr>
            <w:rStyle w:val="Hipervnculo"/>
            <w:rFonts w:ascii="Arial" w:hAnsi="Arial"/>
            <w:noProof/>
            <w:sz w:val="24"/>
            <w:szCs w:val="24"/>
          </w:rPr>
          <w:t>IX. Anexos técnicos y trazabilidad criptográfica</w:t>
        </w:r>
        <w:r w:rsidRPr="00EE713C">
          <w:rPr>
            <w:rFonts w:ascii="Arial" w:hAnsi="Arial"/>
            <w:noProof/>
            <w:webHidden/>
            <w:sz w:val="24"/>
            <w:szCs w:val="24"/>
          </w:rPr>
          <w:tab/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E713C">
          <w:rPr>
            <w:rFonts w:ascii="Arial" w:hAnsi="Arial"/>
            <w:noProof/>
            <w:webHidden/>
            <w:sz w:val="24"/>
            <w:szCs w:val="24"/>
          </w:rPr>
          <w:instrText xml:space="preserve"> PAGEREF _Toc240403243 \h </w:instrText>
        </w:r>
        <w:r w:rsidRPr="00EE713C">
          <w:rPr>
            <w:rFonts w:ascii="Arial" w:hAnsi="Arial"/>
            <w:noProof/>
            <w:webHidden/>
            <w:sz w:val="24"/>
            <w:szCs w:val="24"/>
          </w:rPr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E713C">
          <w:rPr>
            <w:rFonts w:ascii="Arial" w:hAnsi="Arial"/>
            <w:noProof/>
            <w:webHidden/>
            <w:sz w:val="24"/>
            <w:szCs w:val="24"/>
          </w:rPr>
          <w:t>20</w:t>
        </w:r>
        <w:r w:rsidRPr="00EE713C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B1858FF" w14:textId="74F7EDDD" w:rsidR="00CA5E99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EB71D0">
        <w:rPr>
          <w:rFonts w:ascii="Arial" w:hAnsi="Arial"/>
          <w:sz w:val="24"/>
          <w:szCs w:val="24"/>
        </w:rPr>
        <w:fldChar w:fldCharType="end"/>
      </w:r>
    </w:p>
    <w:p w14:paraId="7895767B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D4BEA52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61457E1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1F3F7A7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658386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2132A7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D40C30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C3D4CB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6CDD142" w14:textId="70241F7F" w:rsidR="00CA5E99" w:rsidRPr="006F458A" w:rsidRDefault="00CA5E99" w:rsidP="00E2439E">
      <w:pPr>
        <w:spacing w:line="240" w:lineRule="auto"/>
        <w:jc w:val="both"/>
        <w:rPr>
          <w:rFonts w:ascii="Arial" w:hAnsi="Arial"/>
          <w:color w:val="000000" w:themeColor="text1"/>
          <w:sz w:val="24"/>
          <w:szCs w:val="24"/>
        </w:rPr>
      </w:pPr>
    </w:p>
    <w:p w14:paraId="20E17791" w14:textId="3D9182B8" w:rsidR="00CA5E99" w:rsidRDefault="00B94BDF" w:rsidP="006F458A">
      <w:pPr>
        <w:pStyle w:val="Ttulo11"/>
        <w:numPr>
          <w:ilvl w:val="0"/>
          <w:numId w:val="8"/>
        </w:numPr>
        <w:jc w:val="both"/>
        <w:rPr>
          <w:rFonts w:ascii="Arial" w:hAnsi="Arial" w:cs="Arial"/>
          <w:color w:val="000000" w:themeColor="text1"/>
          <w:sz w:val="24"/>
          <w:szCs w:val="24"/>
          <w:lang w:val="es-CL"/>
        </w:rPr>
      </w:pPr>
      <w:bookmarkStart w:id="0" w:name="_Toc240403222"/>
      <w:r w:rsidRPr="006F458A">
        <w:rPr>
          <w:rFonts w:ascii="Arial" w:hAnsi="Arial" w:cs="Arial"/>
          <w:color w:val="000000" w:themeColor="text1"/>
          <w:sz w:val="24"/>
          <w:szCs w:val="24"/>
          <w:lang w:val="es-CL"/>
        </w:rPr>
        <w:t>Introducción y contextualización</w:t>
      </w:r>
      <w:bookmarkEnd w:id="0"/>
    </w:p>
    <w:p w14:paraId="141D27EE" w14:textId="77777777" w:rsidR="006F458A" w:rsidRPr="006F458A" w:rsidRDefault="006F458A" w:rsidP="006F458A">
      <w:pPr>
        <w:pStyle w:val="Ttulo11"/>
        <w:ind w:left="1080"/>
        <w:jc w:val="both"/>
        <w:rPr>
          <w:rFonts w:ascii="Arial" w:hAnsi="Arial" w:cs="Arial"/>
          <w:color w:val="000000" w:themeColor="text1"/>
          <w:sz w:val="24"/>
          <w:szCs w:val="24"/>
          <w:lang w:val="es-CL"/>
        </w:rPr>
      </w:pPr>
    </w:p>
    <w:p w14:paraId="04B4BE0F" w14:textId="77777777" w:rsidR="00CA5E99" w:rsidRPr="006F458A" w:rsidRDefault="00B94BDF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ChileCompra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, s. f.-a). A través de la plataforma Mercado Público, gestionada por la Dirección de Compras y Contratación Pública (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ChileCompra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), los organismos de salud publican sus requerimientos y reciben propuestas de múltiples proveedores bajo diversas modalidades de licitación.</w:t>
      </w:r>
    </w:p>
    <w:p w14:paraId="24EC0AC3" w14:textId="77777777" w:rsidR="00CA5E99" w:rsidRPr="006F458A" w:rsidRDefault="00B94BDF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ChileCompra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NroLicitacion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`) puede albergar múltiples productos o líneas de cotización y recibir propuestas concurrentes de diversos oferentes.</w:t>
      </w:r>
    </w:p>
    <w:p w14:paraId="0E658EFE" w14:textId="42597285" w:rsidR="00CA5E99" w:rsidRPr="006F458A" w:rsidRDefault="00B94BDF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El problema central que aborda esta investigación consiste en determinar cómo varía la proporción de ofertas ganadoras según el tipo de licitación y el tamaño del proveedor en las adquisiciones de salud. Dado el volumen de transacciones y la presencia de variables categóricas, monetarias y </w:t>
      </w:r>
      <w:r w:rsidR="00E34664" w:rsidRPr="006F458A">
        <w:rPr>
          <w:rFonts w:ascii="Arial" w:hAnsi="Arial"/>
          <w:color w:val="000000" w:themeColor="text1"/>
          <w:sz w:val="24"/>
          <w:szCs w:val="24"/>
          <w:lang w:val="es-CL"/>
        </w:rPr>
        <w:t>temporales heterogéneos</w:t>
      </w: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, la resolución de este problema demanda un tratamiento programático riguroso sustentado en el ecosistema científico de Python (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NumPy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, Pandas) y prácticas estrictas de reproducibilidad computacional (Samuel &amp; 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Mietchen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, 2024).</w:t>
      </w:r>
    </w:p>
    <w:p w14:paraId="294F9807" w14:textId="77777777" w:rsidR="00E34664" w:rsidRPr="006F458A" w:rsidRDefault="00E34664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En este contexto, el </w:t>
      </w:r>
      <w:r w:rsidRPr="006F458A">
        <w:rPr>
          <w:rFonts w:ascii="Arial" w:hAnsi="Arial"/>
          <w:b/>
          <w:bCs/>
          <w:color w:val="000000" w:themeColor="text1"/>
          <w:sz w:val="24"/>
          <w:szCs w:val="24"/>
          <w:lang w:val="es-CL"/>
        </w:rPr>
        <w:t>objetivo general del proyecto</w:t>
      </w: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 es analizar descriptivamente las diferencias en la proporción de ofertas ganadoras según el tipo de licitación y el tamaño del proveedor en el sector Salud durante marzo de 2026, mediante un flujo de programación científica, preparación de datos y análisis reproducible. En cuanto al </w:t>
      </w:r>
      <w:r w:rsidRPr="006F458A">
        <w:rPr>
          <w:rFonts w:ascii="Arial" w:hAnsi="Arial"/>
          <w:b/>
          <w:bCs/>
          <w:color w:val="000000" w:themeColor="text1"/>
          <w:sz w:val="24"/>
          <w:szCs w:val="24"/>
          <w:lang w:val="es-CL"/>
        </w:rPr>
        <w:t>alcance de esta entrega</w:t>
      </w: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, el trabajo se concentra en las Fases 1 y 2 del proyecto, abordando la definición de la problemática y sus objetivos, la configuración del entorno reproducible, la exploración inicial del conjunto de datos, la identificación y tratamiento de problemas de calidad, la transformación de variables y la validación técnica del 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dataset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 resultante. Los análisis estadísticos bivariados y multivariados, las visualizaciones analíticas avanzadas y la integración de conclusiones finales quedan proyectados para las Fases 3 y 4.</w:t>
      </w:r>
    </w:p>
    <w:p w14:paraId="458DEE15" w14:textId="1EF6EB4F" w:rsidR="00E34664" w:rsidRPr="00317DE7" w:rsidRDefault="00E34664" w:rsidP="00FA6CBE">
      <w:pPr>
        <w:jc w:val="both"/>
        <w:rPr>
          <w:rFonts w:ascii="Arial" w:hAnsi="Arial"/>
          <w:sz w:val="24"/>
          <w:szCs w:val="24"/>
        </w:rPr>
      </w:pPr>
    </w:p>
    <w:p w14:paraId="692B69EE" w14:textId="1756940F" w:rsidR="00CA5E99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" w:name="_Toc240403223"/>
      <w:proofErr w:type="spellStart"/>
      <w:r w:rsidRPr="00DB2B43">
        <w:rPr>
          <w:rFonts w:ascii="Arial" w:hAnsi="Arial" w:cs="Arial"/>
          <w:color w:val="auto"/>
          <w:szCs w:val="24"/>
        </w:rPr>
        <w:t>Conexión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explícita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con las </w:t>
      </w:r>
      <w:proofErr w:type="spellStart"/>
      <w:r w:rsidRPr="00DB2B43">
        <w:rPr>
          <w:rFonts w:ascii="Arial" w:hAnsi="Arial" w:cs="Arial"/>
          <w:color w:val="auto"/>
          <w:szCs w:val="24"/>
        </w:rPr>
        <w:t>fases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F1–F4 del </w:t>
      </w:r>
      <w:r w:rsidR="006F458A">
        <w:rPr>
          <w:rFonts w:ascii="Arial" w:hAnsi="Arial" w:cs="Arial"/>
          <w:color w:val="auto"/>
          <w:szCs w:val="24"/>
        </w:rPr>
        <w:t>Proyecto</w:t>
      </w:r>
      <w:bookmarkEnd w:id="1"/>
    </w:p>
    <w:p w14:paraId="472AB8D9" w14:textId="77777777" w:rsidR="006F458A" w:rsidRPr="00DB2B43" w:rsidRDefault="006F458A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</w:p>
    <w:p w14:paraId="418BD07D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>El proyecto se articula en una progresión metodológica de cuatro fases interdependientes:</w:t>
      </w:r>
    </w:p>
    <w:p w14:paraId="2BCA1D02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Fase 1 (Implementada): Delimitación de la problemática, preguntas de análisis, objetivos, </w:t>
      </w:r>
      <w:r w:rsidRPr="00DB2B43">
        <w:rPr>
          <w:rFonts w:ascii="Arial" w:hAnsi="Arial" w:cs="Arial"/>
          <w:sz w:val="24"/>
          <w:szCs w:val="24"/>
          <w:lang w:val="es-CL"/>
        </w:rPr>
        <w:lastRenderedPageBreak/>
        <w:t>supuestos teóricos, diseño de la arquitectura modular y configuración del entorno reproducible verificado.</w:t>
      </w:r>
    </w:p>
    <w:p w14:paraId="03C7A8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Fase 2 (Implementada): Diagnóstico exploratorio de calidad de datos, desarrollo del pipeline modular de limpieza (exclusión de columnas nulas y neutralización de fechas anómalas año 1900), transformaciones de tipos, validación técnica automatizada y exportación del 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 xml:space="preserve"> preprocesado a data/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>/.</w:t>
      </w:r>
    </w:p>
    <w:p w14:paraId="1D8A8C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3 (Proyectada): Análisis exploratorio bivariado y multivariado, modelación estadística de tasas de adjudicación y visualización analítica avanzada con librerías científicas de Python.</w:t>
      </w:r>
    </w:p>
    <w:p w14:paraId="672F7F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4 (Proyectada): Consolidación de hallazgos, evaluación del impacto de las políticas de compra pública en el sector salud, discusión de limitaciones y formulación de recomendaciones finales.</w:t>
      </w:r>
    </w:p>
    <w:p w14:paraId="243CED5C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br w:type="page"/>
      </w:r>
    </w:p>
    <w:p w14:paraId="5C076F90" w14:textId="695C520A" w:rsidR="00E2439E" w:rsidRPr="006F458A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bookmarkStart w:id="2" w:name="_Toc240403224"/>
      <w:r w:rsidRPr="006F458A">
        <w:rPr>
          <w:rFonts w:ascii="Arial" w:hAnsi="Arial" w:cs="Arial"/>
          <w:color w:val="auto"/>
          <w:sz w:val="24"/>
          <w:szCs w:val="24"/>
        </w:rPr>
        <w:lastRenderedPageBreak/>
        <w:t>II</w:t>
      </w:r>
      <w:r w:rsidRPr="006F458A">
        <w:rPr>
          <w:rFonts w:ascii="Arial" w:hAnsi="Arial" w:cs="Arial"/>
          <w:color w:val="auto"/>
          <w:sz w:val="24"/>
          <w:szCs w:val="24"/>
          <w:lang w:val="es-CL"/>
        </w:rPr>
        <w:t xml:space="preserve">. Definición de la problemática y objetivos del </w:t>
      </w:r>
      <w:r w:rsidR="00E2439E" w:rsidRPr="006F458A">
        <w:rPr>
          <w:rFonts w:ascii="Arial" w:hAnsi="Arial" w:cs="Arial"/>
          <w:color w:val="auto"/>
          <w:sz w:val="24"/>
          <w:szCs w:val="24"/>
          <w:lang w:val="es-CL"/>
        </w:rPr>
        <w:t>Proyecto</w:t>
      </w:r>
      <w:bookmarkEnd w:id="2"/>
    </w:p>
    <w:p w14:paraId="6003B4A8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</w:pPr>
    </w:p>
    <w:p w14:paraId="282A1A82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La adquisición pública de bienes y servicios médicos exige maximizar la transparencia y la libre concurrencia de proveedores. No obstante, surge la interrogante de si la probabilidad de adjudicación de una oferta difiere sistemáticamente en función de la capacidad económica de la empresa oferente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TamanoProveedor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 xml:space="preserve">: Micro, Pequeña, Mediana, Grande o 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NoClasificado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) y de la envergadura del mecanismo contractual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TipoLicitacion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: pública o privada, según rangos en UTM).</w:t>
      </w:r>
    </w:p>
    <w:p w14:paraId="7247AE1D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Pregunta central de investigación: ¿Cómo varía la proporción de ofertas registradas como ganadoras según el tipo de licitación y el tamaño del proveedor en el reporte del sector Salud de marzo de 2026?</w:t>
      </w:r>
    </w:p>
    <w:p w14:paraId="3576E0D4" w14:textId="193A6A6D" w:rsidR="00E2439E" w:rsidRPr="00DB2B43" w:rsidRDefault="00B94BDF" w:rsidP="00DB2B43">
      <w:pPr>
        <w:pStyle w:val="Ttulo21"/>
        <w:jc w:val="both"/>
        <w:rPr>
          <w:rFonts w:ascii="Arial" w:hAnsi="Arial" w:cs="Arial"/>
          <w:b w:val="0"/>
          <w:bCs/>
          <w:color w:val="auto"/>
          <w:szCs w:val="24"/>
          <w:lang w:val="es-CL"/>
        </w:rPr>
      </w:pPr>
      <w:bookmarkStart w:id="3" w:name="_Toc240403225"/>
      <w:r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 xml:space="preserve">Preguntas específicas del </w:t>
      </w:r>
      <w:r w:rsidR="006F458A"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>estudio</w:t>
      </w:r>
      <w:bookmarkEnd w:id="3"/>
    </w:p>
    <w:p w14:paraId="773EA8B4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¿Cuál es la distribución de ofertas e ítems licitados entre las diferentes categorías de tamaño de proveedor y tipos de licitación pública?</w:t>
      </w:r>
    </w:p>
    <w:p w14:paraId="39DAF34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porcentaje de ofertas resulta efectivamente adjudicado dentro de cada estrato empresarial y cómo influye el estado administrativo del proceso (adjudicada vs. desierta, revocada o cerrada)?</w:t>
      </w:r>
    </w:p>
    <w:p w14:paraId="1FB3EE9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inconsistencias estructurales, columnas vacías o codificaciones anómalas (fechas en 1900, categorías no clasificadas) condicionan la validez de las métricas de éxito en los datos de compras públicas?</w:t>
      </w:r>
    </w:p>
    <w:p w14:paraId="54D5041A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4" w:name="_Toc240403226"/>
      <w:r w:rsidRPr="00DB2B43">
        <w:rPr>
          <w:rFonts w:ascii="Arial" w:hAnsi="Arial" w:cs="Arial"/>
          <w:color w:val="auto"/>
          <w:szCs w:val="24"/>
          <w:lang w:val="es-CL"/>
        </w:rPr>
        <w:t>Objetivos del proyecto</w:t>
      </w:r>
      <w:bookmarkEnd w:id="4"/>
    </w:p>
    <w:p w14:paraId="0B0B2CD8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 General: Analizar descriptivamente las diferencias en la proporción de ofertas ganadoras según el tipo de licitación y el tamaño del proveedor en el sector Salud durante marzo de 2026, mediante un flujo de ingeniería de datos y programación científica completamente reproducible y validado.</w:t>
      </w:r>
    </w:p>
    <w:p w14:paraId="46C4145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Objetivos Específicos:</w:t>
      </w:r>
    </w:p>
    <w:p w14:paraId="6B4C239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1. Delimitar conceptualmente la unidad de análisis, variables clave, restricciones y configurar un entorno reproducible trazable bajo control de versiones (F1).</w:t>
      </w:r>
    </w:p>
    <w:p w14:paraId="62FE529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2. Caracterizar la estructura de las 74 variables, diseñar e implementar un pipeline modular de limpieza y transformación de datos, y verificar su robustez técnica mediante pruebas de casos límite y excepciones (F2).</w:t>
      </w:r>
    </w:p>
    <w:p w14:paraId="51B332B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3. Construir distribuciones, cruces de contingencia y visualizaciones efectivas que revelen la brecha de éxito entre micro, pequeñas, medianas y grandes empresas (F3).</w:t>
      </w:r>
    </w:p>
    <w:p w14:paraId="62AD515F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4. Integrar los resultados técnicos, evidencias de ejecución y análisis crítico en un reporte formal orientado a la toma de decisiones en políticas públicas de abastecimiento sanitario (F4).</w:t>
      </w:r>
    </w:p>
    <w:p w14:paraId="2E17A0E0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5" w:name="_Toc240403227"/>
      <w:r w:rsidRPr="00DB2B43">
        <w:rPr>
          <w:rFonts w:ascii="Arial" w:hAnsi="Arial" w:cs="Arial"/>
          <w:color w:val="auto"/>
          <w:szCs w:val="24"/>
          <w:lang w:val="es-CL"/>
        </w:rPr>
        <w:t>Alcance, restricciones y supuestos analíticos</w:t>
      </w:r>
      <w:bookmarkEnd w:id="5"/>
    </w:p>
    <w:p w14:paraId="5B837269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El análisis se define bajo los siguientes supuestos y límites metodológicos:</w:t>
      </w:r>
    </w:p>
    <w:p w14:paraId="5CC9197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Enfoque descriptivo: Las asociaciones encontradas describen comportamientos del periodo </w:t>
      </w:r>
      <w:r w:rsidRPr="00DB2B43">
        <w:rPr>
          <w:rFonts w:ascii="Arial" w:hAnsi="Arial" w:cs="Arial"/>
          <w:sz w:val="24"/>
          <w:szCs w:val="24"/>
          <w:lang w:val="es-CL"/>
        </w:rPr>
        <w:lastRenderedPageBreak/>
        <w:t>observado y no implican causalidad ni juicio sobre la eficiencia contractual.</w:t>
      </w:r>
    </w:p>
    <w:p w14:paraId="29E28C40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Cobertura temporal y geográfica: El archivo comprende ofertas del reporte de marzo de 2026 del sector Salud chileno, con publicaciones ocurridas entre el 15 de enero y el 25 de marzo de 2026 y cierres concentrados en marzo de 2026.</w:t>
      </w:r>
    </w:p>
    <w:p w14:paraId="732B388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Granularidad de fila: Cada observación representa una oferta para una línea de producto; por ende, varias filas pueden corresponder a una misma licitación y proveedor.</w:t>
      </w:r>
    </w:p>
    <w:p w14:paraId="5C25A07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Métrica de adjudicación: La proporción de éxito se calcula como el total de ofertas ganadoras dividido por el total de ofertas con resultado válido en procesos formalmente concluidos, informando explícitamente los denominadores.</w:t>
      </w:r>
    </w:p>
    <w:p w14:paraId="2A89B8E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br w:type="page"/>
      </w:r>
    </w:p>
    <w:p w14:paraId="0086DD7F" w14:textId="4053EF0B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240403228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III.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Herramientas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científicas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reproducibilidad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control de </w:t>
      </w:r>
      <w:r w:rsidR="006F458A">
        <w:rPr>
          <w:rFonts w:ascii="Arial" w:hAnsi="Arial" w:cs="Arial"/>
          <w:color w:val="auto"/>
          <w:sz w:val="24"/>
          <w:szCs w:val="24"/>
        </w:rPr>
        <w:t>versions</w:t>
      </w:r>
      <w:bookmarkEnd w:id="6"/>
    </w:p>
    <w:p w14:paraId="49112993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50EBFC5F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Para asegurar que cualquier investigador pueda replicar íntegramente los resultados en un entorno computacional independiente (Samuel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2024; Universidad Andrés Bello, 2026), se configuró un entorno virtual aislado (.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venv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) bajo Python 3.12.14 en arquitectura x64.</w:t>
      </w:r>
    </w:p>
    <w:tbl>
      <w:tblPr>
        <w:tblStyle w:val="Tablaconcuadrcula1clara-nfasis1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CA5E99" w:rsidRPr="00DB2B43" w14:paraId="4FF7FC8E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1F497D" w:themeFill="text2"/>
          </w:tcPr>
          <w:p w14:paraId="083D9AF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Herramienta / Librería</w:t>
            </w:r>
          </w:p>
        </w:tc>
        <w:tc>
          <w:tcPr>
            <w:tcW w:w="2016" w:type="dxa"/>
            <w:shd w:val="clear" w:color="auto" w:fill="1F497D" w:themeFill="text2"/>
          </w:tcPr>
          <w:p w14:paraId="3E6DA0A3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Versión verificada</w:t>
            </w:r>
          </w:p>
        </w:tc>
        <w:tc>
          <w:tcPr>
            <w:tcW w:w="5472" w:type="dxa"/>
            <w:shd w:val="clear" w:color="auto" w:fill="1F497D" w:themeFill="text2"/>
          </w:tcPr>
          <w:p w14:paraId="0EB85094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Función en el proyecto</w:t>
            </w:r>
          </w:p>
        </w:tc>
      </w:tr>
      <w:tr w:rsidR="00CA5E99" w:rsidRPr="00DB2B43" w14:paraId="2B6F3D1C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7A0B5A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Python</w:t>
            </w:r>
          </w:p>
        </w:tc>
        <w:tc>
          <w:tcPr>
            <w:tcW w:w="2016" w:type="dxa"/>
          </w:tcPr>
          <w:p w14:paraId="6B66320B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3.12.14</w:t>
            </w:r>
          </w:p>
        </w:tc>
        <w:tc>
          <w:tcPr>
            <w:tcW w:w="5472" w:type="dxa"/>
          </w:tcPr>
          <w:p w14:paraId="4A9AB06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Intérprete base de ejecución estructurada y scripting modular.</w:t>
            </w:r>
          </w:p>
        </w:tc>
      </w:tr>
      <w:tr w:rsidR="00CA5E99" w:rsidRPr="00DB2B43" w14:paraId="32802F42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5882A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pandas</w:t>
            </w:r>
          </w:p>
        </w:tc>
        <w:tc>
          <w:tcPr>
            <w:tcW w:w="2016" w:type="dxa"/>
          </w:tcPr>
          <w:p w14:paraId="33C5B88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3.0.1</w:t>
            </w:r>
          </w:p>
        </w:tc>
        <w:tc>
          <w:tcPr>
            <w:tcW w:w="5472" w:type="dxa"/>
          </w:tcPr>
          <w:p w14:paraId="43446915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Manipulación tabular, preprocesamiento, casting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cálculo de frecuencias.</w:t>
            </w:r>
          </w:p>
        </w:tc>
      </w:tr>
      <w:tr w:rsidR="00CA5E99" w:rsidRPr="00DB2B43" w14:paraId="2F1A61AD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AA1CE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2016" w:type="dxa"/>
          </w:tcPr>
          <w:p w14:paraId="2C815759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2.3.5</w:t>
            </w:r>
          </w:p>
        </w:tc>
        <w:tc>
          <w:tcPr>
            <w:tcW w:w="5472" w:type="dxa"/>
          </w:tcPr>
          <w:p w14:paraId="7900CF37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Operaciones vectorizadas, manejo de valores nulos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np.nan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y aserciones numéricas.</w:t>
            </w:r>
          </w:p>
        </w:tc>
      </w:tr>
      <w:tr w:rsidR="00CA5E99" w:rsidRPr="00DB2B43" w14:paraId="01C679B1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221E4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JupyterLab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ipykernel</w:t>
            </w:r>
            <w:proofErr w:type="spellEnd"/>
          </w:p>
        </w:tc>
        <w:tc>
          <w:tcPr>
            <w:tcW w:w="2016" w:type="dxa"/>
          </w:tcPr>
          <w:p w14:paraId="09487E6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4.6.3 / 7.3.0</w:t>
            </w:r>
          </w:p>
        </w:tc>
        <w:tc>
          <w:tcPr>
            <w:tcW w:w="5472" w:type="dxa"/>
          </w:tcPr>
          <w:p w14:paraId="3D264F8C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Entorno interactivo reproducible que integra narrativa técnica, código y salidas.</w:t>
            </w:r>
          </w:p>
        </w:tc>
      </w:tr>
      <w:tr w:rsidR="00CA5E99" w:rsidRPr="00DB2B43" w14:paraId="37D74321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63727E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Git / GitHub</w:t>
            </w:r>
          </w:p>
        </w:tc>
        <w:tc>
          <w:tcPr>
            <w:tcW w:w="2016" w:type="dxa"/>
          </w:tcPr>
          <w:p w14:paraId="7D01E5D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2.x</w:t>
            </w:r>
          </w:p>
        </w:tc>
        <w:tc>
          <w:tcPr>
            <w:tcW w:w="5472" w:type="dxa"/>
          </w:tcPr>
          <w:p w14:paraId="4CDC3B2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Sistema distribuido de control de versiones y trazabilidad colaborativa.</w:t>
            </w:r>
          </w:p>
        </w:tc>
      </w:tr>
      <w:tr w:rsidR="00CA5E99" w:rsidRPr="00DB2B43" w14:paraId="6F668414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83726A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nbclient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nbformat</w:t>
            </w:r>
            <w:proofErr w:type="spellEnd"/>
          </w:p>
        </w:tc>
        <w:tc>
          <w:tcPr>
            <w:tcW w:w="2016" w:type="dxa"/>
          </w:tcPr>
          <w:p w14:paraId="56D28A17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0.11.0 / 5.11.1</w:t>
            </w:r>
          </w:p>
        </w:tc>
        <w:tc>
          <w:tcPr>
            <w:tcW w:w="5472" w:type="dxa"/>
          </w:tcPr>
          <w:p w14:paraId="660881C0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Automatización de ejecución desatendida y verificación técnica de notebooks.</w:t>
            </w:r>
          </w:p>
        </w:tc>
      </w:tr>
    </w:tbl>
    <w:p w14:paraId="4AE5F198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727237A5" w14:textId="77777777" w:rsidR="00CA5E99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7" w:name="_Toc240403229"/>
      <w:proofErr w:type="spellStart"/>
      <w:r w:rsidRPr="00DB2B43">
        <w:rPr>
          <w:rFonts w:ascii="Arial" w:hAnsi="Arial" w:cs="Arial"/>
          <w:color w:val="auto"/>
          <w:szCs w:val="24"/>
        </w:rPr>
        <w:t>Arquitectura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 y </w:t>
      </w:r>
      <w:proofErr w:type="spellStart"/>
      <w:r w:rsidRPr="00DB2B43">
        <w:rPr>
          <w:rFonts w:ascii="Arial" w:hAnsi="Arial" w:cs="Arial"/>
          <w:color w:val="auto"/>
          <w:szCs w:val="24"/>
        </w:rPr>
        <w:t>estructura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repositorio</w:t>
      </w:r>
      <w:bookmarkEnd w:id="7"/>
      <w:proofErr w:type="spellEnd"/>
    </w:p>
    <w:p w14:paraId="79B27235" w14:textId="77777777" w:rsidR="006F458A" w:rsidRPr="00DB2B43" w:rsidRDefault="006F458A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</w:p>
    <w:p w14:paraId="22CDB692" w14:textId="77777777" w:rsidR="00CA5E99" w:rsidRPr="006F458A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6F458A">
        <w:rPr>
          <w:rFonts w:ascii="Arial" w:hAnsi="Arial"/>
          <w:color w:val="auto"/>
          <w:sz w:val="24"/>
          <w:szCs w:val="24"/>
          <w:lang w:val="es-CL"/>
        </w:rPr>
        <w:t xml:space="preserve">El proyecto adopta el principio de separación de responsabilidades (McKinney, 2022). La lógica computacional reusable reside en el módulo </w:t>
      </w:r>
      <w:proofErr w:type="spellStart"/>
      <w:r w:rsidRPr="006F458A">
        <w:rPr>
          <w:rFonts w:ascii="Arial" w:hAnsi="Arial"/>
          <w:color w:val="auto"/>
          <w:sz w:val="24"/>
          <w:szCs w:val="24"/>
          <w:lang w:val="es-CL"/>
        </w:rPr>
        <w:t>src</w:t>
      </w:r>
      <w:proofErr w:type="spellEnd"/>
      <w:r w:rsidRPr="006F458A">
        <w:rPr>
          <w:rFonts w:ascii="Arial" w:hAnsi="Arial"/>
          <w:color w:val="auto"/>
          <w:sz w:val="24"/>
          <w:szCs w:val="24"/>
          <w:lang w:val="es-CL"/>
        </w:rPr>
        <w:t>/proyecto.py, mientras que los cuadernos interactivos F1/F1_Definición.ipynb y F2/F2_Preprocesamiento.ipynb invocan estas funciones y presentan la narrativa analítica:</w:t>
      </w:r>
    </w:p>
    <w:p w14:paraId="48E1BBCE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src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/proyecto.py: Contiene funciones puras para registro de versiones, cálculo de huellas SHA-256, lectura con contrato de esquema, diagnóstico EDA, pipeline de limpieza y suite de validación.</w:t>
      </w:r>
    </w:p>
    <w:p w14:paraId="16EEB397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 xml:space="preserve">data/raw/: Almacena el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 original licitaciones_salud_marzo_2026.csv (68,96 MB) con hash inmutable SHA-256.</w:t>
      </w:r>
    </w:p>
    <w:p w14:paraId="5E6C74F5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>data/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/: Aloja el producto derivado limpio licitaciones_salud_marzo_2026_procesado.csv listo para análisis analítico.</w:t>
      </w:r>
    </w:p>
    <w:p w14:paraId="01CFB153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>evidencias/: Conserva los registros estructurados JSON (F1_ejecucion.json y F2_ejecucion.json) emitidos tras ejecuciones exitosas.</w:t>
      </w:r>
    </w:p>
    <w:p w14:paraId="17D27A39" w14:textId="77777777" w:rsidR="00CA5E99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docs/: </w:t>
      </w:r>
      <w:proofErr w:type="spellStart"/>
      <w:r w:rsidRPr="00DB2B43">
        <w:rPr>
          <w:rFonts w:ascii="Arial" w:hAnsi="Arial" w:cs="Arial"/>
          <w:sz w:val="24"/>
          <w:szCs w:val="24"/>
        </w:rPr>
        <w:t>Reúne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informe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integrado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Word/PDF y el </w:t>
      </w:r>
      <w:proofErr w:type="spellStart"/>
      <w:r w:rsidRPr="00DB2B43">
        <w:rPr>
          <w:rFonts w:ascii="Arial" w:hAnsi="Arial" w:cs="Arial"/>
          <w:sz w:val="24"/>
          <w:szCs w:val="24"/>
        </w:rPr>
        <w:t>modelo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DB2B43">
        <w:rPr>
          <w:rFonts w:ascii="Arial" w:hAnsi="Arial" w:cs="Arial"/>
          <w:sz w:val="24"/>
          <w:szCs w:val="24"/>
        </w:rPr>
        <w:t>técnico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draw.io.</w:t>
      </w:r>
    </w:p>
    <w:p w14:paraId="39CB305F" w14:textId="77777777" w:rsidR="006F458A" w:rsidRPr="00DB2B43" w:rsidRDefault="006F458A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0A7919D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8" w:name="_Toc240403230"/>
      <w:proofErr w:type="spellStart"/>
      <w:r w:rsidRPr="00DB2B43">
        <w:rPr>
          <w:rFonts w:ascii="Arial" w:hAnsi="Arial" w:cs="Arial"/>
          <w:color w:val="auto"/>
          <w:szCs w:val="24"/>
        </w:rPr>
        <w:lastRenderedPageBreak/>
        <w:t>Gestión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colaborativa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Cs w:val="24"/>
        </w:rPr>
        <w:t>versiones</w:t>
      </w:r>
      <w:bookmarkEnd w:id="8"/>
      <w:proofErr w:type="spellEnd"/>
    </w:p>
    <w:p w14:paraId="3789E14B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p w14:paraId="438D7901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rPr>
          <w:rFonts w:ascii="Arial" w:hAnsi="Arial"/>
          <w:color w:val="auto"/>
          <w:sz w:val="24"/>
          <w:szCs w:val="24"/>
        </w:rPr>
        <w:t xml:space="preserve"> 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1177"/>
        <w:gridCol w:w="2463"/>
        <w:gridCol w:w="6286"/>
      </w:tblGrid>
      <w:tr w:rsidR="006F458A" w:rsidRPr="0012116B" w14:paraId="35930BB3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1F497D" w:themeFill="text2"/>
            <w:hideMark/>
          </w:tcPr>
          <w:p w14:paraId="2567F774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color w:val="auto"/>
                <w:sz w:val="24"/>
                <w:szCs w:val="24"/>
              </w:rPr>
              <w:t>Commit</w:t>
            </w:r>
            <w:proofErr w:type="spellEnd"/>
          </w:p>
        </w:tc>
        <w:tc>
          <w:tcPr>
            <w:tcW w:w="2463" w:type="dxa"/>
            <w:shd w:val="clear" w:color="auto" w:fill="1F497D" w:themeFill="text2"/>
            <w:hideMark/>
          </w:tcPr>
          <w:p w14:paraId="208CD9AF" w14:textId="77777777" w:rsidR="006F458A" w:rsidRPr="0012116B" w:rsidRDefault="006F458A" w:rsidP="00A65DBA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color w:val="auto"/>
                <w:sz w:val="24"/>
                <w:szCs w:val="24"/>
              </w:rPr>
              <w:t>Autor registrado</w:t>
            </w:r>
          </w:p>
        </w:tc>
        <w:tc>
          <w:tcPr>
            <w:tcW w:w="0" w:type="auto"/>
            <w:shd w:val="clear" w:color="auto" w:fill="1F497D" w:themeFill="text2"/>
            <w:hideMark/>
          </w:tcPr>
          <w:p w14:paraId="5687DF6C" w14:textId="77777777" w:rsidR="006F458A" w:rsidRPr="0012116B" w:rsidRDefault="006F458A" w:rsidP="00A65DBA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color w:val="auto"/>
                <w:sz w:val="24"/>
                <w:szCs w:val="24"/>
              </w:rPr>
              <w:t>Hito técnico alcanzado</w:t>
            </w:r>
          </w:p>
        </w:tc>
      </w:tr>
      <w:tr w:rsidR="006F458A" w:rsidRPr="0012116B" w14:paraId="39F89A5E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4A738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03bf771</w:t>
            </w:r>
          </w:p>
        </w:tc>
        <w:tc>
          <w:tcPr>
            <w:tcW w:w="2463" w:type="dxa"/>
            <w:hideMark/>
          </w:tcPr>
          <w:p w14:paraId="2FFFFD57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0AA6BEF6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Mejoras de redacción y consistencia general del informe técnico.</w:t>
            </w:r>
          </w:p>
        </w:tc>
      </w:tr>
      <w:tr w:rsidR="006F458A" w:rsidRPr="0012116B" w14:paraId="377FE763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6C811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57cca6</w:t>
            </w:r>
          </w:p>
        </w:tc>
        <w:tc>
          <w:tcPr>
            <w:tcW w:w="2463" w:type="dxa"/>
            <w:hideMark/>
          </w:tcPr>
          <w:p w14:paraId="6375E554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3CEBA759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Implementación de one-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hot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encoding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, refactorización de métodos bajo principio DRY y mejoras de documentación.</w:t>
            </w:r>
          </w:p>
        </w:tc>
      </w:tr>
      <w:tr w:rsidR="006F458A" w:rsidRPr="0012116B" w14:paraId="34CE12C4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C8394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ef00f72</w:t>
            </w:r>
          </w:p>
        </w:tc>
        <w:tc>
          <w:tcPr>
            <w:tcW w:w="2463" w:type="dxa"/>
            <w:hideMark/>
          </w:tcPr>
          <w:p w14:paraId="66B08A99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0" w:type="auto"/>
            <w:hideMark/>
          </w:tcPr>
          <w:p w14:paraId="1DC1F483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Corrección general del formato del informe e incorporación de versión descargable del mapa conceptual.</w:t>
            </w:r>
          </w:p>
        </w:tc>
      </w:tr>
      <w:tr w:rsidR="006F458A" w:rsidRPr="0012116B" w14:paraId="3FD30C24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B2C67D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ecd6aa2</w:t>
            </w:r>
          </w:p>
        </w:tc>
        <w:tc>
          <w:tcPr>
            <w:tcW w:w="2463" w:type="dxa"/>
            <w:hideMark/>
          </w:tcPr>
          <w:p w14:paraId="457588B8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490AD67B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Mejoras en la estructura y contenido del mapa conceptual técnico.</w:t>
            </w:r>
          </w:p>
        </w:tc>
      </w:tr>
      <w:tr w:rsidR="006F458A" w:rsidRPr="0012116B" w14:paraId="381BA4C6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5AAA8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78ee9e8</w:t>
            </w:r>
          </w:p>
        </w:tc>
        <w:tc>
          <w:tcPr>
            <w:tcW w:w="2463" w:type="dxa"/>
            <w:hideMark/>
          </w:tcPr>
          <w:p w14:paraId="08F09FE3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12328B6E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Integración de cambios de la rama desarrollo y sincronización del trabajo colaborativo.</w:t>
            </w:r>
          </w:p>
        </w:tc>
      </w:tr>
      <w:tr w:rsidR="006F458A" w:rsidRPr="0012116B" w14:paraId="41104189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D010C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eef148a</w:t>
            </w:r>
          </w:p>
        </w:tc>
        <w:tc>
          <w:tcPr>
            <w:tcW w:w="2463" w:type="dxa"/>
            <w:hideMark/>
          </w:tcPr>
          <w:p w14:paraId="176DD6EB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0" w:type="auto"/>
            <w:hideMark/>
          </w:tcPr>
          <w:p w14:paraId="6BDAB9A1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Avance y actualización del contenido del informe técnico.</w:t>
            </w:r>
          </w:p>
        </w:tc>
      </w:tr>
      <w:tr w:rsidR="006F458A" w:rsidRPr="0012116B" w14:paraId="075ACD6D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EFBEA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eeed767</w:t>
            </w:r>
          </w:p>
        </w:tc>
        <w:tc>
          <w:tcPr>
            <w:tcW w:w="2463" w:type="dxa"/>
            <w:hideMark/>
          </w:tcPr>
          <w:p w14:paraId="7F02FCFF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30B0BD4C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Modificaciones al mapa conceptual para mejorar su correspondencia con la implementación del proyecto.</w:t>
            </w:r>
          </w:p>
        </w:tc>
      </w:tr>
      <w:tr w:rsidR="006F458A" w:rsidRPr="0012116B" w14:paraId="5E49BA57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786A5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cb49a04</w:t>
            </w:r>
          </w:p>
        </w:tc>
        <w:tc>
          <w:tcPr>
            <w:tcW w:w="2463" w:type="dxa"/>
            <w:hideMark/>
          </w:tcPr>
          <w:p w14:paraId="07453CB0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0635F020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Mejoramiento del diagrama y del flujo de trabajo representado en el mapa conceptual.</w:t>
            </w:r>
          </w:p>
        </w:tc>
      </w:tr>
      <w:tr w:rsidR="006F458A" w:rsidRPr="0012116B" w14:paraId="026DEA47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E76B8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b213be1</w:t>
            </w:r>
          </w:p>
        </w:tc>
        <w:tc>
          <w:tcPr>
            <w:tcW w:w="2463" w:type="dxa"/>
            <w:hideMark/>
          </w:tcPr>
          <w:p w14:paraId="079D45E4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378EF586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Correcciones finales de estructura y contenido del mapa conceptual.</w:t>
            </w:r>
          </w:p>
        </w:tc>
      </w:tr>
      <w:tr w:rsidR="006F458A" w:rsidRPr="0012116B" w14:paraId="360AF1BF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15C0A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116d2bc</w:t>
            </w:r>
          </w:p>
        </w:tc>
        <w:tc>
          <w:tcPr>
            <w:tcW w:w="2463" w:type="dxa"/>
            <w:hideMark/>
          </w:tcPr>
          <w:p w14:paraId="0DF4D8F5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0" w:type="auto"/>
            <w:hideMark/>
          </w:tcPr>
          <w:p w14:paraId="0533FA03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Mejoramiento del informe e incorporación de evidencia de ejecución de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Jupyter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Notebook.</w:t>
            </w:r>
          </w:p>
        </w:tc>
      </w:tr>
      <w:tr w:rsidR="006F458A" w:rsidRPr="0012116B" w14:paraId="40BF0593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9101D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ee2f37f</w:t>
            </w:r>
          </w:p>
        </w:tc>
        <w:tc>
          <w:tcPr>
            <w:tcW w:w="2463" w:type="dxa"/>
            <w:hideMark/>
          </w:tcPr>
          <w:p w14:paraId="741C1FAB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 Garrido (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garridonayadeth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-byte)</w:t>
            </w:r>
          </w:p>
        </w:tc>
        <w:tc>
          <w:tcPr>
            <w:tcW w:w="0" w:type="auto"/>
            <w:hideMark/>
          </w:tcPr>
          <w:p w14:paraId="75F7DBFA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Integración mediante Pull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Request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#6 de los cambios desarrollados en la rama informe.</w:t>
            </w:r>
          </w:p>
        </w:tc>
      </w:tr>
      <w:tr w:rsidR="006F458A" w:rsidRPr="0012116B" w14:paraId="06FBE797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5A6B3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96bffc1</w:t>
            </w:r>
          </w:p>
        </w:tc>
        <w:tc>
          <w:tcPr>
            <w:tcW w:w="2463" w:type="dxa"/>
            <w:hideMark/>
          </w:tcPr>
          <w:p w14:paraId="3A191A1D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0" w:type="auto"/>
            <w:hideMark/>
          </w:tcPr>
          <w:p w14:paraId="700B9264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Incorporación de evidencias de la Fase 2 y mejoramiento de la introducción del informe.</w:t>
            </w:r>
          </w:p>
        </w:tc>
      </w:tr>
      <w:tr w:rsidR="006F458A" w:rsidRPr="0012116B" w14:paraId="64D388BD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036A5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a5b6516</w:t>
            </w:r>
          </w:p>
        </w:tc>
        <w:tc>
          <w:tcPr>
            <w:tcW w:w="2463" w:type="dxa"/>
            <w:hideMark/>
          </w:tcPr>
          <w:p w14:paraId="026D008E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 Garrido (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garridonayadeth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-byte)</w:t>
            </w:r>
          </w:p>
        </w:tc>
        <w:tc>
          <w:tcPr>
            <w:tcW w:w="0" w:type="auto"/>
            <w:hideMark/>
          </w:tcPr>
          <w:p w14:paraId="2ABB0C4C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Integración mediante Pull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Request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#7 de nuevas modificaciones realizadas en la rama informe.</w:t>
            </w:r>
          </w:p>
        </w:tc>
      </w:tr>
    </w:tbl>
    <w:p w14:paraId="2E91742A" w14:textId="662F66F4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D224248" w14:textId="6191B10C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6558186" w14:textId="77777777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9" w:name="_Toc240403231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Diseño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soluciones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algorítmicas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(F2)</w:t>
      </w:r>
      <w:bookmarkEnd w:id="9"/>
    </w:p>
    <w:p w14:paraId="46CD3D2A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2C4D3A72" w14:textId="5D38B474" w:rsidR="006F458A" w:rsidRPr="006F458A" w:rsidRDefault="00B94BDF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6F458A">
        <w:rPr>
          <w:rFonts w:ascii="Arial" w:hAnsi="Arial"/>
          <w:color w:val="auto"/>
          <w:sz w:val="24"/>
          <w:szCs w:val="24"/>
          <w:lang w:val="es-CL"/>
        </w:rP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706EAEA2" w14:textId="77777777" w:rsidR="00CA5E99" w:rsidRPr="006F458A" w:rsidRDefault="00B94BDF" w:rsidP="006F458A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10" w:name="_Toc240403232"/>
      <w:r w:rsidRPr="006F458A">
        <w:rPr>
          <w:rFonts w:ascii="Arial" w:hAnsi="Arial" w:cs="Arial"/>
          <w:color w:val="auto"/>
          <w:szCs w:val="24"/>
          <w:lang w:val="es-CL"/>
        </w:rPr>
        <w:t>A. Codificación funcional modular</w:t>
      </w:r>
      <w:bookmarkEnd w:id="10"/>
    </w:p>
    <w:p w14:paraId="612E7C87" w14:textId="77777777" w:rsidR="00CA5E99" w:rsidRPr="006F458A" w:rsidRDefault="00B94BDF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6F458A">
        <w:rPr>
          <w:rFonts w:ascii="Arial" w:hAnsi="Arial"/>
          <w:color w:val="auto"/>
          <w:sz w:val="24"/>
          <w:szCs w:val="24"/>
          <w:lang w:val="es-CL"/>
        </w:rPr>
        <w:t>La ingeniería de datos se implementó a través de funciones estructuradas en src/proyecto.py con parámetros explícitos, manejo de excepciones y validación de precondiciones:</w:t>
      </w:r>
    </w:p>
    <w:p w14:paraId="4F6C34AA" w14:textId="77777777" w:rsidR="00CA5E99" w:rsidRPr="006F458A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resumen_exploracion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(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df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): Computa el inventario de filas, columnas, variables sin nulos, columnas con nulos parciales, columnas 100% vacías y campos constantes.</w:t>
      </w:r>
    </w:p>
    <w:p w14:paraId="052D2DA3" w14:textId="77777777" w:rsidR="00CA5E99" w:rsidRPr="006F458A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>limpiar_datos_f2(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df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,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excluir_vacias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=True,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normalizar_texto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=True): Ejecuta las transformaciones de limpieza sobre una copia profunda del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DataFrame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, asegurando la inmutabilidad de la entrada.</w:t>
      </w:r>
    </w:p>
    <w:p w14:paraId="313C6B75" w14:textId="77777777" w:rsidR="00CA5E99" w:rsidRPr="006F458A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validar_dataset_procesado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(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df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): Ejecuta un conjunto de 6 aserciones lógicas que comprueban la ausencia de columnas vacías, completitud de variables clave, ausencia de fechas de 1900 e integridad de filas.</w:t>
      </w:r>
    </w:p>
    <w:p w14:paraId="75F3258B" w14:textId="77777777" w:rsidR="00CA5E99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exportar_datos_procesados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(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df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,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ruta_salida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): Serializa el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 limpio a CSV e informa su peso en MB y su huella criptográfica SHA-256.</w:t>
      </w:r>
    </w:p>
    <w:p w14:paraId="75921290" w14:textId="77777777" w:rsidR="006F458A" w:rsidRPr="006F458A" w:rsidRDefault="006F458A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</w:p>
    <w:p w14:paraId="561DD2A8" w14:textId="48DAC3C0" w:rsidR="006F458A" w:rsidRPr="006F458A" w:rsidRDefault="00B94BDF" w:rsidP="006F458A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11" w:name="_Toc240403233"/>
      <w:r w:rsidRPr="006F458A">
        <w:rPr>
          <w:rFonts w:ascii="Arial" w:hAnsi="Arial" w:cs="Arial"/>
          <w:color w:val="auto"/>
          <w:szCs w:val="24"/>
          <w:lang w:val="es-CL"/>
        </w:rPr>
        <w:t>B. Preprocesamiento, transformaciones y tratamiento de NA</w:t>
      </w:r>
      <w:bookmarkEnd w:id="11"/>
    </w:p>
    <w:p w14:paraId="31AD5D9C" w14:textId="77777777" w:rsidR="00CA5E99" w:rsidRDefault="00B94BDF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6F458A">
        <w:rPr>
          <w:rFonts w:ascii="Arial" w:hAnsi="Arial"/>
          <w:color w:val="auto"/>
          <w:sz w:val="24"/>
          <w:szCs w:val="24"/>
          <w:lang w:val="es-CL"/>
        </w:rPr>
        <w:t>El análisis exploratorio de las 74 variables iniciales reveló anomalías estructurales que fueron intervenidas con criterios explícitos y reproducibles:</w:t>
      </w:r>
    </w:p>
    <w:p w14:paraId="4A55BA0F" w14:textId="77777777" w:rsidR="006F458A" w:rsidRPr="006F458A" w:rsidRDefault="006F458A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633"/>
        <w:gridCol w:w="2470"/>
        <w:gridCol w:w="2714"/>
      </w:tblGrid>
      <w:tr w:rsidR="00CA5E99" w:rsidRPr="00DB2B43" w14:paraId="5CBD5A0F" w14:textId="77777777" w:rsidTr="006F458A">
        <w:trPr>
          <w:cantSplit/>
          <w:tblHeader/>
          <w:jc w:val="center"/>
        </w:trPr>
        <w:tc>
          <w:tcPr>
            <w:tcW w:w="2263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ECE6F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Variable o Componente</w:t>
            </w:r>
          </w:p>
        </w:tc>
        <w:tc>
          <w:tcPr>
            <w:tcW w:w="2633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655B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Problema detectado</w:t>
            </w:r>
          </w:p>
        </w:tc>
        <w:tc>
          <w:tcPr>
            <w:tcW w:w="2470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56D6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Tratamiento aplicado en F2</w:t>
            </w:r>
          </w:p>
        </w:tc>
        <w:tc>
          <w:tcPr>
            <w:tcW w:w="2714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F247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Justificación metodológica</w:t>
            </w:r>
          </w:p>
        </w:tc>
      </w:tr>
      <w:tr w:rsidR="00CA5E99" w:rsidRPr="00DB2B43" w14:paraId="4BB36261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34D5E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LicitacionBaseTipo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ContratoRenovable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UnidadTiempoRenovacion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FD53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100% de valores nulos (44.226 filas vacías).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A2887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Exclusión directa del conjunto de datos.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5980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 aportan variabilidad ni información a ninguna etapa del análisis.</w:t>
            </w:r>
          </w:p>
        </w:tc>
      </w:tr>
      <w:tr w:rsidR="00CA5E99" w:rsidRPr="00DB2B43" w14:paraId="05896237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D2074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FechaEstimadaEvaluacionOfertas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6DA8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7.613 filas registran fechas del año 1900 (1900-01-11, etc.).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046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Conversión sistemática a NaT.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5689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Son fechas anómalas por defecto del sistema origen (año 1900); utilizarlas distorsionaría el cómputo de plazos.</w:t>
            </w:r>
          </w:p>
        </w:tc>
      </w:tr>
      <w:tr w:rsidR="00CA5E99" w:rsidRPr="00DB2B43" w14:paraId="4500C04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97BC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lastRenderedPageBreak/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FechaAdjudicacion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F143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Almacenadas como cadenas de texto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str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96F99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Casting a datetime64[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] mediante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pd.to_datetime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1F99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Habilita operaciones temporales y cómputo de plazos administrativos.</w:t>
            </w:r>
          </w:p>
        </w:tc>
      </w:tr>
      <w:tr w:rsidR="00CA5E99" w:rsidRPr="00DB2B43" w14:paraId="07612505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CC33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TamanoProveedor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954D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3.410 ofertas registran la etiqueta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8A9B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Preservación explícita como categoría separada.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4147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Imputar arbitrariamente distorsionaría la representación real de empresas en compras públicas.</w:t>
            </w:r>
          </w:p>
        </w:tc>
      </w:tr>
      <w:tr w:rsidR="00CA5E99" w:rsidRPr="00DB2B43" w14:paraId="35E5535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D5EEE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vs.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EstadoLicitacion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C108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Ofertas en licitaciones desiertas o revocadas figuran como perdedoras.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3E73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Creación de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flags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licitacion_adjudicada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oferta_ganadora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DAC5D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Permite aislar procesos adjudicados y calcular tasas de éxito reales sin sesgos.</w:t>
            </w:r>
          </w:p>
        </w:tc>
      </w:tr>
      <w:tr w:rsidR="00CA5E99" w:rsidRPr="00DB2B43" w14:paraId="1F20982D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F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plazo_cierre_dias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AFB96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Variable no existente en el CSV original.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7618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Cálculo de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-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en días.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5671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Métrica cuantitativa clave para caracterizar la urgencia o envergadura de las compras.</w:t>
            </w:r>
          </w:p>
        </w:tc>
      </w:tr>
    </w:tbl>
    <w:p w14:paraId="407AC061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6B4818D6" w14:textId="7E7AD217" w:rsidR="006F458A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2" w:name="_Toc240403234"/>
      <w:r w:rsidRPr="00DB2B43">
        <w:rPr>
          <w:rFonts w:ascii="Arial" w:hAnsi="Arial" w:cs="Arial"/>
          <w:color w:val="auto"/>
          <w:szCs w:val="24"/>
        </w:rPr>
        <w:t xml:space="preserve">C. </w:t>
      </w:r>
      <w:proofErr w:type="spellStart"/>
      <w:r w:rsidRPr="00DB2B43">
        <w:rPr>
          <w:rFonts w:ascii="Arial" w:hAnsi="Arial" w:cs="Arial"/>
          <w:color w:val="auto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técnica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verificación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r w:rsidR="006F458A">
        <w:rPr>
          <w:rFonts w:ascii="Arial" w:hAnsi="Arial" w:cs="Arial"/>
          <w:color w:val="auto"/>
          <w:szCs w:val="24"/>
        </w:rPr>
        <w:t>Código</w:t>
      </w:r>
      <w:bookmarkEnd w:id="12"/>
    </w:p>
    <w:p w14:paraId="070A1547" w14:textId="28DEEA8F" w:rsidR="006F458A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Para garantizar que el pipeline funcione correctamente bajo diversos escenarios, se diseñó una batería automatizada de pruebas ejecutada en el notebook F2_Preprocesamiento.ipynb:</w:t>
      </w:r>
    </w:p>
    <w:tbl>
      <w:tblPr>
        <w:tblStyle w:val="Tablaconcuadrcula1clara-nfasis1"/>
        <w:tblW w:w="10080" w:type="dxa"/>
        <w:tblLayout w:type="fixed"/>
        <w:tblLook w:val="04A0" w:firstRow="1" w:lastRow="0" w:firstColumn="1" w:lastColumn="0" w:noHBand="0" w:noVBand="1"/>
      </w:tblPr>
      <w:tblGrid>
        <w:gridCol w:w="1838"/>
        <w:gridCol w:w="3402"/>
        <w:gridCol w:w="3119"/>
        <w:gridCol w:w="1721"/>
      </w:tblGrid>
      <w:tr w:rsidR="00CA5E99" w:rsidRPr="00DB2B43" w14:paraId="32C78701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1F497D" w:themeFill="text2"/>
          </w:tcPr>
          <w:p w14:paraId="2AE2B1C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de prueba</w:t>
            </w:r>
          </w:p>
        </w:tc>
        <w:tc>
          <w:tcPr>
            <w:tcW w:w="3402" w:type="dxa"/>
            <w:shd w:val="clear" w:color="auto" w:fill="1F497D" w:themeFill="text2"/>
          </w:tcPr>
          <w:p w14:paraId="55CA1307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Escenario evaluado</w:t>
            </w:r>
          </w:p>
        </w:tc>
        <w:tc>
          <w:tcPr>
            <w:tcW w:w="3119" w:type="dxa"/>
            <w:shd w:val="clear" w:color="auto" w:fill="1F497D" w:themeFill="text2"/>
          </w:tcPr>
          <w:p w14:paraId="4448E330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Comportamiento esperado</w:t>
            </w:r>
          </w:p>
        </w:tc>
        <w:tc>
          <w:tcPr>
            <w:tcW w:w="1721" w:type="dxa"/>
            <w:shd w:val="clear" w:color="auto" w:fill="1F497D" w:themeFill="text2"/>
          </w:tcPr>
          <w:p w14:paraId="3B4074A4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</w:t>
            </w:r>
          </w:p>
        </w:tc>
      </w:tr>
      <w:tr w:rsidR="00CA5E99" w:rsidRPr="00DB2B43" w14:paraId="211BD512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B92F9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Normal</w:t>
            </w:r>
          </w:p>
        </w:tc>
        <w:tc>
          <w:tcPr>
            <w:tcW w:w="3402" w:type="dxa"/>
          </w:tcPr>
          <w:p w14:paraId="407B3A15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real de 44.226 filas preprocesado.</w:t>
            </w:r>
          </w:p>
        </w:tc>
        <w:tc>
          <w:tcPr>
            <w:tcW w:w="3119" w:type="dxa"/>
          </w:tcPr>
          <w:p w14:paraId="52701E8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Superar 6 aserciones de consistencia e integridad.</w:t>
            </w:r>
          </w:p>
        </w:tc>
        <w:tc>
          <w:tcPr>
            <w:tcW w:w="1721" w:type="dxa"/>
          </w:tcPr>
          <w:p w14:paraId="324F23C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(6/6 superadas)</w:t>
            </w:r>
          </w:p>
        </w:tc>
      </w:tr>
      <w:tr w:rsidR="00CA5E99" w:rsidRPr="00DB2B43" w14:paraId="2B2D2CDF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3C9D6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Límite (Edge Case)</w:t>
            </w:r>
          </w:p>
        </w:tc>
        <w:tc>
          <w:tcPr>
            <w:tcW w:w="3402" w:type="dxa"/>
          </w:tcPr>
          <w:p w14:paraId="312C3BD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Registros con fechas año 1900 y categoría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119" w:type="dxa"/>
          </w:tcPr>
          <w:p w14:paraId="0901BAD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 convertida a NaT y categoría preservada.</w:t>
            </w:r>
          </w:p>
        </w:tc>
        <w:tc>
          <w:tcPr>
            <w:tcW w:w="1721" w:type="dxa"/>
          </w:tcPr>
          <w:p w14:paraId="2268D7D8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(Neutralización exitosa)</w:t>
            </w:r>
          </w:p>
        </w:tc>
      </w:tr>
      <w:tr w:rsidR="00CA5E99" w:rsidRPr="00DB2B43" w14:paraId="39460623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F1F31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1</w:t>
            </w:r>
          </w:p>
        </w:tc>
        <w:tc>
          <w:tcPr>
            <w:tcW w:w="3402" w:type="dxa"/>
          </w:tcPr>
          <w:p w14:paraId="6AC316F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sin la columna obligatoria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119" w:type="dxa"/>
          </w:tcPr>
          <w:p w14:paraId="5955DC1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721" w:type="dxa"/>
          </w:tcPr>
          <w:p w14:paraId="4DEA86E6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  <w:tr w:rsidR="00CA5E99" w:rsidRPr="00DB2B43" w14:paraId="7A511716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E664BB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2</w:t>
            </w:r>
          </w:p>
        </w:tc>
        <w:tc>
          <w:tcPr>
            <w:tcW w:w="3402" w:type="dxa"/>
          </w:tcPr>
          <w:p w14:paraId="4573DE56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vacío (0 registros).</w:t>
            </w:r>
          </w:p>
        </w:tc>
        <w:tc>
          <w:tcPr>
            <w:tcW w:w="3119" w:type="dxa"/>
          </w:tcPr>
          <w:p w14:paraId="092552D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721" w:type="dxa"/>
          </w:tcPr>
          <w:p w14:paraId="77E72A5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</w:tbl>
    <w:p w14:paraId="698116D8" w14:textId="037AD8CF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856449F" w14:textId="77777777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240403235"/>
      <w:r w:rsidRPr="00DB2B43">
        <w:rPr>
          <w:rFonts w:ascii="Arial" w:hAnsi="Arial" w:cs="Arial"/>
          <w:color w:val="auto"/>
          <w:sz w:val="24"/>
          <w:szCs w:val="24"/>
        </w:rPr>
        <w:t xml:space="preserve">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Resultados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preliminares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la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preparación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datos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(F1 y F2)</w:t>
      </w:r>
      <w:bookmarkEnd w:id="13"/>
    </w:p>
    <w:p w14:paraId="28132F7B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40934DAC" w14:textId="77777777" w:rsidR="00CA5E99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Tras ejecutar el pipeline sobre el conjunto completo de licitaciones del sector Salud, se obtuvieron hallazgos cuantitativos sustantivos que validan la calidad del conjunto de datos preparado y dan respuesta sólida a las preguntas exploratorias planteadas para esta entrega.</w:t>
      </w:r>
    </w:p>
    <w:p w14:paraId="15F4673A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6E178504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4" w:name="_Toc240403236"/>
      <w:r w:rsidRPr="00DB2B43">
        <w:rPr>
          <w:rFonts w:ascii="Arial" w:hAnsi="Arial" w:cs="Arial"/>
          <w:color w:val="auto"/>
          <w:szCs w:val="24"/>
        </w:rPr>
        <w:t xml:space="preserve">Tasa de </w:t>
      </w:r>
      <w:proofErr w:type="spellStart"/>
      <w:r w:rsidRPr="00DB2B43">
        <w:rPr>
          <w:rFonts w:ascii="Arial" w:hAnsi="Arial" w:cs="Arial"/>
          <w:color w:val="auto"/>
          <w:szCs w:val="24"/>
        </w:rPr>
        <w:t>adjudicación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según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tamaño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proveedor</w:t>
      </w:r>
      <w:bookmarkEnd w:id="14"/>
      <w:proofErr w:type="spellEnd"/>
    </w:p>
    <w:p w14:paraId="1756D9E0" w14:textId="77777777" w:rsidR="00CA5E99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Al restringir el análisis a licitaciones adjudicadas (44.025 ofertas), se observa una correlación directa entre el tamaño del oferente y su probabilidad de éxito comercial:</w:t>
      </w:r>
    </w:p>
    <w:p w14:paraId="08E794F9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tbl>
      <w:tblPr>
        <w:tblStyle w:val="Tablaconcuadrcula1clara-nfasis1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CA5E99" w:rsidRPr="00DB2B43" w14:paraId="7817335D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1F497D" w:themeFill="text2"/>
          </w:tcPr>
          <w:p w14:paraId="79F11DB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Tamaño del Proveedor</w:t>
            </w:r>
          </w:p>
        </w:tc>
        <w:tc>
          <w:tcPr>
            <w:tcW w:w="1872" w:type="dxa"/>
            <w:shd w:val="clear" w:color="auto" w:fill="1F497D" w:themeFill="text2"/>
          </w:tcPr>
          <w:p w14:paraId="320F0B25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Ofertas Ganadoras</w:t>
            </w:r>
          </w:p>
        </w:tc>
        <w:tc>
          <w:tcPr>
            <w:tcW w:w="1872" w:type="dxa"/>
            <w:shd w:val="clear" w:color="auto" w:fill="1F497D" w:themeFill="text2"/>
          </w:tcPr>
          <w:p w14:paraId="062B4D82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Ofertas Perdedoras</w:t>
            </w:r>
          </w:p>
        </w:tc>
        <w:tc>
          <w:tcPr>
            <w:tcW w:w="1872" w:type="dxa"/>
            <w:shd w:val="clear" w:color="auto" w:fill="1F497D" w:themeFill="text2"/>
          </w:tcPr>
          <w:p w14:paraId="46491725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Total Ofertas</w:t>
            </w:r>
          </w:p>
        </w:tc>
        <w:tc>
          <w:tcPr>
            <w:tcW w:w="2016" w:type="dxa"/>
            <w:shd w:val="clear" w:color="auto" w:fill="1F497D" w:themeFill="text2"/>
          </w:tcPr>
          <w:p w14:paraId="7D09B2A4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% Ganadoras</w:t>
            </w:r>
          </w:p>
        </w:tc>
      </w:tr>
      <w:tr w:rsidR="00CA5E99" w:rsidRPr="00DB2B43" w14:paraId="738F12AC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D1A654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Grande</w:t>
            </w:r>
          </w:p>
        </w:tc>
        <w:tc>
          <w:tcPr>
            <w:tcW w:w="1872" w:type="dxa"/>
          </w:tcPr>
          <w:p w14:paraId="68AD382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12.575</w:t>
            </w:r>
          </w:p>
        </w:tc>
        <w:tc>
          <w:tcPr>
            <w:tcW w:w="1872" w:type="dxa"/>
          </w:tcPr>
          <w:p w14:paraId="5851043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6.255</w:t>
            </w:r>
          </w:p>
        </w:tc>
        <w:tc>
          <w:tcPr>
            <w:tcW w:w="1872" w:type="dxa"/>
          </w:tcPr>
          <w:p w14:paraId="371AB095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18.830</w:t>
            </w:r>
          </w:p>
        </w:tc>
        <w:tc>
          <w:tcPr>
            <w:tcW w:w="2016" w:type="dxa"/>
          </w:tcPr>
          <w:p w14:paraId="15F5035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66,78 %</w:t>
            </w:r>
          </w:p>
        </w:tc>
      </w:tr>
      <w:tr w:rsidR="00CA5E99" w:rsidRPr="00DB2B43" w14:paraId="75D2EDA8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2CC556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Mediana</w:t>
            </w:r>
          </w:p>
        </w:tc>
        <w:tc>
          <w:tcPr>
            <w:tcW w:w="1872" w:type="dxa"/>
          </w:tcPr>
          <w:p w14:paraId="03F5599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4.982</w:t>
            </w:r>
          </w:p>
        </w:tc>
        <w:tc>
          <w:tcPr>
            <w:tcW w:w="1872" w:type="dxa"/>
          </w:tcPr>
          <w:p w14:paraId="767BA5E9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4.001</w:t>
            </w:r>
          </w:p>
        </w:tc>
        <w:tc>
          <w:tcPr>
            <w:tcW w:w="1872" w:type="dxa"/>
          </w:tcPr>
          <w:p w14:paraId="0098DF99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8.983</w:t>
            </w:r>
          </w:p>
        </w:tc>
        <w:tc>
          <w:tcPr>
            <w:tcW w:w="2016" w:type="dxa"/>
          </w:tcPr>
          <w:p w14:paraId="03C69F1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55,46 %</w:t>
            </w:r>
          </w:p>
        </w:tc>
      </w:tr>
      <w:tr w:rsidR="00CA5E99" w:rsidRPr="00DB2B43" w14:paraId="17D26337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7F42E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</w:p>
        </w:tc>
        <w:tc>
          <w:tcPr>
            <w:tcW w:w="1872" w:type="dxa"/>
          </w:tcPr>
          <w:p w14:paraId="2DA388C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1.803</w:t>
            </w:r>
          </w:p>
        </w:tc>
        <w:tc>
          <w:tcPr>
            <w:tcW w:w="1872" w:type="dxa"/>
          </w:tcPr>
          <w:p w14:paraId="75C29F0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1.576</w:t>
            </w:r>
          </w:p>
        </w:tc>
        <w:tc>
          <w:tcPr>
            <w:tcW w:w="1872" w:type="dxa"/>
          </w:tcPr>
          <w:p w14:paraId="465B5829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3.379</w:t>
            </w:r>
          </w:p>
        </w:tc>
        <w:tc>
          <w:tcPr>
            <w:tcW w:w="2016" w:type="dxa"/>
          </w:tcPr>
          <w:p w14:paraId="3951F28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53,36 %</w:t>
            </w:r>
          </w:p>
        </w:tc>
      </w:tr>
      <w:tr w:rsidR="00CA5E99" w:rsidRPr="00DB2B43" w14:paraId="55A60506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D34E89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Pequeña</w:t>
            </w:r>
          </w:p>
        </w:tc>
        <w:tc>
          <w:tcPr>
            <w:tcW w:w="1872" w:type="dxa"/>
          </w:tcPr>
          <w:p w14:paraId="71CC61E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5.022</w:t>
            </w:r>
          </w:p>
        </w:tc>
        <w:tc>
          <w:tcPr>
            <w:tcW w:w="1872" w:type="dxa"/>
          </w:tcPr>
          <w:p w14:paraId="48D54585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4.577</w:t>
            </w:r>
          </w:p>
        </w:tc>
        <w:tc>
          <w:tcPr>
            <w:tcW w:w="1872" w:type="dxa"/>
          </w:tcPr>
          <w:p w14:paraId="38D8CE5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9.599</w:t>
            </w:r>
          </w:p>
        </w:tc>
        <w:tc>
          <w:tcPr>
            <w:tcW w:w="2016" w:type="dxa"/>
          </w:tcPr>
          <w:p w14:paraId="7071B7D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52,32 %</w:t>
            </w:r>
          </w:p>
        </w:tc>
      </w:tr>
      <w:tr w:rsidR="00CA5E99" w:rsidRPr="00DB2B43" w14:paraId="10B2169A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D1B9C4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Micro</w:t>
            </w:r>
          </w:p>
        </w:tc>
        <w:tc>
          <w:tcPr>
            <w:tcW w:w="1872" w:type="dxa"/>
          </w:tcPr>
          <w:p w14:paraId="07466B18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1.680</w:t>
            </w:r>
          </w:p>
        </w:tc>
        <w:tc>
          <w:tcPr>
            <w:tcW w:w="1872" w:type="dxa"/>
          </w:tcPr>
          <w:p w14:paraId="33872666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1.554</w:t>
            </w:r>
          </w:p>
        </w:tc>
        <w:tc>
          <w:tcPr>
            <w:tcW w:w="1872" w:type="dxa"/>
          </w:tcPr>
          <w:p w14:paraId="62D8F71C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3.234</w:t>
            </w:r>
          </w:p>
        </w:tc>
        <w:tc>
          <w:tcPr>
            <w:tcW w:w="2016" w:type="dxa"/>
          </w:tcPr>
          <w:p w14:paraId="388CE82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51,95 %</w:t>
            </w:r>
          </w:p>
        </w:tc>
      </w:tr>
      <w:tr w:rsidR="00CA5E99" w:rsidRPr="00DB2B43" w14:paraId="0476FDAB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B19D8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Total Adjudicadas</w:t>
            </w:r>
          </w:p>
        </w:tc>
        <w:tc>
          <w:tcPr>
            <w:tcW w:w="1872" w:type="dxa"/>
          </w:tcPr>
          <w:p w14:paraId="49A2F048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26.062</w:t>
            </w:r>
          </w:p>
        </w:tc>
        <w:tc>
          <w:tcPr>
            <w:tcW w:w="1872" w:type="dxa"/>
          </w:tcPr>
          <w:p w14:paraId="0AE8D63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17.963</w:t>
            </w:r>
          </w:p>
        </w:tc>
        <w:tc>
          <w:tcPr>
            <w:tcW w:w="1872" w:type="dxa"/>
          </w:tcPr>
          <w:p w14:paraId="216FEB6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44.025</w:t>
            </w:r>
          </w:p>
        </w:tc>
        <w:tc>
          <w:tcPr>
            <w:tcW w:w="2016" w:type="dxa"/>
          </w:tcPr>
          <w:p w14:paraId="5DA7ABC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59,20 %</w:t>
            </w:r>
          </w:p>
        </w:tc>
      </w:tr>
    </w:tbl>
    <w:p w14:paraId="63EE37F3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4E5534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Las empresas de tamaño Grande logran una tasa de éxito de 66,78 %, superando en casi 15 puntos porcentuales a las Microempresas (51,95 %) y Pequeñas empresas (52,32 %). Este resultado cuantitativo fundamenta la pertinencia de las hipótesis formuladas en la Fase 1.</w:t>
      </w:r>
    </w:p>
    <w:p w14:paraId="2CB870C8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5" w:name="_Toc240403237"/>
      <w:proofErr w:type="spellStart"/>
      <w:r w:rsidRPr="00DB2B43">
        <w:rPr>
          <w:rFonts w:ascii="Arial" w:hAnsi="Arial" w:cs="Arial"/>
          <w:color w:val="auto"/>
          <w:szCs w:val="24"/>
        </w:rPr>
        <w:t>Distribución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por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tipo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licitación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plazos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administrativos</w:t>
      </w:r>
      <w:bookmarkEnd w:id="15"/>
      <w:proofErr w:type="spellEnd"/>
    </w:p>
    <w:p w14:paraId="3ACB8604" w14:textId="77777777" w:rsidR="00CA5E99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tipo de licitación más frecuente corresponde a Licitación Pública Entre 100 y 1000 UTM (LE) con 23.708 ofertas, seguida de Licitación Pública Mayor 1000 UTM (LP) con 14.448 ofertas. El plazo promedio concedido a los proveedores entre la publicación de las bases y el cierre de recepción de propuestas fue de 14,38 días (desviación estándar de 6,86 días), con un mínimo de 4,92 días y un máximo de 61,03 días, ajustándose a los umbrales de la Ley N.º 19.886 de compras públicas.</w:t>
      </w:r>
    </w:p>
    <w:p w14:paraId="1219C824" w14:textId="77777777" w:rsidR="006F458A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7A9EB888" w14:textId="77777777" w:rsidR="006F458A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25BF5741" w14:textId="77777777" w:rsidR="006F458A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22B34F5B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DEBB94E" w14:textId="77777777" w:rsidR="006F215C" w:rsidRPr="00DB2B43" w:rsidRDefault="002D371B" w:rsidP="00DB2B43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bookmarkStart w:id="16" w:name="_Toc240403238"/>
      <w:r w:rsidRPr="00DB2B43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VI. Evidencias de ejecución de las Fases 1 y 2</w:t>
      </w:r>
      <w:bookmarkEnd w:id="16"/>
    </w:p>
    <w:p w14:paraId="5EB622F8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136A4287" w14:textId="05490E4C" w:rsidR="00A212A6" w:rsidRPr="006F458A" w:rsidRDefault="00A212A6" w:rsidP="00DB2B43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7" w:name="_Toc240403239"/>
      <w:r w:rsidRPr="006F458A">
        <w:rPr>
          <w:rFonts w:ascii="Arial" w:hAnsi="Arial" w:cs="Arial"/>
          <w:b/>
          <w:bCs/>
          <w:color w:val="auto"/>
          <w:sz w:val="24"/>
          <w:szCs w:val="24"/>
        </w:rPr>
        <w:t>Evidencia del Notebook F1_Definición.ipynb</w:t>
      </w:r>
      <w:bookmarkEnd w:id="17"/>
    </w:p>
    <w:p w14:paraId="1A833074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2CE12DBB" w14:textId="348D8310" w:rsidR="00CA5E99" w:rsidRPr="00DB2B43" w:rsidRDefault="006F215C" w:rsidP="006F458A">
      <w:pPr>
        <w:jc w:val="both"/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>El notebook F1/F1_Definición.ipynb documenta e implementa la Fase 1 del proyecto, incorporando la problemática, los objetivos, la definición de la unidad de análisis y la configuración inicial del entorno reproducible. El cuaderno utiliza las funciones reutilizables definidas en src/proyecto.py y mantiene correspondencia con la planificación establecida en el mapa conceptual técnico. Su ejecución fue verificada bajo Python 3.12, registrándose 4 celdas ejecutadas y 0 errores, según la evidencia almacenada en evidencias/F1_ejecucion.json.</w:t>
      </w:r>
    </w:p>
    <w:p w14:paraId="2E0D5841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42CACF85" w14:textId="25BAC024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0869EFEF" wp14:editId="5D874346">
            <wp:extent cx="6309360" cy="2696210"/>
            <wp:effectExtent l="0" t="0" r="0" b="8890"/>
            <wp:docPr id="81993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352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9657" w14:textId="75C12A88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0E89A5DC" wp14:editId="3993AAFD">
            <wp:extent cx="6309360" cy="2588895"/>
            <wp:effectExtent l="0" t="0" r="0" b="1905"/>
            <wp:docPr id="311669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98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FF53" w14:textId="77777777" w:rsidR="00A212A6" w:rsidRDefault="00A212A6" w:rsidP="00DB2B43">
      <w:pPr>
        <w:rPr>
          <w:rFonts w:ascii="Arial" w:hAnsi="Arial"/>
          <w:sz w:val="24"/>
          <w:szCs w:val="24"/>
        </w:rPr>
      </w:pPr>
    </w:p>
    <w:p w14:paraId="046374C4" w14:textId="029B3DE7" w:rsidR="00FB1B22" w:rsidRDefault="00FB1B22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8A27287" wp14:editId="6D77F462">
            <wp:extent cx="6309360" cy="2339340"/>
            <wp:effectExtent l="0" t="0" r="0" b="3810"/>
            <wp:docPr id="2108932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323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6251" w14:textId="77777777" w:rsidR="00FB1B22" w:rsidRPr="00DB2B43" w:rsidRDefault="00FB1B22" w:rsidP="00DB2B43">
      <w:pPr>
        <w:rPr>
          <w:rFonts w:ascii="Arial" w:hAnsi="Arial"/>
          <w:sz w:val="24"/>
          <w:szCs w:val="24"/>
        </w:rPr>
      </w:pPr>
    </w:p>
    <w:p w14:paraId="549142BE" w14:textId="77777777" w:rsidR="00A212A6" w:rsidRPr="006F458A" w:rsidRDefault="00A212A6" w:rsidP="00DB2B43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CL"/>
        </w:rPr>
      </w:pPr>
      <w:bookmarkStart w:id="18" w:name="_Toc240403240"/>
      <w:r w:rsidRPr="006F458A">
        <w:rPr>
          <w:rFonts w:ascii="Arial" w:hAnsi="Arial" w:cs="Arial"/>
          <w:b/>
          <w:bCs/>
          <w:color w:val="auto"/>
          <w:sz w:val="24"/>
          <w:szCs w:val="24"/>
          <w:lang w:val="es-CL"/>
        </w:rPr>
        <w:t>Evidencia del Notebook F2_Preprocesamiento.ipynb</w:t>
      </w:r>
      <w:bookmarkEnd w:id="18"/>
    </w:p>
    <w:p w14:paraId="4050F6B2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</w:p>
    <w:p w14:paraId="63BA4F68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t xml:space="preserve">El notebook F2/F2_Preprocesamiento.ipynb implementa el flujo técnico correspondiente a la Fase 2, incluyendo exploración inicial, diagnóstico de calidad, limpieza, tratamiento de valores nulos, transformación de variables, generación de atributos derivados y validación del 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 xml:space="preserve"> resultante. Cada etapa se encuentra documentada mediante celdas narrativas y resultados verificables, manteniendo trazabilidad con las funciones implementadas en src/proyecto.py y con el conjunto de datos procesado generado en data/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>/. Su ejecución fue verificada bajo Python 3.12, registrándose 9 celdas ejecutadas y 0 errores, de acuerdo con evidencias/F2_ejecucion.json.</w:t>
      </w:r>
    </w:p>
    <w:p w14:paraId="1E94C042" w14:textId="7662DEDD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4A0CC96F" wp14:editId="466DBFEC">
            <wp:extent cx="6309360" cy="2024380"/>
            <wp:effectExtent l="0" t="0" r="0" b="0"/>
            <wp:docPr id="461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11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2C10E" w14:textId="57CE0732" w:rsidR="006F215C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5F6FF1B" wp14:editId="1B1ADAD9">
            <wp:extent cx="6309360" cy="2760980"/>
            <wp:effectExtent l="0" t="0" r="0" b="1270"/>
            <wp:docPr id="1419282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82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21D5" w14:textId="344B6618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4B98867A" wp14:editId="5FB4A300">
            <wp:extent cx="6309360" cy="2735580"/>
            <wp:effectExtent l="0" t="0" r="0" b="7620"/>
            <wp:docPr id="1618014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146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9F59" w14:textId="6F0B3988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1CAB12DD" wp14:editId="690A3979">
            <wp:extent cx="6309360" cy="2755265"/>
            <wp:effectExtent l="0" t="0" r="0" b="6985"/>
            <wp:docPr id="1769231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319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2634" w14:textId="32E71F02" w:rsidR="00FB1B22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679D6332" wp14:editId="6B36F531">
            <wp:extent cx="6309360" cy="2324100"/>
            <wp:effectExtent l="0" t="0" r="0" b="0"/>
            <wp:docPr id="43924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492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C1AA" w14:textId="57C95EFA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1227C221" wp14:editId="1C5F40E6">
            <wp:extent cx="6309360" cy="3020695"/>
            <wp:effectExtent l="0" t="0" r="0" b="8255"/>
            <wp:docPr id="720305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053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3C24" w14:textId="543E4B33" w:rsidR="00FB1B22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74D7C827" wp14:editId="4C299B76">
            <wp:extent cx="6309360" cy="5414010"/>
            <wp:effectExtent l="0" t="0" r="0" b="0"/>
            <wp:docPr id="544759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59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4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88BE" w14:textId="77777777" w:rsidR="00FB1B22" w:rsidRDefault="00FB1B22" w:rsidP="00DB2B43">
      <w:pPr>
        <w:rPr>
          <w:rFonts w:ascii="Arial" w:hAnsi="Arial"/>
          <w:sz w:val="24"/>
          <w:szCs w:val="24"/>
        </w:rPr>
      </w:pPr>
    </w:p>
    <w:p w14:paraId="11F0192F" w14:textId="77777777" w:rsidR="00FB1B22" w:rsidRDefault="00FB1B22" w:rsidP="00DB2B43">
      <w:pPr>
        <w:rPr>
          <w:rFonts w:ascii="Arial" w:hAnsi="Arial"/>
          <w:sz w:val="24"/>
          <w:szCs w:val="24"/>
        </w:rPr>
      </w:pPr>
    </w:p>
    <w:p w14:paraId="4D717023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417DF94C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36861050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7D367E92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31EB98B9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3A2ADE23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7D0B23DB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0671B42B" w14:textId="77777777" w:rsidR="006F458A" w:rsidRPr="00DB2B43" w:rsidRDefault="006F458A" w:rsidP="00DB2B43">
      <w:pPr>
        <w:rPr>
          <w:rFonts w:ascii="Arial" w:hAnsi="Arial"/>
          <w:sz w:val="24"/>
          <w:szCs w:val="24"/>
        </w:rPr>
      </w:pPr>
    </w:p>
    <w:p w14:paraId="55A43673" w14:textId="323837AF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240403241"/>
      <w:r w:rsidRPr="00DB2B43">
        <w:rPr>
          <w:rFonts w:ascii="Arial" w:hAnsi="Arial" w:cs="Arial"/>
          <w:color w:val="auto"/>
          <w:sz w:val="24"/>
          <w:szCs w:val="24"/>
        </w:rPr>
        <w:lastRenderedPageBreak/>
        <w:t>VI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Vinculación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mapa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conceptual con 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avance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r w:rsidR="006F458A">
        <w:rPr>
          <w:rFonts w:ascii="Arial" w:hAnsi="Arial" w:cs="Arial"/>
          <w:color w:val="auto"/>
          <w:sz w:val="24"/>
          <w:szCs w:val="24"/>
        </w:rPr>
        <w:t>Proyecto</w:t>
      </w:r>
      <w:bookmarkEnd w:id="19"/>
    </w:p>
    <w:p w14:paraId="227FCEB3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2F304D70" w14:textId="77777777" w:rsidR="00DC20FF" w:rsidRDefault="00DC20F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C20FF">
        <w:rPr>
          <w:rFonts w:ascii="Arial" w:hAnsi="Arial"/>
          <w:color w:val="auto"/>
          <w:sz w:val="24"/>
          <w:szCs w:val="24"/>
        </w:rPr>
        <w:t xml:space="preserve">El mapa conceptual se utilizó como guía para organizar el inicio del proyecto. A partir del problema y del conjunto de datos se definieron tres componentes principales: el entorno reproducible, el uso de </w:t>
      </w:r>
      <w:proofErr w:type="spellStart"/>
      <w:r w:rsidRPr="00DC20FF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C20FF">
        <w:rPr>
          <w:rFonts w:ascii="Arial" w:hAnsi="Arial"/>
          <w:color w:val="auto"/>
          <w:sz w:val="24"/>
          <w:szCs w:val="24"/>
        </w:rPr>
        <w:t xml:space="preserve"> Notebook y el trabajo colaborativo mediante Git y GitHub. Estos componentes orientaron la estructura del repositorio, la documentación del proceso y la coordinación de los cambios realizados por el equipo. En esta entrega se implementaron las actividades correspondientes a F1 y F2, mientras que el análisis, las visualizaciones y las conclusiones generales continuarán en F3 y F4.</w:t>
      </w:r>
    </w:p>
    <w:p w14:paraId="188222AD" w14:textId="77777777" w:rsidR="00DC20FF" w:rsidRPr="00F7174B" w:rsidRDefault="00DC20FF" w:rsidP="00DC20FF">
      <w:pPr>
        <w:jc w:val="both"/>
        <w:rPr>
          <w:rFonts w:ascii="Arial" w:hAnsi="Arial"/>
          <w:b/>
          <w:bCs/>
          <w:color w:val="auto"/>
          <w:sz w:val="24"/>
          <w:szCs w:val="24"/>
        </w:rPr>
      </w:pPr>
      <w:r w:rsidRPr="00F7174B">
        <w:rPr>
          <w:rFonts w:ascii="Arial" w:hAnsi="Arial"/>
          <w:b/>
          <w:bCs/>
          <w:color w:val="auto"/>
          <w:sz w:val="24"/>
          <w:szCs w:val="24"/>
        </w:rPr>
        <w:t>Figura 1</w:t>
      </w:r>
    </w:p>
    <w:p w14:paraId="035D3FBA" w14:textId="53791080" w:rsidR="00DC20FF" w:rsidRPr="00F7174B" w:rsidRDefault="00DC20FF" w:rsidP="00DC20FF">
      <w:pPr>
        <w:jc w:val="both"/>
        <w:rPr>
          <w:rFonts w:ascii="Arial" w:hAnsi="Arial"/>
          <w:i/>
          <w:iCs/>
          <w:color w:val="auto"/>
          <w:sz w:val="24"/>
          <w:szCs w:val="24"/>
        </w:rPr>
      </w:pPr>
      <w:r w:rsidRPr="00F7174B">
        <w:rPr>
          <w:rFonts w:ascii="Arial" w:hAnsi="Arial"/>
          <w:i/>
          <w:iCs/>
          <w:color w:val="auto"/>
          <w:sz w:val="24"/>
          <w:szCs w:val="24"/>
        </w:rPr>
        <w:t>Mapa conceptual del flujo reproducible inicial del proyecto</w:t>
      </w:r>
    </w:p>
    <w:p w14:paraId="3D74CB13" w14:textId="2C75561F" w:rsidR="005C41FB" w:rsidRDefault="00DC20FF" w:rsidP="00DC20FF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C20FF">
        <w:rPr>
          <w:rFonts w:ascii="Arial" w:hAnsi="Arial"/>
          <w:noProof/>
          <w:color w:val="auto"/>
          <w:sz w:val="24"/>
          <w:szCs w:val="24"/>
          <w:lang w:val="es-CL"/>
        </w:rPr>
        <w:drawing>
          <wp:inline distT="0" distB="0" distL="0" distR="0" wp14:anchorId="20B8AA07" wp14:editId="3A2D58F5">
            <wp:extent cx="6309360" cy="4973320"/>
            <wp:effectExtent l="0" t="0" r="0" b="0"/>
            <wp:docPr id="14732214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97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F1881" w14:textId="77777777" w:rsidR="00DC20FF" w:rsidRPr="00DC20FF" w:rsidRDefault="00DC20FF" w:rsidP="00DC20FF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</w:p>
    <w:p w14:paraId="312F367A" w14:textId="5520352D" w:rsidR="005C41FB" w:rsidRDefault="00DC20FF" w:rsidP="00DB2B43">
      <w:pPr>
        <w:pStyle w:val="Descripcin1"/>
        <w:jc w:val="both"/>
        <w:rPr>
          <w:rFonts w:ascii="Arial" w:hAnsi="Arial" w:cs="Arial"/>
          <w:color w:val="auto"/>
          <w:sz w:val="24"/>
          <w:szCs w:val="24"/>
        </w:rPr>
      </w:pPr>
      <w:r w:rsidRPr="00F7174B">
        <w:rPr>
          <w:rFonts w:ascii="Arial" w:hAnsi="Arial" w:cs="Arial"/>
          <w:i/>
          <w:iCs/>
          <w:color w:val="auto"/>
          <w:sz w:val="24"/>
          <w:szCs w:val="24"/>
        </w:rPr>
        <w:t>Nota</w:t>
      </w:r>
      <w:r w:rsidRPr="00DC20FF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Elaboración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propia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. La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versión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editable se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encuentra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docs/mcdi500_s1_grupo5.drawio y la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versión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final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docs/mcdi500_s1_grupo5.pdf.</w:t>
      </w:r>
    </w:p>
    <w:p w14:paraId="6EFBF3D8" w14:textId="77777777" w:rsidR="00F7174B" w:rsidRPr="00F7174B" w:rsidRDefault="00F7174B" w:rsidP="00F7174B">
      <w:pPr>
        <w:pStyle w:val="Descripcin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F7174B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Tabla</w:t>
      </w:r>
      <w:proofErr w:type="spellEnd"/>
      <w:r w:rsidRPr="00F7174B">
        <w:rPr>
          <w:rFonts w:ascii="Arial" w:hAnsi="Arial" w:cs="Arial"/>
          <w:b/>
          <w:bCs/>
          <w:color w:val="auto"/>
          <w:sz w:val="24"/>
          <w:szCs w:val="24"/>
        </w:rPr>
        <w:t xml:space="preserve"> 6</w:t>
      </w:r>
    </w:p>
    <w:p w14:paraId="04FE57A7" w14:textId="52C68FCB" w:rsidR="00DC20FF" w:rsidRPr="006F458A" w:rsidRDefault="00F7174B" w:rsidP="00F7174B">
      <w:pPr>
        <w:pStyle w:val="Descripcin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r w:rsidRPr="006F458A">
        <w:rPr>
          <w:rFonts w:ascii="Arial" w:hAnsi="Arial" w:cs="Arial"/>
          <w:color w:val="auto"/>
          <w:sz w:val="24"/>
          <w:szCs w:val="24"/>
          <w:lang w:val="es-CL"/>
        </w:rPr>
        <w:t>Correspondencia entre el mapa conceptual y los productos desarrollados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2569"/>
        <w:gridCol w:w="3991"/>
        <w:gridCol w:w="3366"/>
      </w:tblGrid>
      <w:tr w:rsidR="00DC20FF" w:rsidRPr="00DC20FF" w14:paraId="6EF2D607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1F497D" w:themeFill="text2"/>
            <w:hideMark/>
          </w:tcPr>
          <w:p w14:paraId="01284C08" w14:textId="77777777" w:rsidR="00DC20FF" w:rsidRPr="00DC20FF" w:rsidRDefault="00DC20FF" w:rsidP="00DC20FF">
            <w:pPr>
              <w:jc w:val="both"/>
              <w:rPr>
                <w:rFonts w:ascii="Arial" w:hAnsi="Arial"/>
                <w:b w:val="0"/>
                <w:bCs w:val="0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Componente del mapa</w:t>
            </w:r>
          </w:p>
        </w:tc>
        <w:tc>
          <w:tcPr>
            <w:tcW w:w="0" w:type="auto"/>
            <w:shd w:val="clear" w:color="auto" w:fill="1F497D" w:themeFill="text2"/>
            <w:hideMark/>
          </w:tcPr>
          <w:p w14:paraId="01F97174" w14:textId="77777777" w:rsidR="00DC20FF" w:rsidRPr="00DC20FF" w:rsidRDefault="00DC20FF" w:rsidP="00DC20F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bCs w:val="0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Aplicación en el proyecto</w:t>
            </w:r>
          </w:p>
        </w:tc>
        <w:tc>
          <w:tcPr>
            <w:tcW w:w="0" w:type="auto"/>
            <w:shd w:val="clear" w:color="auto" w:fill="1F497D" w:themeFill="text2"/>
            <w:hideMark/>
          </w:tcPr>
          <w:p w14:paraId="59821880" w14:textId="77777777" w:rsidR="00DC20FF" w:rsidRPr="00DC20FF" w:rsidRDefault="00DC20FF" w:rsidP="00DC20F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bCs w:val="0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Evidencia</w:t>
            </w:r>
          </w:p>
        </w:tc>
      </w:tr>
      <w:tr w:rsidR="00DC20FF" w:rsidRPr="00DC20FF" w14:paraId="789527A9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9AED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Problema y datos</w:t>
            </w:r>
          </w:p>
        </w:tc>
        <w:tc>
          <w:tcPr>
            <w:tcW w:w="0" w:type="auto"/>
            <w:hideMark/>
          </w:tcPr>
          <w:p w14:paraId="0F86833F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definió la pregunta de análisis, la unidad de trabajo y el alcance descriptivo</w:t>
            </w:r>
          </w:p>
        </w:tc>
        <w:tc>
          <w:tcPr>
            <w:tcW w:w="0" w:type="auto"/>
            <w:hideMark/>
          </w:tcPr>
          <w:p w14:paraId="3665C075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F1/F1_Definición.ipynb y data/README.md</w:t>
            </w:r>
          </w:p>
        </w:tc>
      </w:tr>
      <w:tr w:rsidR="00DC20FF" w:rsidRPr="00DC20FF" w14:paraId="0EC8E5A2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F7276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Entorno reproducible</w:t>
            </w:r>
          </w:p>
        </w:tc>
        <w:tc>
          <w:tcPr>
            <w:tcW w:w="0" w:type="auto"/>
            <w:hideMark/>
          </w:tcPr>
          <w:p w14:paraId="0A76DA48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configuraron Python, el entorno virtual y las dependencias</w:t>
            </w:r>
          </w:p>
        </w:tc>
        <w:tc>
          <w:tcPr>
            <w:tcW w:w="0" w:type="auto"/>
            <w:hideMark/>
          </w:tcPr>
          <w:p w14:paraId="0CA0C597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requirements.txt y README.md</w:t>
            </w:r>
          </w:p>
        </w:tc>
      </w:tr>
      <w:tr w:rsidR="00DC20FF" w:rsidRPr="00DC20FF" w14:paraId="6E401991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E3F08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Jupyter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 Notebook</w:t>
            </w:r>
          </w:p>
        </w:tc>
        <w:tc>
          <w:tcPr>
            <w:tcW w:w="0" w:type="auto"/>
            <w:hideMark/>
          </w:tcPr>
          <w:p w14:paraId="3F65052D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integraron explicaciones, código, resultados y pruebas</w:t>
            </w:r>
          </w:p>
        </w:tc>
        <w:tc>
          <w:tcPr>
            <w:tcW w:w="0" w:type="auto"/>
            <w:hideMark/>
          </w:tcPr>
          <w:p w14:paraId="21845F13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Notebooks de F1 y F2</w:t>
            </w:r>
          </w:p>
        </w:tc>
      </w:tr>
      <w:tr w:rsidR="00DC20FF" w:rsidRPr="00DC20FF" w14:paraId="7F7021DA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1BC5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Git y GitHub</w:t>
            </w:r>
          </w:p>
        </w:tc>
        <w:tc>
          <w:tcPr>
            <w:tcW w:w="0" w:type="auto"/>
            <w:hideMark/>
          </w:tcPr>
          <w:p w14:paraId="25427E51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Cada integrante trabaja en su rama y los cambios se integran mediante PR</w:t>
            </w:r>
          </w:p>
        </w:tc>
        <w:tc>
          <w:tcPr>
            <w:tcW w:w="0" w:type="auto"/>
            <w:hideMark/>
          </w:tcPr>
          <w:p w14:paraId="02F4ABD1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Repositorio e historial de GitHub</w:t>
            </w:r>
          </w:p>
        </w:tc>
      </w:tr>
      <w:tr w:rsidR="00DC20FF" w:rsidRPr="00DC20FF" w14:paraId="7D424390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F997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Estructura y trazabilidad</w:t>
            </w:r>
          </w:p>
        </w:tc>
        <w:tc>
          <w:tcPr>
            <w:tcW w:w="0" w:type="auto"/>
            <w:hideMark/>
          </w:tcPr>
          <w:p w14:paraId="3640338B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organizaron datos originales, datos procesados, código y evidencias</w:t>
            </w:r>
          </w:p>
        </w:tc>
        <w:tc>
          <w:tcPr>
            <w:tcW w:w="0" w:type="auto"/>
            <w:hideMark/>
          </w:tcPr>
          <w:p w14:paraId="58061AE2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data/,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src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/,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docs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/ y evidencias/</w:t>
            </w:r>
          </w:p>
        </w:tc>
      </w:tr>
      <w:tr w:rsidR="00DC20FF" w:rsidRPr="00DC20FF" w14:paraId="2BBB1B85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6E7FE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Documentación científica</w:t>
            </w:r>
          </w:p>
        </w:tc>
        <w:tc>
          <w:tcPr>
            <w:tcW w:w="0" w:type="auto"/>
            <w:hideMark/>
          </w:tcPr>
          <w:p w14:paraId="599EDEB4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documentaron decisiones, procedimientos, limitaciones y fuentes</w:t>
            </w:r>
          </w:p>
        </w:tc>
        <w:tc>
          <w:tcPr>
            <w:tcW w:w="0" w:type="auto"/>
            <w:hideMark/>
          </w:tcPr>
          <w:p w14:paraId="3ED27ABB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Celdas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Markdown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, README e informe</w:t>
            </w:r>
          </w:p>
        </w:tc>
      </w:tr>
      <w:tr w:rsidR="00DC20FF" w:rsidRPr="00DC20FF" w14:paraId="2054BED5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B910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Trabajo en equipo y protección</w:t>
            </w:r>
          </w:p>
        </w:tc>
        <w:tc>
          <w:tcPr>
            <w:tcW w:w="0" w:type="auto"/>
            <w:hideMark/>
          </w:tcPr>
          <w:p w14:paraId="7096F5CE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Se definió el flujo rama individual → desarrollo →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main</w:t>
            </w:r>
            <w:proofErr w:type="spellEnd"/>
          </w:p>
        </w:tc>
        <w:tc>
          <w:tcPr>
            <w:tcW w:w="0" w:type="auto"/>
            <w:hideMark/>
          </w:tcPr>
          <w:p w14:paraId="6A60D83E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Políticas de ramas y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pull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requests</w:t>
            </w:r>
            <w:proofErr w:type="spellEnd"/>
          </w:p>
        </w:tc>
      </w:tr>
      <w:tr w:rsidR="00DC20FF" w:rsidRPr="00DC20FF" w14:paraId="6B773F3B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9B1F7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Continuidad del proyecto</w:t>
            </w:r>
          </w:p>
        </w:tc>
        <w:tc>
          <w:tcPr>
            <w:tcW w:w="0" w:type="auto"/>
            <w:hideMark/>
          </w:tcPr>
          <w:p w14:paraId="509D4099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F2 prepara y valida los datos; F3 y F4 quedan proyectadas</w:t>
            </w:r>
          </w:p>
        </w:tc>
        <w:tc>
          <w:tcPr>
            <w:tcW w:w="0" w:type="auto"/>
            <w:hideMark/>
          </w:tcPr>
          <w:p w14:paraId="3BC40EC4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Notebook F2 y planificación del proyecto</w:t>
            </w:r>
          </w:p>
        </w:tc>
      </w:tr>
    </w:tbl>
    <w:p w14:paraId="01798435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2DD185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5A001095" w14:textId="4D10090A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240403242"/>
      <w:r w:rsidRPr="00DB2B43">
        <w:rPr>
          <w:rFonts w:ascii="Arial" w:hAnsi="Arial" w:cs="Arial"/>
          <w:color w:val="auto"/>
          <w:sz w:val="24"/>
          <w:szCs w:val="24"/>
        </w:rPr>
        <w:lastRenderedPageBreak/>
        <w:t>VII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Referencias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bibliográficas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(Normas APA 7.ª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edición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>)</w:t>
      </w:r>
      <w:bookmarkEnd w:id="20"/>
    </w:p>
    <w:p w14:paraId="4F89181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En estricto cumplimiento de los criterios institucionales de diversidad, actualidad y tipología de fuentes, se incorporan las referencias técnicas, académicas y docentes que respaldan este informe y los notebooks ejecutados:</w:t>
      </w:r>
    </w:p>
    <w:p w14:paraId="596DA7A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f.-a). Descargas de datos abiertos del sistema de compras públicas. Dirección de Compras y Contratación Pública. https://datos-abiertos.chilecompra.cl/descargas</w:t>
      </w:r>
    </w:p>
    <w:p w14:paraId="5EC5C38D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f.-b). Diccionario de datos de la API de Mercado Público: Licitaciones públicas. Dirección de Compras y Contratación Pública. https://www.chilecompra.cl/wp-content/uploads/2026/03/Documentacion-API-Mercado-Publico-Licitaciones.pdf</w:t>
      </w:r>
    </w:p>
    <w:p w14:paraId="63EBEB29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f.-c). Glosario y definiciones del portal de datos abiertos. Dirección de Compras y Contratación Pública. https://datos-abiertos.chilecompra.cl/datos-abiertos/definiciones</w:t>
      </w:r>
    </w:p>
    <w:p w14:paraId="6CA9762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McKinney, W. (2022). Python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for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analysis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: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wrangling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with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pandas,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(3.ª ed.). O'Reilly Media.</w:t>
      </w:r>
    </w:p>
    <w:p w14:paraId="3C26DCCF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Developers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user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guide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reference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2.3). https://numpy.org/doc/stable/</w:t>
      </w:r>
    </w:p>
    <w:p w14:paraId="39F1C9D7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Samuel, S.,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D. (2024).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Computational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reproducibility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of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notebooks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from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biomedical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publications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GigaScience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13, giad113. https://doi.org/10.1093/gigascience/giad113</w:t>
      </w:r>
    </w:p>
    <w:p w14:paraId="0BD91261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The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development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team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3.0). https://pandas.pydata.org/docs/</w:t>
      </w:r>
    </w:p>
    <w:p w14:paraId="21A2BB7A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Guía metodológica: Buenas prácticas de programación científica, control de versiones y reproducibilidad en Python (Material docente del curso MCDIA500: Programación para la Ciencia de Datos). Magíster en Ciencia de Datos e Inteligencia Artificial.</w:t>
      </w:r>
    </w:p>
    <w:p w14:paraId="7AFEFF8C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Pauta técnica y rúbrica de evaluación sumativa 1: Implementación inicial del entorno reproducible y preprocesamiento de datos (Documento de cátedra MCDIA500). Magíster en Ciencia de Datos e Inteligencia Artificial.</w:t>
      </w:r>
    </w:p>
    <w:p w14:paraId="239EA1F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17B816D6" w14:textId="2406A273" w:rsidR="00CA5E99" w:rsidRPr="00DB2B43" w:rsidRDefault="006F215C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1" w:name="_Toc240403243"/>
      <w:r w:rsidRPr="00DB2B43">
        <w:rPr>
          <w:rFonts w:ascii="Arial" w:hAnsi="Arial" w:cs="Arial"/>
          <w:color w:val="auto"/>
          <w:sz w:val="24"/>
          <w:szCs w:val="24"/>
        </w:rPr>
        <w:lastRenderedPageBreak/>
        <w:t>IX</w:t>
      </w:r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Anexos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técnicos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trazabilidad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criptográfica</w:t>
      </w:r>
      <w:bookmarkEnd w:id="21"/>
      <w:proofErr w:type="spellEnd"/>
    </w:p>
    <w:p w14:paraId="0C50D9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A continuación se resumen las características de los artefactos clave del repositorio que respaldan la reproducibilidad y verosimilitud de la entrega:</w:t>
      </w:r>
    </w:p>
    <w:tbl>
      <w:tblPr>
        <w:tblStyle w:val="Tablaconcuadrcula1clara-nfasis1"/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CA5E99" w:rsidRPr="00DB2B43" w14:paraId="0AFDF4E1" w14:textId="77777777" w:rsidTr="00770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 w:themeFill="text2"/>
          </w:tcPr>
          <w:p w14:paraId="14B986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Artefacto / Archivo</w:t>
            </w:r>
          </w:p>
        </w:tc>
        <w:tc>
          <w:tcPr>
            <w:tcW w:w="2880" w:type="dxa"/>
            <w:shd w:val="clear" w:color="auto" w:fill="1F497D" w:themeFill="text2"/>
          </w:tcPr>
          <w:p w14:paraId="2C63D927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Ruta en Repositorio</w:t>
            </w:r>
          </w:p>
        </w:tc>
        <w:tc>
          <w:tcPr>
            <w:tcW w:w="1152" w:type="dxa"/>
            <w:shd w:val="clear" w:color="auto" w:fill="1F497D" w:themeFill="text2"/>
          </w:tcPr>
          <w:p w14:paraId="0D8E7853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Tamaño</w:t>
            </w:r>
          </w:p>
        </w:tc>
        <w:tc>
          <w:tcPr>
            <w:tcW w:w="3888" w:type="dxa"/>
            <w:shd w:val="clear" w:color="auto" w:fill="1F497D" w:themeFill="text2"/>
          </w:tcPr>
          <w:p w14:paraId="2DAAC2BF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Huella criptográfica SHA-256 / Identificador</w:t>
            </w:r>
          </w:p>
        </w:tc>
      </w:tr>
      <w:tr w:rsidR="00CA5E99" w:rsidRPr="00DB2B43" w14:paraId="4D4A79B7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A80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crudo original</w:t>
            </w:r>
          </w:p>
        </w:tc>
        <w:tc>
          <w:tcPr>
            <w:tcW w:w="2880" w:type="dxa"/>
          </w:tcPr>
          <w:p w14:paraId="081D710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data/raw/licitaciones_salud_marzo_2026.csv</w:t>
            </w:r>
          </w:p>
        </w:tc>
        <w:tc>
          <w:tcPr>
            <w:tcW w:w="1152" w:type="dxa"/>
          </w:tcPr>
          <w:p w14:paraId="6C85303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68,96 MB</w:t>
            </w:r>
          </w:p>
        </w:tc>
        <w:tc>
          <w:tcPr>
            <w:tcW w:w="3888" w:type="dxa"/>
          </w:tcPr>
          <w:p w14:paraId="4C96B92B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490d9209a10d387011d481b72b7891f26e997974ec2cf9dfc518aa4a08552232</w:t>
            </w:r>
          </w:p>
        </w:tc>
      </w:tr>
      <w:tr w:rsidR="00CA5E99" w:rsidRPr="00DB2B43" w14:paraId="73EC04AA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2C4C2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preprocesado F2</w:t>
            </w:r>
          </w:p>
        </w:tc>
        <w:tc>
          <w:tcPr>
            <w:tcW w:w="2880" w:type="dxa"/>
          </w:tcPr>
          <w:p w14:paraId="67734D5C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processed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/licitaciones_salud_marzo_2026_procesado.csv</w:t>
            </w:r>
          </w:p>
        </w:tc>
        <w:tc>
          <w:tcPr>
            <w:tcW w:w="1152" w:type="dxa"/>
          </w:tcPr>
          <w:p w14:paraId="4D6BBBA8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68,16 MB</w:t>
            </w:r>
          </w:p>
        </w:tc>
        <w:tc>
          <w:tcPr>
            <w:tcW w:w="3888" w:type="dxa"/>
          </w:tcPr>
          <w:p w14:paraId="390AF1D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7e835d6725d8c4f9aa64ad97a294dc38fcc341e71373f544c7f6b8ba2ff31dc5</w:t>
            </w:r>
          </w:p>
        </w:tc>
      </w:tr>
      <w:tr w:rsidR="00CA5E99" w:rsidRPr="00DB2B43" w14:paraId="2376C2A1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7BE5D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1</w:t>
            </w:r>
          </w:p>
        </w:tc>
        <w:tc>
          <w:tcPr>
            <w:tcW w:w="2880" w:type="dxa"/>
          </w:tcPr>
          <w:p w14:paraId="6C2E561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F1/F1_Definición.ipynb</w:t>
            </w:r>
          </w:p>
        </w:tc>
        <w:tc>
          <w:tcPr>
            <w:tcW w:w="1152" w:type="dxa"/>
          </w:tcPr>
          <w:p w14:paraId="48A934B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 KB</w:t>
            </w:r>
          </w:p>
        </w:tc>
        <w:tc>
          <w:tcPr>
            <w:tcW w:w="3888" w:type="dxa"/>
          </w:tcPr>
          <w:p w14:paraId="1E57A58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143a94be1a21bfb47b0a2760a2b9496cd4dc979e3be638d2a2d8fbf7bc0be80b</w:t>
            </w:r>
          </w:p>
        </w:tc>
      </w:tr>
      <w:tr w:rsidR="00CA5E99" w:rsidRPr="00DB2B43" w14:paraId="25C9B88F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155B0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2</w:t>
            </w:r>
          </w:p>
        </w:tc>
        <w:tc>
          <w:tcPr>
            <w:tcW w:w="2880" w:type="dxa"/>
          </w:tcPr>
          <w:p w14:paraId="3450F7E7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F2/F2_Preprocesamiento.ipynb</w:t>
            </w:r>
          </w:p>
        </w:tc>
        <w:tc>
          <w:tcPr>
            <w:tcW w:w="1152" w:type="dxa"/>
          </w:tcPr>
          <w:p w14:paraId="214317C9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28 KB</w:t>
            </w:r>
          </w:p>
        </w:tc>
        <w:tc>
          <w:tcPr>
            <w:tcW w:w="3888" w:type="dxa"/>
          </w:tcPr>
          <w:p w14:paraId="25F43CB5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5ef3bb377ddba7cdf3b5c4bba6d76214c355be8a6fdb22d2433e3210879108e4</w:t>
            </w:r>
          </w:p>
        </w:tc>
      </w:tr>
      <w:tr w:rsidR="00CA5E99" w:rsidRPr="00DB2B43" w14:paraId="36120914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BA006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Módulo de ingeniería</w:t>
            </w:r>
          </w:p>
        </w:tc>
        <w:tc>
          <w:tcPr>
            <w:tcW w:w="2880" w:type="dxa"/>
          </w:tcPr>
          <w:p w14:paraId="68ADF03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</w:t>
            </w:r>
          </w:p>
        </w:tc>
        <w:tc>
          <w:tcPr>
            <w:tcW w:w="1152" w:type="dxa"/>
          </w:tcPr>
          <w:p w14:paraId="73E65449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5,8 KB</w:t>
            </w:r>
          </w:p>
        </w:tc>
        <w:tc>
          <w:tcPr>
            <w:tcW w:w="3888" w:type="dxa"/>
          </w:tcPr>
          <w:p w14:paraId="663C6596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Funciones de entorno, hash, lectura, limpieza y validación</w:t>
            </w:r>
          </w:p>
        </w:tc>
      </w:tr>
      <w:tr w:rsidR="00CA5E99" w:rsidRPr="00DB2B43" w14:paraId="6EFACC0E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F319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1</w:t>
            </w:r>
          </w:p>
        </w:tc>
        <w:tc>
          <w:tcPr>
            <w:tcW w:w="2880" w:type="dxa"/>
          </w:tcPr>
          <w:p w14:paraId="45162C25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evidencias/F1_ejecucion.json</w:t>
            </w:r>
          </w:p>
        </w:tc>
        <w:tc>
          <w:tcPr>
            <w:tcW w:w="1152" w:type="dxa"/>
          </w:tcPr>
          <w:p w14:paraId="7EA86878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447 B</w:t>
            </w:r>
          </w:p>
        </w:tc>
        <w:tc>
          <w:tcPr>
            <w:tcW w:w="3888" w:type="dxa"/>
          </w:tcPr>
          <w:p w14:paraId="1DBCCC6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4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  <w:tr w:rsidR="00CA5E99" w:rsidRPr="00DB2B43" w14:paraId="1D0B5F27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73353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2</w:t>
            </w:r>
          </w:p>
        </w:tc>
        <w:tc>
          <w:tcPr>
            <w:tcW w:w="2880" w:type="dxa"/>
          </w:tcPr>
          <w:p w14:paraId="2CCD49D6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evidencias/F2_ejecucion.json</w:t>
            </w:r>
          </w:p>
        </w:tc>
        <w:tc>
          <w:tcPr>
            <w:tcW w:w="1152" w:type="dxa"/>
          </w:tcPr>
          <w:p w14:paraId="5A965BD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508 B</w:t>
            </w:r>
          </w:p>
        </w:tc>
        <w:tc>
          <w:tcPr>
            <w:tcW w:w="3888" w:type="dxa"/>
          </w:tcPr>
          <w:p w14:paraId="554D999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9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</w:tbl>
    <w:p w14:paraId="584E0E58" w14:textId="77777777" w:rsidR="00CA5E99" w:rsidRPr="00DB2B43" w:rsidRDefault="00CA5E99" w:rsidP="00DB2B43">
      <w:pPr>
        <w:rPr>
          <w:rFonts w:ascii="Arial" w:hAnsi="Arial"/>
          <w:color w:val="auto"/>
          <w:sz w:val="24"/>
          <w:szCs w:val="24"/>
        </w:rPr>
      </w:pPr>
    </w:p>
    <w:sectPr w:rsidR="00CA5E99" w:rsidRPr="00DB2B43">
      <w:headerReference w:type="default" r:id="rId33"/>
      <w:footerReference w:type="default" r:id="rId34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547B8" w14:textId="77777777" w:rsidR="00720A64" w:rsidRDefault="00720A64">
      <w:r>
        <w:separator/>
      </w:r>
    </w:p>
  </w:endnote>
  <w:endnote w:type="continuationSeparator" w:id="0">
    <w:p w14:paraId="6EE886F8" w14:textId="77777777" w:rsidR="00720A64" w:rsidRDefault="00720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6EBB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0BB4DC" id="Graphic 17" o:spid="_x0000_s1026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path="m,l2770204,e" filled="f" strokecolor="#1d4b63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BE47DA" id="Graphic 18" o:spid="_x0000_s1026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path="m,l2516399,e" filled="f" strokecolor="#1d4b63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381F0F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204D4" w14:textId="77777777" w:rsidR="00720A64" w:rsidRDefault="00720A64">
      <w:r>
        <w:separator/>
      </w:r>
    </w:p>
  </w:footnote>
  <w:footnote w:type="continuationSeparator" w:id="0">
    <w:p w14:paraId="1EBD5DEA" w14:textId="77777777" w:rsidR="00720A64" w:rsidRDefault="00720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151F9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41863240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1F37FDF" id="Group 12" o:spid="_x0000_s1026" style="position:absolute;margin-left:42.5pt;margin-top:37.85pt;width:527pt;height:9.1pt;z-index:-15815168;mso-wrap-distance-left:0;mso-wrap-distance-right:0;mso-position-horizontal-relative:page;mso-position-vertical-relative:page" coordsize="66929,1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o:spid="_x0000_s1027" style="position:absolute;left:539;top:551;width:66390;height:13;visibility:visible;mso-wrap-style:square;v-text-anchor:top" coordsize="6638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 path="m,l6638404,e" filled="f" strokecolor="#1d4b63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8" type="#_x0000_t75" style="position:absolute;width:115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6F9BC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4056F9BC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385089"/>
    <w:multiLevelType w:val="hybridMultilevel"/>
    <w:tmpl w:val="E3AE1850"/>
    <w:lvl w:ilvl="0" w:tplc="10A4DD8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7"/>
  </w:num>
  <w:num w:numId="7" w16cid:durableId="701251958">
    <w:abstractNumId w:val="1"/>
  </w:num>
  <w:num w:numId="8" w16cid:durableId="922895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A2575"/>
    <w:rsid w:val="002C3333"/>
    <w:rsid w:val="002D371B"/>
    <w:rsid w:val="002D5310"/>
    <w:rsid w:val="002E1CE8"/>
    <w:rsid w:val="002F23A4"/>
    <w:rsid w:val="00317DE7"/>
    <w:rsid w:val="00325008"/>
    <w:rsid w:val="00340A31"/>
    <w:rsid w:val="00381F0F"/>
    <w:rsid w:val="003901FC"/>
    <w:rsid w:val="003A0515"/>
    <w:rsid w:val="003B24EF"/>
    <w:rsid w:val="003B6F13"/>
    <w:rsid w:val="003D3911"/>
    <w:rsid w:val="003E162C"/>
    <w:rsid w:val="003E54EE"/>
    <w:rsid w:val="00461EC4"/>
    <w:rsid w:val="00464217"/>
    <w:rsid w:val="00467CE0"/>
    <w:rsid w:val="00481904"/>
    <w:rsid w:val="00483ECE"/>
    <w:rsid w:val="00486EEB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C41FB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6F215C"/>
    <w:rsid w:val="006F458A"/>
    <w:rsid w:val="00720A64"/>
    <w:rsid w:val="007214FB"/>
    <w:rsid w:val="00724D2F"/>
    <w:rsid w:val="00770240"/>
    <w:rsid w:val="0077744A"/>
    <w:rsid w:val="00782D63"/>
    <w:rsid w:val="00784CCA"/>
    <w:rsid w:val="007B1F3C"/>
    <w:rsid w:val="007C2634"/>
    <w:rsid w:val="00803C56"/>
    <w:rsid w:val="00811041"/>
    <w:rsid w:val="008142D6"/>
    <w:rsid w:val="008439A1"/>
    <w:rsid w:val="008760E4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46FB5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212A6"/>
    <w:rsid w:val="00A32CDC"/>
    <w:rsid w:val="00A43E00"/>
    <w:rsid w:val="00A45ED5"/>
    <w:rsid w:val="00A6381C"/>
    <w:rsid w:val="00A90638"/>
    <w:rsid w:val="00AA1A95"/>
    <w:rsid w:val="00AA2D53"/>
    <w:rsid w:val="00AB60D8"/>
    <w:rsid w:val="00AB7950"/>
    <w:rsid w:val="00AD533A"/>
    <w:rsid w:val="00AF2267"/>
    <w:rsid w:val="00AF7E8A"/>
    <w:rsid w:val="00B048AF"/>
    <w:rsid w:val="00B508A6"/>
    <w:rsid w:val="00B71533"/>
    <w:rsid w:val="00B7774E"/>
    <w:rsid w:val="00B94BDF"/>
    <w:rsid w:val="00B9519A"/>
    <w:rsid w:val="00BA1323"/>
    <w:rsid w:val="00BB0CC0"/>
    <w:rsid w:val="00BB5099"/>
    <w:rsid w:val="00BB6352"/>
    <w:rsid w:val="00BC0427"/>
    <w:rsid w:val="00BC285A"/>
    <w:rsid w:val="00BE3C8C"/>
    <w:rsid w:val="00BF3934"/>
    <w:rsid w:val="00C10EDF"/>
    <w:rsid w:val="00C414ED"/>
    <w:rsid w:val="00C619B6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74B1"/>
    <w:rsid w:val="00D27F19"/>
    <w:rsid w:val="00D74815"/>
    <w:rsid w:val="00D83A70"/>
    <w:rsid w:val="00DA7401"/>
    <w:rsid w:val="00DB2B43"/>
    <w:rsid w:val="00DC1B28"/>
    <w:rsid w:val="00DC20FF"/>
    <w:rsid w:val="00DD3875"/>
    <w:rsid w:val="00DD654E"/>
    <w:rsid w:val="00E02CCA"/>
    <w:rsid w:val="00E0391D"/>
    <w:rsid w:val="00E07CB9"/>
    <w:rsid w:val="00E16DC1"/>
    <w:rsid w:val="00E2439E"/>
    <w:rsid w:val="00E32A92"/>
    <w:rsid w:val="00E34664"/>
    <w:rsid w:val="00E41C76"/>
    <w:rsid w:val="00E443CA"/>
    <w:rsid w:val="00E569E4"/>
    <w:rsid w:val="00E62E82"/>
    <w:rsid w:val="00E736F1"/>
    <w:rsid w:val="00E7407E"/>
    <w:rsid w:val="00E7757E"/>
    <w:rsid w:val="00E874B9"/>
    <w:rsid w:val="00E91A49"/>
    <w:rsid w:val="00E93BC4"/>
    <w:rsid w:val="00EB71D0"/>
    <w:rsid w:val="00EC4F31"/>
    <w:rsid w:val="00ED05CB"/>
    <w:rsid w:val="00ED2DCD"/>
    <w:rsid w:val="00EE713C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1572"/>
    <w:rsid w:val="00F7174B"/>
    <w:rsid w:val="00F77C9C"/>
    <w:rsid w:val="00F814E4"/>
    <w:rsid w:val="00FA6CBE"/>
    <w:rsid w:val="00FB1B22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B4F7C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D37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12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81F0F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D371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12A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table" w:styleId="Tablaconcuadrcula1clara-nfasis1">
    <w:name w:val="Grid Table 1 Light Accent 1"/>
    <w:basedOn w:val="Tablanormal"/>
    <w:uiPriority w:val="46"/>
    <w:rsid w:val="006F458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F458A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0.png"/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3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20</Pages>
  <Words>3976</Words>
  <Characters>21869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Análisis de ofertas en licitaciones públicas del sector Salud (Fases 1 y 2)</vt:lpstr>
    </vt:vector>
  </TitlesOfParts>
  <Company/>
  <LinksUpToDate>false</LinksUpToDate>
  <CharactersWithSpaces>25794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GARRIDO IBAÑEZ NAYADETH ROSA PAZ</cp:lastModifiedBy>
  <cp:revision>35</cp:revision>
  <dcterms:created xsi:type="dcterms:W3CDTF">2026-01-07T16:22:00Z</dcterms:created>
  <dcterms:modified xsi:type="dcterms:W3CDTF">2026-09-16T01:20:00Z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