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Descriptives</w:t>
      </w:r>
      <w:r>
        <w:t xml:space="preserve"> </w:t>
      </w:r>
      <w:r>
        <w:t xml:space="preserve">-</w:t>
      </w:r>
      <w:r>
        <w:t xml:space="preserve"> </w:t>
      </w:r>
      <w:r>
        <w:t xml:space="preserve">Comparison</w:t>
      </w:r>
      <w:r>
        <w:t xml:space="preserve"> </w:t>
      </w:r>
      <w:r>
        <w:t xml:space="preserve">Between</w:t>
      </w:r>
      <w:r>
        <w:t xml:space="preserve"> </w:t>
      </w:r>
      <w:r>
        <w:t xml:space="preserve">National</w:t>
      </w:r>
      <w:r>
        <w:t xml:space="preserve"> </w:t>
      </w:r>
      <w:r>
        <w:t xml:space="preserve">Sample</w:t>
      </w:r>
      <w:r>
        <w:t xml:space="preserve"> </w:t>
      </w:r>
      <w:r>
        <w:t xml:space="preserve">and</w:t>
      </w:r>
      <w:r>
        <w:t xml:space="preserve"> </w:t>
      </w:r>
      <w:r>
        <w:t xml:space="preserve">Not</w:t>
      </w:r>
      <w:r>
        <w:t xml:space="preserve"> </w:t>
      </w:r>
      <w:r>
        <w:t xml:space="preserve">National</w:t>
      </w:r>
      <w:r>
        <w:t xml:space="preserve"> </w:t>
      </w:r>
      <w:r>
        <w:t xml:space="preserve">Sample</w:t>
      </w:r>
    </w:p>
    <w:bookmarkStart w:id="20" w:name="descriptives-before-data-imputation"/>
    <w:p>
      <w:pPr>
        <w:pStyle w:val="Heading1"/>
      </w:pPr>
      <w:r>
        <w:t xml:space="preserve">Descriptives before data imputation</w:t>
      </w:r>
    </w:p>
    <w:p>
      <w:pPr>
        <w:pStyle w:val="FirstParagraph"/>
      </w:pPr>
      <w:r>
        <w:t xml:space="preserve">The table below shows descriptive statistics for all variables in the sample we used for the analyses (the</w:t>
      </w:r>
      <w:r>
        <w:t xml:space="preserve"> </w:t>
      </w:r>
      <w:r>
        <w:t xml:space="preserve">“</w:t>
      </w:r>
      <w:r>
        <w:t xml:space="preserve">national</w:t>
      </w:r>
      <w:r>
        <w:t xml:space="preserve">”</w:t>
      </w:r>
      <w:r>
        <w:t xml:space="preserve"> </w:t>
      </w:r>
      <w:r>
        <w:t xml:space="preserve">column) as well as the sample of women who fulfilled inclusion criteria but were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in the national sample. Where the variable is nominal, the</w:t>
      </w:r>
      <w:r>
        <w:t xml:space="preserve"> </w:t>
      </w:r>
      <w:r>
        <w:rPr>
          <w:iCs/>
          <w:i/>
        </w:rPr>
        <w:t xml:space="preserve">p</w:t>
      </w:r>
      <w:r>
        <w:t xml:space="preserve">-value calculated corresponds to a chi-square test; where the variable is continuous, the</w:t>
      </w:r>
      <w:r>
        <w:t xml:space="preserve"> </w:t>
      </w:r>
      <w:r>
        <w:rPr>
          <w:iCs/>
          <w:i/>
        </w:rPr>
        <w:t xml:space="preserve">p</w:t>
      </w:r>
      <w:r>
        <w:t xml:space="preserve">-value corresponds to a two-sample Welch’s</w:t>
      </w:r>
      <w:r>
        <w:t xml:space="preserve"> </w:t>
      </w:r>
      <w:r>
        <w:rPr>
          <w:iCs/>
          <w:i/>
        </w:rPr>
        <w:t xml:space="preserve">t</w:t>
      </w:r>
      <w:r>
        <w:t xml:space="preserve">-test.</w:t>
      </w:r>
    </w:p>
    <w:p>
      <w:pPr>
        <w:pStyle w:val="BodyText"/>
      </w:pPr>
      <w:r>
        <w:t xml:space="preserve">There were some significant differences in the demographics. Our sample included a smaller proportion of Black women (54.27% vs 77.88%,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.001); a different distribution of alcohol consumption (</w:t>
      </w:r>
      <w:r>
        <w:rPr>
          <w:iCs/>
          <w:i/>
        </w:rPr>
        <w:t xml:space="preserve">p</w:t>
      </w:r>
      <w:r>
        <w:t xml:space="preserve"> </w:t>
      </w:r>
      <w:r>
        <w:t xml:space="preserve">= .027), with a smaller proportion reporting that they never consumed alcohol during the pregnancy (88.86% vs 91.36%) but also a smaller proportion reporting that they consumed alcohol more than once a month (1.95% vs 2.49%); a higher proportion of employed women (42.46% vs 36.95%,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.009); a lower average number of children (1.11 vs 1.34,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.001); a lower proportion of women who had received some sort of welfare in the past year (38.69% vs 44.43%,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.007); a smaller average emotional IPV index (0.20 vs 0.22,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.028); and a smaller proportion of women who experienced any IPV according to our binarized measure (74.07% vs 78.39%,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.025). For all remaining variables, we found no significant differences between the samples.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71"/>
        <w:gridCol w:w="3016"/>
        <w:gridCol w:w="3016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national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1,955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national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m_race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894.00 (45.73%)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169.00 (22.12%)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1,061.00 (54.27%)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595.00 (77.88%)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25.16 (6.04), 15.00 - 43.00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25.55 (6.14), 15.00 - 43.00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59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 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563.00 (28.83%)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226.00 (29.58%)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1,390.00 (71.17%)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538.00 (70.42%)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1,731.00 (88.86%)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698.00 (91.36%)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179.00 (9.19%)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47.00 (6.15%)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38.00 (1.95%)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19.00 (2.49%)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1,857.00 (95.13%)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724.00 (95.01%)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58.00 (2.97%)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 (2.89%)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37.00 (1.90%)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16.00 (2.10%)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817.00 (42.46%)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279.00 (36.95%)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1,107.00 (57.54%)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 (63.05%)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(1.28), 0.00 - 10.00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(1.50), 0.00 - 12.00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m_household_income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539.00 (33.94%)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 (38.34%)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$15,000 to $34,999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463.00 (29.16%)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160.00 (26.10%)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$35,000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586.00 (36.90%)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218.00 (35.56%)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m_welfare_last_year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742.00 (38.69%)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331.00 (44.43%)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m_religious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 (1.36), 1.00 - 5.00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(1.37), 1.00 - 5.00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 (0.92), 1.00 - 5.00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 (0.96), 1.00 - 5.00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7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744.00 (38.33%)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 (35.99%)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1,197.00 (61.67%)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489.00 (64.01%)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m_support_loan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1,771.00 (90.91%)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691.00 (90.56%)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m_support_place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1,821.00 (93.38%)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708.00 (92.79%)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m_support_care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1,833.00 (94.05%)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714.00 (93.58%)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(0.15),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(0.14), 0.00 - 0.83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3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ipv_physical_prop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(0.09),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(0.09),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3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ipv_emotional_prop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(0.22),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(0.22),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3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ipv_controlling_prop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(0.17),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(0.16),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3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informal_support_prop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(0.21),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(0.21),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3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1,317.00 (74.07%)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544.00 (78.39%)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3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informal_support_binary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1,687.00 (86.82%)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651.00 (85.55%)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3" w:hRule="auto"/>
        </w:trPr>
        body59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(SD), Range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Welch Two Sample t-test</w:t>
            </w:r>
          </w:p>
        </w:tc>
      </w:tr>
    </w:tbl>
    <w:bookmarkEnd w:id="20"/>
    <w:bookmarkStart w:id="21" w:name="descriptives-after-data-imputation"/>
    <w:p>
      <w:pPr>
        <w:pStyle w:val="Heading1"/>
      </w:pPr>
      <w:r>
        <w:t xml:space="preserve">Descriptives after data imputation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71"/>
        <w:gridCol w:w="3016"/>
        <w:gridCol w:w="3016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national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1,955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national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m_race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894.00 (45.73%)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169.00 (22.12%)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1,061.00 (54.27%)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595.00 (77.88%)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25.16 (6.04), 15.00 - 43.00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25.55 (6.14), 15.00 - 43.00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59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 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564.00 (28.85%)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226.00 (29.58%)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1,391.00 (71.15%)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538.00 (70.42%)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1,737.00 (88.85%)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698.00 (91.36%)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180.00 (9.21%)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47.00 (6.15%)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38.00 (1.94%)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19.00 (2.49%)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1,860.00 (95.14%)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726.00 (95.03%)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58.00 (2.97%)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 (2.88%)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37.00 (1.89%)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16.00 (2.09%)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824.00 (42.15%)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 (36.65%)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1,131.00 (57.85%)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484.00 (63.35%)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(1.28), 0.00 - 10.00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(1.50), 0.00 - 12.00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m_household_income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732.00 (37.44%)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311.00 (40.71%)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$15,000 to $34,999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568.00 (29.05%)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192.00 (25.13%)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$35,000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655.00 (33.50%)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261.00 (34.16%)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m_welfare_last_year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749.00 (38.31%)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337.00 (44.11%)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m_religious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 (1.36), 1.00 - 5.00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(1.37), 1.00 - 5.00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 (0.92), 1.00 - 5.00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 (0.96), 1.00 - 5.00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9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750.00 (38.36%)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 (35.99%)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1,205.00 (61.64%)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489.00 (64.01%)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m_support_loan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1,776.00 (90.84%)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692.00 (90.58%)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m_support_place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1,826.00 (93.40%)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709.00 (92.80%)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m_support_care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1,839.00 (94.07%)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715.00 (93.59%)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(0.15),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(0.14), 0.00 - 0.83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ipv_physical_prop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(0.09),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(0.08),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ipv_emotional_prop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(0.21),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(0.22),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ipv_controlling_prop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(0.17),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(0.15),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informal_support_prop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(0.21),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(0.21), 0.00 - 1.00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1,349.00 (69.00%)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553.00 (72.38%)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18" w:hRule="auto"/>
        </w:trPr>
        body39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informal_support_binary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1,696.00 (86.75%)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653.00 (85.47%)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(SD), Range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Welch Two Sample t-test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Descriptives - Comparison Between National Sample and Not National Sample</dc:title>
  <dc:creator/>
  <cp:keywords/>
  <dcterms:created xsi:type="dcterms:W3CDTF">2024-04-03T13:13:47Z</dcterms:created>
  <dcterms:modified xsi:type="dcterms:W3CDTF">2024-04-03T13:13:47Z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