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0.png" ContentType="image/png"/>
  <Override PartName="/word/media/rId32.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7" w:name="method"/>
    <w:p>
      <w:pPr>
        <w:pStyle w:val="Heading1"/>
      </w:pPr>
      <w:r>
        <w:t xml:space="preserve">Method</w:t>
      </w:r>
    </w:p>
    <w:p>
      <w:pPr>
        <w:pStyle w:val="FirstParagraph"/>
      </w:pPr>
      <w:r>
        <w:t xml:space="preserve">Data was collected from 10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2023, in response to the massacre and terminated on February 7th, 2024, four months after the starting of the war.</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6"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on this project’s GitHub repository (</w:t>
      </w:r>
      <w:hyperlink r:id="rId25">
        <w:r>
          <w:rPr>
            <w:rStyle w:val="Hyperlink"/>
          </w:rPr>
          <w:t xml:space="preserve">https://github.com/vbrazao/gy_uni_marketing</w:t>
        </w:r>
      </w:hyperlink>
      <w:r>
        <w:t xml:space="preserve">).</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w:t>
      </w:r>
      <w:r>
        <w:t xml:space="preserve"> </w:t>
      </w:r>
      <w:r>
        <w:t xml:space="preserve">(Wooldridge, 2002)</w:t>
      </w:r>
      <w:r>
        <w:t xml:space="preserve">. For ease of interpretation, we then used the models to create predictions on the response scale (e.g., the number of interactions) for our different groups of interest and plotted means and uncertainty of those predictions.</w:t>
      </w:r>
    </w:p>
    <w:bookmarkEnd w:id="26"/>
    <w:bookmarkEnd w:id="27"/>
    <w:bookmarkStart w:id="63" w:name="results"/>
    <w:p>
      <w:pPr>
        <w:pStyle w:val="Heading1"/>
      </w:pPr>
      <w:r>
        <w:t xml:space="preserve">Results</w:t>
      </w:r>
    </w:p>
    <w:bookmarkStart w:id="31" w:name="descriptive-analysis"/>
    <w:p>
      <w:pPr>
        <w:pStyle w:val="Heading2"/>
      </w:pPr>
      <w:r>
        <w:t xml:space="preserve">Descriptive analysis</w:t>
      </w:r>
    </w:p>
    <w:p>
      <w:pPr>
        <w:pStyle w:val="FirstParagraph"/>
      </w:pPr>
      <w:r>
        <w:t xml:space="preserve">We collected 1010 posts from the 10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posts.</w:t>
      </w:r>
    </w:p>
    <w:tbl>
      <w:tblPr>
        <w:tblStyle w:val="Table"/>
        <w:tblW w:type="pct" w:w="5000"/>
        <w:tblLook w:firstRow="0" w:lastRow="0" w:firstColumn="0" w:lastColumn="0" w:noHBand="0" w:noVBand="0" w:val="0000"/>
        <w:jc w:val="start"/>
        <w:tblLayout w:type="fixed"/>
      </w:tblPr>
      <w:tblGrid>
        <w:gridCol w:w="7920"/>
      </w:tblGrid>
      <w:tr>
        <w:tc>
          <w:tcPr/>
          <w:bookmarkStart w:id="28"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8"/>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9"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Max Number of Followers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109,585.00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62,709.00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43,928.00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80,452.00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104,777.00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51,381.00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62,166.00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75,917.00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85,324.00</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35,555.00</w:t>
                  </w:r>
                </w:p>
              </w:tc>
            </w:tr>
          </w:tbl>
          <w:bookmarkEnd w:id="29"/>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30"/>
        </w:tc>
      </w:tr>
    </w:tbl>
    <w:bookmarkEnd w:id="31"/>
    <w:bookmarkStart w:id="36" w:name="how-are-posts-distributed-over-time"/>
    <w:p>
      <w:pPr>
        <w:pStyle w:val="Heading2"/>
      </w:pPr>
      <w:r>
        <w:t xml:space="preserve">How are posts distributed over time?</w:t>
      </w:r>
    </w:p>
    <w:p>
      <w:pPr>
        <w:pStyle w:val="FirstParagraph"/>
      </w:pPr>
      <w:r>
        <w:t xml:space="preserve">As illustrated in</w:t>
      </w:r>
      <w:r>
        <w:t xml:space="preserve"> </w:t>
      </w:r>
      <w:hyperlink w:anchor="fig-timeline">
        <w:r>
          <w:rPr>
            <w:rStyle w:val="Hyperlink"/>
          </w:rPr>
          <w:t xml:space="preserve">Figure 1</w:t>
        </w:r>
      </w:hyperlink>
      <w:r>
        <w:t xml:space="preserve">, there seems to be a trade-off over time between posts related to the marketing of academic programs (which increase in frequency over time) and posts related to community support (which decrease over time). In contrast, there is a high frequency of posts supporting the troops and hostages which does not seem to greatly change over time, and a low frequency of posts related to academic adjustments and updates and instructions throughout the 4 months of data. Alternative visualizations of the data as well as a table summarizing the frequency of posts per 7 day period are presented in the supplementary Descriptives report,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timeline"/>
          <w:p>
            <w:pPr>
              <w:pStyle w:val="Compact"/>
              <w:jc w:val="center"/>
            </w:pPr>
            <w:r>
              <w:drawing>
                <wp:inline>
                  <wp:extent cx="5334000" cy="4267200"/>
                  <wp:effectExtent b="0" l="0" r="0" t="0"/>
                  <wp:docPr descr="" title="" id="33" name="Picture"/>
                  <a:graphic>
                    <a:graphicData uri="http://schemas.openxmlformats.org/drawingml/2006/picture">
                      <pic:pic>
                        <pic:nvPicPr>
                          <pic:cNvPr descr="03_Method-Results-section-draft_files/figure-docx/fig-timelin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all posts</w:t>
            </w:r>
          </w:p>
          <w:bookmarkEnd w:id="35"/>
        </w:tc>
      </w:tr>
    </w:tbl>
    <w:p>
      <w:pPr>
        <w:pStyle w:val="BodyText"/>
      </w:pPr>
      <w:r>
        <w:t xml:space="preserve">Note. Dotted line highlights Oct. 7, 2023. Each point represents one post. Points are arranged as a</w:t>
      </w:r>
      <w:r>
        <w:t xml:space="preserve"> </w:t>
      </w:r>
      <w:r>
        <w:t xml:space="preserve">“</w:t>
      </w:r>
      <w:r>
        <w:t xml:space="preserve">beeswarm</w:t>
      </w:r>
      <w:r>
        <w:t xml:space="preserve">”</w:t>
      </w:r>
      <w:r>
        <w:t xml:space="preserve"> </w:t>
      </w:r>
      <w:r>
        <w:t xml:space="preserve">to make it easier to see how many posts of the same category were published on the same day.</w:t>
      </w:r>
    </w:p>
    <w:bookmarkEnd w:id="36"/>
    <w:bookmarkStart w:id="62"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p>
      <w:pPr>
        <w:pStyle w:val="BodyText"/>
      </w:pPr>
      <w:r>
        <w:t xml:space="preserve">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interactions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interactions to posts vary by post category?</w:t>
      </w:r>
    </w:p>
    <w:bookmarkStart w:id="49" w:name="total-interaction-1"/>
    <w:p>
      <w:pPr>
        <w:pStyle w:val="Heading3"/>
      </w:pPr>
      <w:r>
        <w:t xml:space="preserve">Total Interaction</w:t>
      </w:r>
    </w:p>
    <w:bookmarkStart w:id="42"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fig-total-uni">
        <w:r>
          <w:rPr>
            <w:rStyle w:val="Hyperlink"/>
          </w:rPr>
          <w:t xml:space="preserve">Figure 2</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40" w:name="fig-total-uni"/>
          <w:p>
            <w:pPr>
              <w:pStyle w:val="Compact"/>
              <w:jc w:val="center"/>
            </w:pPr>
            <w:r>
              <w:drawing>
                <wp:inline>
                  <wp:extent cx="5334000" cy="4267200"/>
                  <wp:effectExtent b="0" l="0" r="0" t="0"/>
                  <wp:docPr descr="" title="" id="38" name="Picture"/>
                  <a:graphic>
                    <a:graphicData uri="http://schemas.openxmlformats.org/drawingml/2006/picture">
                      <pic:pic>
                        <pic:nvPicPr>
                          <pic:cNvPr descr="03_Method-Results-section-draft_files/figure-docx/fig-total-uni-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predictions for total interactions by university</w:t>
            </w:r>
          </w:p>
          <w:bookmarkEnd w:id="40"/>
        </w:tc>
      </w:tr>
    </w:tbl>
    <w:p>
      <w:pPr>
        <w:pStyle w:val="BodyText"/>
      </w:pPr>
      <w:r>
        <w:t xml:space="preserve">Note: Points represent expected values for the mean number of total interactions, lines show corresponding 95% Confidence Intervals</w:t>
      </w:r>
    </w:p>
    <w:p>
      <w:pPr>
        <w:pStyle w:val="BodyText"/>
      </w:pPr>
      <w:r>
        <w:t xml:space="preserve">We compute pairwise differences to evaluate which universities receive significantly more (or fewer) interactions than the others. For brevity,</w:t>
      </w:r>
      <w:r>
        <w:t xml:space="preserve"> </w:t>
      </w:r>
      <w:hyperlink w:anchor="tbl-total-uni-pairs">
        <w:r>
          <w:rPr>
            <w:rStyle w:val="Hyperlink"/>
          </w:rPr>
          <w:t xml:space="preserve">Table 4</w:t>
        </w:r>
      </w:hyperlink>
      <w:r>
        <w:t xml:space="preserve"> </w:t>
      </w:r>
      <w:r>
        <w:t xml:space="preserve">below displays all the significant estimates for pairwise differences. For the unabridged table and accompanying plots, see the online Inferential Report,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tbl-total-uni-pairs"/>
          <w:p>
            <w:pPr>
              <w:jc w:val="center"/>
            </w:pPr>
            <w:pPr>
              <w:jc w:val="start"/>
              <w:spacing w:before="200"/>
              <w:pStyle w:val="ImageCaption"/>
            </w:pPr>
            <w:r>
              <w:t xml:space="preserve">Table 4: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41"/>
        </w:tc>
      </w:tr>
    </w:tbl>
    <w:bookmarkEnd w:id="42"/>
    <w:bookmarkStart w:id="48"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fig-total-cat">
        <w:r>
          <w:rPr>
            <w:rStyle w:val="Hyperlink"/>
          </w:rPr>
          <w:t xml:space="preserve">Figure 3</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46" w:name="fig-total-cat"/>
          <w:p>
            <w:pPr>
              <w:pStyle w:val="Compact"/>
              <w:jc w:val="center"/>
            </w:pPr>
            <w:r>
              <w:drawing>
                <wp:inline>
                  <wp:extent cx="5334000" cy="4267200"/>
                  <wp:effectExtent b="0" l="0" r="0" t="0"/>
                  <wp:docPr descr="" title="" id="44" name="Picture"/>
                  <a:graphic>
                    <a:graphicData uri="http://schemas.openxmlformats.org/drawingml/2006/picture">
                      <pic:pic>
                        <pic:nvPicPr>
                          <pic:cNvPr descr="03_Method-Results-section-draft_files/figure-docx/fig-total-ca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predictions for total interactions by category</w:t>
            </w:r>
          </w:p>
          <w:bookmarkEnd w:id="46"/>
        </w:tc>
      </w:tr>
    </w:tbl>
    <w:p>
      <w:pPr>
        <w:pStyle w:val="BodyText"/>
      </w:pPr>
      <w:r>
        <w:t xml:space="preserve">Note: Points represent expected values for the mean number of total interactions, lines show corresponding 95% Confidence Intervals</w:t>
      </w:r>
    </w:p>
    <w:p>
      <w:pPr>
        <w:pStyle w:val="BodyText"/>
      </w:pPr>
      <w:r>
        <w:t xml:space="preserve">We compute pairwise differences to evaluate which categories receive significantly more (or fewer) interactions than the others and present results in</w:t>
      </w:r>
      <w:r>
        <w:t xml:space="preserve"> </w:t>
      </w:r>
      <w:hyperlink w:anchor="tbl-total-cat-pairs">
        <w:r>
          <w:rPr>
            <w:rStyle w:val="Hyperlink"/>
          </w:rPr>
          <w:t xml:space="preserve">Table 5</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47" w:name="tbl-total-cat-pairs"/>
          <w:p>
            <w:pPr>
              <w:jc w:val="center"/>
            </w:pPr>
            <w:pPr>
              <w:jc w:val="start"/>
              <w:spacing w:before="200"/>
              <w:pStyle w:val="ImageCaption"/>
            </w:pPr>
            <w:r>
              <w:t xml:space="preserve">Table 5: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47"/>
        </w:tc>
      </w:tr>
    </w:tbl>
    <w:bookmarkEnd w:id="48"/>
    <w:bookmarkEnd w:id="49"/>
    <w:bookmarkStart w:id="55"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fig-pos-cat">
        <w:r>
          <w:rPr>
            <w:rStyle w:val="Hyperlink"/>
          </w:rPr>
          <w:t xml:space="preserve">Figure 4</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53" w:name="fig-pos-cat"/>
          <w:p>
            <w:pPr>
              <w:pStyle w:val="Compact"/>
              <w:jc w:val="center"/>
            </w:pPr>
            <w:r>
              <w:drawing>
                <wp:inline>
                  <wp:extent cx="5334000" cy="4267200"/>
                  <wp:effectExtent b="0" l="0" r="0" t="0"/>
                  <wp:docPr descr="" title="" id="51" name="Picture"/>
                  <a:graphic>
                    <a:graphicData uri="http://schemas.openxmlformats.org/drawingml/2006/picture">
                      <pic:pic>
                        <pic:nvPicPr>
                          <pic:cNvPr descr="03_Method-Results-section-draft_files/figure-docx/fig-pos-cat-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predictions for positive sentiment by category</w:t>
            </w:r>
          </w:p>
          <w:bookmarkEnd w:id="53"/>
        </w:tc>
      </w:tr>
    </w:tbl>
    <w:p>
      <w:pPr>
        <w:pStyle w:val="BodyText"/>
      </w:pPr>
      <w:r>
        <w:t xml:space="preserve">Note: Points represent expected values for the mean number of positive interactions, lines show corresponding 95% Confidence Intervals</w:t>
      </w:r>
    </w:p>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6</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pos-cat-pairs"/>
          <w:p>
            <w:pPr>
              <w:jc w:val="center"/>
            </w:pPr>
            <w:pPr>
              <w:jc w:val="start"/>
              <w:spacing w:before="200"/>
              <w:pStyle w:val="ImageCaption"/>
            </w:pPr>
            <w:r>
              <w:t xml:space="preserve">Table 6: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54"/>
        </w:tc>
      </w:tr>
    </w:tbl>
    <w:bookmarkEnd w:id="55"/>
    <w:bookmarkStart w:id="61"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fig-neg-cat">
        <w:r>
          <w:rPr>
            <w:rStyle w:val="Hyperlink"/>
          </w:rPr>
          <w:t xml:space="preserve">Figure 5</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59" w:name="fig-neg-cat"/>
          <w:p>
            <w:pPr>
              <w:pStyle w:val="Compact"/>
              <w:jc w:val="center"/>
            </w:pPr>
            <w:r>
              <w:drawing>
                <wp:inline>
                  <wp:extent cx="5334000" cy="4267200"/>
                  <wp:effectExtent b="0" l="0" r="0" t="0"/>
                  <wp:docPr descr="" title="" id="57" name="Picture"/>
                  <a:graphic>
                    <a:graphicData uri="http://schemas.openxmlformats.org/drawingml/2006/picture">
                      <pic:pic>
                        <pic:nvPicPr>
                          <pic:cNvPr descr="03_Method-Results-section-draft_files/figure-docx/fig-neg-cat-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predictions for negative sentiment by category</w:t>
            </w:r>
          </w:p>
          <w:bookmarkEnd w:id="59"/>
        </w:tc>
      </w:tr>
    </w:tbl>
    <w:p>
      <w:pPr>
        <w:pStyle w:val="BodyText"/>
      </w:pPr>
      <w:r>
        <w:t xml:space="preserve">Note: Points represent expected values for the mean number of positive interactions, lines show corresponding 95% Confidence Intervals</w:t>
      </w:r>
    </w:p>
    <w:p>
      <w:pPr>
        <w:pStyle w:val="BodyText"/>
      </w:pPr>
      <w:r>
        <w:t xml:space="preserve">We compute pairwise differences to evaluate which categories receive significantly more (or fewer) interactions than the others and present results in</w:t>
      </w:r>
      <w:r>
        <w:t xml:space="preserve"> </w:t>
      </w:r>
      <w:hyperlink w:anchor="tbl-neg-cat-pairs">
        <w:r>
          <w:rPr>
            <w:rStyle w:val="Hyperlink"/>
          </w:rPr>
          <w:t xml:space="preserve">Table 7</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60" w:name="tbl-neg-cat-pairs"/>
          <w:p>
            <w:pPr>
              <w:jc w:val="center"/>
            </w:pPr>
            <w:pPr>
              <w:jc w:val="start"/>
              <w:spacing w:before="200"/>
              <w:pStyle w:val="ImageCaption"/>
            </w:pPr>
            <w:r>
              <w:t xml:space="preserve">Table 7: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60"/>
        </w:tc>
      </w:tr>
    </w:tbl>
    <w:bookmarkEnd w:id="61"/>
    <w:bookmarkEnd w:id="62"/>
    <w:bookmarkEnd w:id="63"/>
    <w:bookmarkStart w:id="74" w:name="references"/>
    <w:p>
      <w:pPr>
        <w:pStyle w:val="Heading1"/>
      </w:pPr>
      <w:r>
        <w:t xml:space="preserve">References</w:t>
      </w:r>
    </w:p>
    <w:bookmarkStart w:id="73" w:name="refs"/>
    <w:bookmarkStart w:id="65" w:name="ref-aboutus"/>
    <w:p>
      <w:pPr>
        <w:pStyle w:val="Bibliography"/>
      </w:pPr>
      <w:r>
        <w:rPr>
          <w:iCs/>
          <w:i/>
        </w:rPr>
        <w:t xml:space="preserve">About Us | CrowdTangle Help Center</w:t>
      </w:r>
      <w:r>
        <w:t xml:space="preserve">. (n.d.).</w:t>
      </w:r>
      <w:r>
        <w:t xml:space="preserve"> </w:t>
      </w:r>
      <w:hyperlink r:id="rId64">
        <w:r>
          <w:rPr>
            <w:rStyle w:val="Hyperlink"/>
          </w:rPr>
          <w:t xml:space="preserve">http://help.crowdtangle.com/en/articles/4201940-about-us</w:t>
        </w:r>
      </w:hyperlink>
    </w:p>
    <w:bookmarkEnd w:id="65"/>
    <w:bookmarkStart w:id="67"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66">
        <w:r>
          <w:rPr>
            <w:rStyle w:val="Hyperlink"/>
          </w:rPr>
          <w:t xml:space="preserve">https://doi.org/10.1080/19331681.2019.1710318</w:t>
        </w:r>
      </w:hyperlink>
    </w:p>
    <w:bookmarkEnd w:id="67"/>
    <w:bookmarkStart w:id="69"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68">
        <w:r>
          <w:rPr>
            <w:rStyle w:val="Hyperlink"/>
          </w:rPr>
          <w:t xml:space="preserve">https://www.R-project.org/</w:t>
        </w:r>
      </w:hyperlink>
    </w:p>
    <w:bookmarkEnd w:id="69"/>
    <w:bookmarkStart w:id="71"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70">
        <w:r>
          <w:rPr>
            <w:rStyle w:val="Hyperlink"/>
          </w:rPr>
          <w:t xml:space="preserve">http://www.posit.co/</w:t>
        </w:r>
      </w:hyperlink>
    </w:p>
    <w:bookmarkEnd w:id="71"/>
    <w:bookmarkStart w:id="72"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64" Target="http://help.crowdtangle.com/en/articles/4201940-about-us" TargetMode="External" /><Relationship Type="http://schemas.openxmlformats.org/officeDocument/2006/relationships/hyperlink" Id="rId70" Target="http://www.posit.co/" TargetMode="External" /><Relationship Type="http://schemas.openxmlformats.org/officeDocument/2006/relationships/hyperlink" Id="rId66" Target="https://doi.org/10.1080/19331681.2019.1710318" TargetMode="External" /><Relationship Type="http://schemas.openxmlformats.org/officeDocument/2006/relationships/hyperlink" Id="rId25" Target="https://github.com/vbrazao/gy_uni_marketing" TargetMode="External" /><Relationship Type="http://schemas.openxmlformats.org/officeDocument/2006/relationships/hyperlink" Id="rId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4" Target="http://help.crowdtangle.com/en/articles/4201940-about-us" TargetMode="External" /><Relationship Type="http://schemas.openxmlformats.org/officeDocument/2006/relationships/hyperlink" Id="rId70" Target="http://www.posit.co/" TargetMode="External" /><Relationship Type="http://schemas.openxmlformats.org/officeDocument/2006/relationships/hyperlink" Id="rId66" Target="https://doi.org/10.1080/19331681.2019.1710318" TargetMode="External" /><Relationship Type="http://schemas.openxmlformats.org/officeDocument/2006/relationships/hyperlink" Id="rId25" Target="https://github.com/vbrazao/gy_uni_marketing" TargetMode="External" /><Relationship Type="http://schemas.openxmlformats.org/officeDocument/2006/relationships/hyperlink" Id="rId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2024-04-09T12:00:17Z</dcterms:created>
  <dcterms:modified xsi:type="dcterms:W3CDTF">2024-04-09T12:00:17Z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