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method"/>
    <w:p>
      <w:pPr>
        <w:pStyle w:val="Heading1"/>
      </w:pPr>
      <w:r>
        <w:t xml:space="preserve">1. Method</w:t>
      </w:r>
    </w:p>
    <w:p>
      <w:pPr>
        <w:pStyle w:val="FirstParagraph"/>
      </w:pPr>
      <w:r>
        <w:t xml:space="preserve">Data was collected from 9 leading Israeli universities’ public Facebook pages, using CrowdTangle software</w:t>
      </w:r>
      <w:r>
        <w:t xml:space="preserve"> </w:t>
      </w:r>
      <w:r>
        <w:t xml:space="preserve">(</w:t>
      </w:r>
      <w:r>
        <w:rPr>
          <w:iCs/>
          <w:i/>
        </w:rPr>
        <w:t xml:space="preserve">About Us | CrowdTangle Help Center</w:t>
      </w:r>
      <w:r>
        <w:t xml:space="preserve">, n.d.)</w:t>
      </w:r>
      <w:r>
        <w:t xml:space="preserve"> </w:t>
      </w:r>
      <w:r>
        <w:t xml:space="preserve">to extract and mine data. This enabled us to export all data and information from the universities official Facebook pages, including user responses, engagement rates, and reactions.</w:t>
      </w:r>
    </w:p>
    <w:p>
      <w:pPr>
        <w:pStyle w:val="BodyText"/>
      </w:pPr>
      <w:r>
        <w:t xml:space="preserve">Each page’s data was converted into a CSV file, with each sheet representing a different page. The timeframe of this sample was initially started on Oct 7th in response to the massacre and terminated within the __ months post the starting of the war. TO ADD: HOW WERE THE FILES ADDED TOGETHER TO CREATE THE FINAL CSV?</w:t>
      </w:r>
    </w:p>
    <w:bookmarkStart w:id="24" w:name="measures"/>
    <w:p>
      <w:pPr>
        <w:pStyle w:val="Heading2"/>
      </w:pPr>
      <w:r>
        <w:t xml:space="preserve">1.1 Measures</w:t>
      </w:r>
    </w:p>
    <w:p>
      <w:pPr>
        <w:pStyle w:val="FirstParagraph"/>
      </w:pPr>
      <w:r>
        <w:t xml:space="preserve">We were interested in how the number and kind (positive / negative) of interactions to posts were related to the university and the category of post, and therefore created the following measures:</w:t>
      </w:r>
    </w:p>
    <w:bookmarkStart w:id="20" w:name="post-category"/>
    <w:p>
      <w:pPr>
        <w:pStyle w:val="Heading3"/>
      </w:pPr>
      <w:r>
        <w:t xml:space="preserve">1.1.1</w:t>
      </w:r>
      <w:r>
        <w:t xml:space="preserve"> </w:t>
      </w:r>
      <w:r>
        <w:rPr>
          <w:bCs/>
          <w:b/>
        </w:rPr>
        <w:t xml:space="preserve">Post Category</w:t>
      </w:r>
    </w:p>
    <w:p>
      <w:pPr>
        <w:pStyle w:val="FirstParagraph"/>
      </w:pPr>
      <w:r>
        <w:t xml:space="preserve">Posts were manually categorized into one of 5 categories:</w:t>
      </w:r>
      <w:r>
        <w:t xml:space="preserve"> </w:t>
      </w:r>
      <w:r>
        <w:t xml:space="preserve">“</w:t>
      </w:r>
      <w:r>
        <w:t xml:space="preserve">Community Support</w:t>
      </w:r>
      <w:r>
        <w:t xml:space="preserve">”</w:t>
      </w:r>
      <w:r>
        <w:t xml:space="preserve">,</w:t>
      </w:r>
      <w:r>
        <w:t xml:space="preserve"> </w:t>
      </w:r>
      <w:r>
        <w:t xml:space="preserve">“</w:t>
      </w:r>
      <w:r>
        <w:t xml:space="preserve">Updates and Instructions</w:t>
      </w:r>
      <w:r>
        <w:t xml:space="preserve">”</w:t>
      </w:r>
      <w:r>
        <w:t xml:space="preserve">,</w:t>
      </w:r>
      <w:r>
        <w:t xml:space="preserve"> </w:t>
      </w:r>
      <w:r>
        <w:t xml:space="preserve">“</w:t>
      </w:r>
      <w:r>
        <w:t xml:space="preserve">Academic Adjustments</w:t>
      </w:r>
      <w:r>
        <w:t xml:space="preserve">”</w:t>
      </w:r>
      <w:r>
        <w:t xml:space="preserve">,</w:t>
      </w:r>
      <w:r>
        <w:t xml:space="preserve"> </w:t>
      </w:r>
      <w:r>
        <w:t xml:space="preserve">“</w:t>
      </w:r>
      <w:r>
        <w:t xml:space="preserve">Supporting Our Troops and Hostages</w:t>
      </w:r>
      <w:r>
        <w:t xml:space="preserve">”</w:t>
      </w:r>
      <w:r>
        <w:t xml:space="preserve">, and</w:t>
      </w:r>
      <w:r>
        <w:t xml:space="preserve"> </w:t>
      </w:r>
      <w:r>
        <w:t xml:space="preserve">“</w:t>
      </w:r>
      <w:r>
        <w:t xml:space="preserve">Marketing of Academic Programs</w:t>
      </w:r>
      <w:r>
        <w:t xml:space="preserve">”</w:t>
      </w:r>
      <w:r>
        <w:t xml:space="preserve">.</w:t>
      </w:r>
    </w:p>
    <w:bookmarkEnd w:id="20"/>
    <w:bookmarkStart w:id="21" w:name="total-interaction"/>
    <w:p>
      <w:pPr>
        <w:pStyle w:val="Heading3"/>
      </w:pPr>
      <w:r>
        <w:t xml:space="preserve">1.1.2</w:t>
      </w:r>
      <w:r>
        <w:t xml:space="preserve"> </w:t>
      </w:r>
      <w:r>
        <w:rPr>
          <w:bCs/>
          <w:b/>
        </w:rPr>
        <w:t xml:space="preserve">Total Interaction</w:t>
      </w:r>
    </w:p>
    <w:p>
      <w:pPr>
        <w:pStyle w:val="FirstParagraph"/>
      </w:pPr>
      <w:r>
        <w:t xml:space="preserve">Total interaction was measured using the sum of interactions, such as likes, shares, reactions, and comments, on a page, which is consistent with previous studies</w:t>
      </w:r>
      <w:r>
        <w:t xml:space="preserve"> </w:t>
      </w:r>
      <w:r>
        <w:t xml:space="preserve">(Eberl et al., 2020)</w:t>
      </w:r>
      <w:r>
        <w:t xml:space="preserve">.</w:t>
      </w:r>
    </w:p>
    <w:bookmarkEnd w:id="21"/>
    <w:bookmarkStart w:id="22" w:name="positive-sentiment"/>
    <w:p>
      <w:pPr>
        <w:pStyle w:val="Heading3"/>
      </w:pPr>
      <w:r>
        <w:t xml:space="preserve">1.1.3</w:t>
      </w:r>
      <w:r>
        <w:t xml:space="preserve"> </w:t>
      </w:r>
      <w:r>
        <w:rPr>
          <w:bCs/>
          <w:b/>
        </w:rPr>
        <w:t xml:space="preserve">Positive Sentiment</w:t>
      </w:r>
    </w:p>
    <w:p>
      <w:pPr>
        <w:pStyle w:val="FirstParagraph"/>
      </w:pPr>
      <w:r>
        <w:t xml:space="preserve">Positive sentiment was calculated for each post by adding the number of positive reactions, namely</w:t>
      </w:r>
      <w:r>
        <w:t xml:space="preserve"> </w:t>
      </w:r>
      <w:r>
        <w:t xml:space="preserve">“</w:t>
      </w:r>
      <w:r>
        <w:t xml:space="preserve">Likes</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Care</w:t>
      </w:r>
      <w:r>
        <w:t xml:space="preserve">”</w:t>
      </w:r>
      <w:r>
        <w:t xml:space="preserve"> </w:t>
      </w:r>
      <w:r>
        <w:t xml:space="preserve">reactions.</w:t>
      </w:r>
    </w:p>
    <w:bookmarkEnd w:id="22"/>
    <w:bookmarkStart w:id="23" w:name="negative-sentiment"/>
    <w:p>
      <w:pPr>
        <w:pStyle w:val="Heading3"/>
      </w:pPr>
      <w:r>
        <w:t xml:space="preserve">1.1.4</w:t>
      </w:r>
      <w:r>
        <w:t xml:space="preserve"> </w:t>
      </w:r>
      <w:r>
        <w:rPr>
          <w:bCs/>
          <w:b/>
        </w:rPr>
        <w:t xml:space="preserve">Negative Sentiment</w:t>
      </w:r>
    </w:p>
    <w:p>
      <w:pPr>
        <w:pStyle w:val="FirstParagraph"/>
      </w:pPr>
      <w:r>
        <w:t xml:space="preserve">Negative sentiment was calculated for each post by adding the number of negative reactions, namely the</w:t>
      </w:r>
      <w:r>
        <w:t xml:space="preserve"> </w:t>
      </w:r>
      <w:r>
        <w:t xml:space="preserve">“</w:t>
      </w:r>
      <w:r>
        <w:t xml:space="preserve">Sad</w:t>
      </w:r>
      <w:r>
        <w:t xml:space="preserve">”</w:t>
      </w:r>
      <w:r>
        <w:t xml:space="preserve"> </w:t>
      </w:r>
      <w:r>
        <w:t xml:space="preserve">and</w:t>
      </w:r>
      <w:r>
        <w:t xml:space="preserve"> </w:t>
      </w:r>
      <w:r>
        <w:t xml:space="preserve">“</w:t>
      </w:r>
      <w:r>
        <w:t xml:space="preserve">Angry</w:t>
      </w:r>
      <w:r>
        <w:t xml:space="preserve">”</w:t>
      </w:r>
      <w:r>
        <w:t xml:space="preserve"> </w:t>
      </w:r>
      <w:r>
        <w:t xml:space="preserve">reactions.</w:t>
      </w:r>
    </w:p>
    <w:bookmarkEnd w:id="23"/>
    <w:bookmarkEnd w:id="24"/>
    <w:bookmarkEnd w:id="25"/>
    <w:bookmarkStart w:id="30" w:name="results"/>
    <w:p>
      <w:pPr>
        <w:pStyle w:val="Heading1"/>
      </w:pPr>
      <w:r>
        <w:t xml:space="preserve">2. Results</w:t>
      </w:r>
    </w:p>
    <w:bookmarkStart w:id="29" w:name="descriptives"/>
    <w:p>
      <w:pPr>
        <w:pStyle w:val="Heading2"/>
      </w:pPr>
      <w:r>
        <w:t xml:space="preserve">2.1 Descriptives</w:t>
      </w:r>
    </w:p>
    <w:p>
      <w:pPr>
        <w:pStyle w:val="FirstParagraph"/>
      </w:pPr>
      <w:r>
        <w:t xml:space="preserve">We collected 1010 posts from the 9 Universities included in the sample.</w:t>
      </w:r>
      <w:r>
        <w:t xml:space="preserve"> </w:t>
      </w:r>
      <w:hyperlink w:anchor="tbl-n_posts">
        <w:r>
          <w:rPr>
            <w:rStyle w:val="Hyperlink"/>
          </w:rPr>
          <w:t xml:space="preserve">Table 1</w:t>
        </w:r>
      </w:hyperlink>
      <w:r>
        <w:t xml:space="preserve"> </w:t>
      </w:r>
      <w:r>
        <w:t xml:space="preserve">shows the total number of posts in each category created within each University’s Facebook page, as well as the total number of posts for each University. We can see that all universities had over 70 posts in this period, with Bar-Ilan University topping the chart with 128 post.</w:t>
      </w:r>
    </w:p>
    <w:tbl>
      <w:tblPr>
        <w:tblStyle w:val="Table"/>
        <w:tblW w:type="pct" w:w="5000"/>
        <w:tblLook w:firstRow="0" w:lastRow="0" w:firstColumn="0" w:lastColumn="0" w:noHBand="0" w:noVBand="0" w:val="0000"/>
        <w:jc w:val="start"/>
        <w:tblLayout w:type="fixed"/>
      </w:tblPr>
      <w:tblGrid>
        <w:gridCol w:w="7920"/>
      </w:tblGrid>
      <w:tr>
        <w:tc>
          <w:tcPr/>
          <w:bookmarkStart w:id="26" w:name="tbl-n_posts"/>
          <w:p>
            <w:pPr>
              <w:jc w:val="center"/>
            </w:pPr>
            <w:pPr>
              <w:jc w:val="start"/>
              <w:spacing w:before="200"/>
              <w:pStyle w:val="ImageCaption"/>
            </w:pPr>
            <w:r>
              <w:t xml:space="preserve">Table 1: Number of posts in sample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6"/>
        </w:tc>
      </w:tr>
    </w:tbl>
    <w:p>
      <w:pPr>
        <w:pStyle w:val="BodyText"/>
      </w:pPr>
      <w:r>
        <w:t xml:space="preserve">Examining the descriptive statistics by University, as presented in</w:t>
      </w:r>
      <w:r>
        <w:t xml:space="preserve"> </w:t>
      </w:r>
      <w:hyperlink w:anchor="tbl-uni">
        <w:r>
          <w:rPr>
            <w:rStyle w:val="Hyperlink"/>
          </w:rPr>
          <w:t xml:space="preserve">Table 2</w:t>
        </w:r>
      </w:hyperlink>
      <w:r>
        <w:t xml:space="preserve">, we see clear signs of overdispersion (the standard deviation of each count is clearly higher than the mean). The same can be observed when we calculate descriptive statistics for each category instea, as in</w:t>
      </w:r>
      <w:r>
        <w:t xml:space="preserve"> </w:t>
      </w:r>
      <w:hyperlink w:anchor="tbl-cat">
        <w:r>
          <w:rPr>
            <w:rStyle w:val="Hyperlink"/>
          </w:rPr>
          <w:t xml:space="preserve">Table 3</w:t>
        </w:r>
      </w:hyperlink>
      <w:r>
        <w:t xml:space="preserve">. More descriptive analyses, including simple visualizations of the raw data itself, are available at (ADD LINK OR EXPLAIN GITHUB REPOSITORY).</w:t>
      </w:r>
    </w:p>
    <w:tbl>
      <w:tblPr>
        <w:tblStyle w:val="Table"/>
        <w:tblW w:type="pct" w:w="5000"/>
        <w:tblLook w:firstRow="0" w:lastRow="0" w:firstColumn="0" w:lastColumn="0" w:noHBand="0" w:noVBand="0" w:val="0000"/>
        <w:jc w:val="start"/>
        <w:tblLayout w:type="fixed"/>
      </w:tblPr>
      <w:tblGrid>
        <w:gridCol w:w="7920"/>
      </w:tblGrid>
      <w:tr>
        <w:tc>
          <w:tcPr/>
          <w:bookmarkStart w:id="27" w:name="tbl-uni"/>
          <w:p>
            <w:pPr>
              <w:jc w:val="center"/>
            </w:pPr>
            <w:pPr>
              <w:jc w:val="start"/>
              <w:spacing w:before="200"/>
              <w:pStyle w:val="ImageCaption"/>
            </w:pPr>
            <w:r>
              <w:t xml:space="preserve">Table 2: Descriptives for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7"/>
        </w:tc>
      </w:tr>
    </w:tbl>
    <w:tbl>
      <w:tblPr>
        <w:tblStyle w:val="Table"/>
        <w:tblW w:type="pct" w:w="5000"/>
        <w:tblLook w:firstRow="0" w:lastRow="0" w:firstColumn="0" w:lastColumn="0" w:noHBand="0" w:noVBand="0" w:val="0000"/>
        <w:jc w:val="start"/>
        <w:tblLayout w:type="fixed"/>
      </w:tblPr>
      <w:tblGrid>
        <w:gridCol w:w="7920"/>
      </w:tblGrid>
      <w:tr>
        <w:tc>
          <w:tcPr/>
          <w:bookmarkStart w:id="28" w:name="tbl-cat"/>
          <w:p>
            <w:pPr>
              <w:jc w:val="center"/>
            </w:pPr>
            <w:pPr>
              <w:jc w:val="start"/>
              <w:spacing w:before="200"/>
              <w:pStyle w:val="ImageCaption"/>
            </w:pPr>
            <w:r>
              <w:t xml:space="preserve">Table 3: Descriptives for interactions by Post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28"/>
        </w:tc>
      </w:tr>
    </w:tbl>
    <w:bookmarkEnd w:id="29"/>
    <w:bookmarkEnd w:id="30"/>
    <w:bookmarkStart w:id="36" w:name="references"/>
    <w:p>
      <w:pPr>
        <w:pStyle w:val="Heading1"/>
      </w:pPr>
      <w:r>
        <w:t xml:space="preserve">3. References</w:t>
      </w:r>
    </w:p>
    <w:bookmarkStart w:id="35" w:name="refs"/>
    <w:bookmarkStart w:id="32" w:name="ref-aboutus"/>
    <w:p>
      <w:pPr>
        <w:pStyle w:val="Bibliography"/>
      </w:pPr>
      <w:r>
        <w:rPr>
          <w:iCs/>
          <w:i/>
        </w:rPr>
        <w:t xml:space="preserve">About Us | CrowdTangle Help Center</w:t>
      </w:r>
      <w:r>
        <w:t xml:space="preserve">. (n.d.).</w:t>
      </w:r>
      <w:r>
        <w:t xml:space="preserve"> </w:t>
      </w:r>
      <w:hyperlink r:id="rId31">
        <w:r>
          <w:rPr>
            <w:rStyle w:val="Hyperlink"/>
          </w:rPr>
          <w:t xml:space="preserve">http://help.crowdtangle.com/en/articles/4201940-about-us</w:t>
        </w:r>
      </w:hyperlink>
    </w:p>
    <w:bookmarkEnd w:id="32"/>
    <w:bookmarkStart w:id="34" w:name="ref-eberl2020"/>
    <w:p>
      <w:pPr>
        <w:pStyle w:val="Bibliography"/>
      </w:pPr>
      <w:r>
        <w:t xml:space="preserve">Eberl, J.-M., Tolochko, P., Jost, P., Heidenreich, T., &amp; Boomgaarden, H. G. (2020). What</w:t>
      </w:r>
      <w:r>
        <w:t xml:space="preserve">’</w:t>
      </w:r>
      <w:r>
        <w:t xml:space="preserve">s in a post? How sentiment and issue salience affect users</w:t>
      </w:r>
      <w:r>
        <w:t xml:space="preserve">’</w:t>
      </w:r>
      <w:r>
        <w:t xml:space="preserve"> </w:t>
      </w:r>
      <w:r>
        <w:t xml:space="preserve">emotional reactions on Facebook.</w:t>
      </w:r>
      <w:r>
        <w:t xml:space="preserve"> </w:t>
      </w:r>
      <w:r>
        <w:rPr>
          <w:iCs/>
          <w:i/>
        </w:rPr>
        <w:t xml:space="preserve">Journal of Information Technology &amp; Politics</w:t>
      </w:r>
      <w:r>
        <w:t xml:space="preserve">,</w:t>
      </w:r>
      <w:r>
        <w:t xml:space="preserve"> </w:t>
      </w:r>
      <w:r>
        <w:rPr>
          <w:iCs/>
          <w:i/>
        </w:rPr>
        <w:t xml:space="preserve">17</w:t>
      </w:r>
      <w:r>
        <w:t xml:space="preserve">(1), 48–65.</w:t>
      </w:r>
      <w:r>
        <w:t xml:space="preserve"> </w:t>
      </w:r>
      <w:hyperlink r:id="rId33">
        <w:r>
          <w:rPr>
            <w:rStyle w:val="Hyperlink"/>
          </w:rPr>
          <w:t xml:space="preserve">https://doi.org/10.1080/19331681.2019.1710318</w:t>
        </w:r>
      </w:hyperlink>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help.crowdtangle.com/en/articles/4201940-about-us" TargetMode="External" /><Relationship Type="http://schemas.openxmlformats.org/officeDocument/2006/relationships/hyperlink" Id="rId33" Target="https://doi.org/10.1080/19331681.2019.1710318" TargetMode="External" /></Relationships>
</file>

<file path=word/_rels/footnotes.xml.rels><?xml version="1.0" encoding="UTF-8"?><Relationships xmlns="http://schemas.openxmlformats.org/package/2006/relationships"><Relationship Type="http://schemas.openxmlformats.org/officeDocument/2006/relationships/hyperlink" Id="rId31" Target="http://help.crowdtangle.com/en/articles/4201940-about-us" TargetMode="External" /><Relationship Type="http://schemas.openxmlformats.org/officeDocument/2006/relationships/hyperlink" Id="rId33" Target="https://doi.org/10.1080/19331681.2019.17103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2024-03-21T14:32:03Z</dcterms:created>
  <dcterms:modified xsi:type="dcterms:W3CDTF">2024-03-21T14:32:03Z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