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35BD"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Issue 2: Safe Harbour vs. Content Creator/Publisher Liability</w:t>
      </w:r>
    </w:p>
    <w:p w14:paraId="026C45F1"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Preliminary Framing</w:t>
      </w:r>
    </w:p>
    <w:p w14:paraId="0EC3DD76"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Before diving into sides, understand the </w:t>
      </w:r>
      <w:r w:rsidRPr="001149F1">
        <w:rPr>
          <w:rFonts w:ascii="Times New Roman" w:hAnsi="Times New Roman" w:cs="Times New Roman"/>
          <w:b/>
          <w:bCs/>
          <w:sz w:val="24"/>
          <w:szCs w:val="24"/>
        </w:rPr>
        <w:t>structural tension</w:t>
      </w:r>
      <w:r w:rsidRPr="001149F1">
        <w:rPr>
          <w:rFonts w:ascii="Times New Roman" w:hAnsi="Times New Roman" w:cs="Times New Roman"/>
          <w:sz w:val="24"/>
          <w:szCs w:val="24"/>
        </w:rPr>
        <w:t xml:space="preserve"> at the heart of this issue. Section 79 of the IT Act was designed in an era of </w:t>
      </w:r>
      <w:r w:rsidRPr="001149F1">
        <w:rPr>
          <w:rFonts w:ascii="Times New Roman" w:hAnsi="Times New Roman" w:cs="Times New Roman"/>
          <w:i/>
          <w:iCs/>
          <w:sz w:val="24"/>
          <w:szCs w:val="24"/>
        </w:rPr>
        <w:t>passive</w:t>
      </w:r>
      <w:r w:rsidRPr="001149F1">
        <w:rPr>
          <w:rFonts w:ascii="Times New Roman" w:hAnsi="Times New Roman" w:cs="Times New Roman"/>
          <w:sz w:val="24"/>
          <w:szCs w:val="24"/>
        </w:rPr>
        <w:t xml:space="preserve"> platforms — forums, hosting services, search engines.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represents something categorically different: an AI system that doesn't merely </w:t>
      </w:r>
      <w:r w:rsidRPr="001149F1">
        <w:rPr>
          <w:rFonts w:ascii="Times New Roman" w:hAnsi="Times New Roman" w:cs="Times New Roman"/>
          <w:i/>
          <w:iCs/>
          <w:sz w:val="24"/>
          <w:szCs w:val="24"/>
        </w:rPr>
        <w:t>carry</w:t>
      </w:r>
      <w:r w:rsidRPr="001149F1">
        <w:rPr>
          <w:rFonts w:ascii="Times New Roman" w:hAnsi="Times New Roman" w:cs="Times New Roman"/>
          <w:sz w:val="24"/>
          <w:szCs w:val="24"/>
        </w:rPr>
        <w:t xml:space="preserve"> content but </w:t>
      </w:r>
      <w:r w:rsidRPr="001149F1">
        <w:rPr>
          <w:rFonts w:ascii="Times New Roman" w:hAnsi="Times New Roman" w:cs="Times New Roman"/>
          <w:b/>
          <w:bCs/>
          <w:sz w:val="24"/>
          <w:szCs w:val="24"/>
        </w:rPr>
        <w:t>synthesizes</w:t>
      </w:r>
      <w:r w:rsidRPr="001149F1">
        <w:rPr>
          <w:rFonts w:ascii="Times New Roman" w:hAnsi="Times New Roman" w:cs="Times New Roman"/>
          <w:sz w:val="24"/>
          <w:szCs w:val="24"/>
        </w:rPr>
        <w:t xml:space="preserve"> it. The entire debate pivots on whether the law can stretch to accommodate this new reality, or whether the court must declare the old framework inapplicable.</w:t>
      </w:r>
    </w:p>
    <w:p w14:paraId="0B13A01C"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issue also has a </w:t>
      </w:r>
      <w:r w:rsidRPr="001149F1">
        <w:rPr>
          <w:rFonts w:ascii="Times New Roman" w:hAnsi="Times New Roman" w:cs="Times New Roman"/>
          <w:b/>
          <w:bCs/>
          <w:sz w:val="24"/>
          <w:szCs w:val="24"/>
        </w:rPr>
        <w:t>sub-question embedded within it</w:t>
      </w:r>
      <w:r w:rsidRPr="001149F1">
        <w:rPr>
          <w:rFonts w:ascii="Times New Roman" w:hAnsi="Times New Roman" w:cs="Times New Roman"/>
          <w:sz w:val="24"/>
          <w:szCs w:val="24"/>
        </w:rPr>
        <w:t xml:space="preserve"> that most participants will miss: even if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qualifies as an intermediary for its general services, does the </w:t>
      </w:r>
      <w:r w:rsidRPr="001149F1">
        <w:rPr>
          <w:rFonts w:ascii="Times New Roman" w:hAnsi="Times New Roman" w:cs="Times New Roman"/>
          <w:i/>
          <w:iCs/>
          <w:sz w:val="24"/>
          <w:szCs w:val="24"/>
        </w:rPr>
        <w:t>specific Personality Model feature</w:t>
      </w:r>
      <w:r w:rsidRPr="001149F1">
        <w:rPr>
          <w:rFonts w:ascii="Times New Roman" w:hAnsi="Times New Roman" w:cs="Times New Roman"/>
          <w:sz w:val="24"/>
          <w:szCs w:val="24"/>
        </w:rPr>
        <w:t xml:space="preserve"> attract a different classification? You should argue these as separable — the platform might be an intermediary, but the Personality Model feature is a content creation engine.</w:t>
      </w:r>
    </w:p>
    <w:p w14:paraId="0AF20B0C"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49BAF1EB">
          <v:rect id="_x0000_i1025" style="width:0;height:1.5pt" o:hralign="center" o:hrstd="t" o:hr="t" fillcolor="#a0a0a0" stroked="f"/>
        </w:pict>
      </w:r>
    </w:p>
    <w:p w14:paraId="029E79AB"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Sources Master List — Issue 2</w:t>
      </w:r>
    </w:p>
    <w:p w14:paraId="14AE5257"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For the Appellant (Rachel's Side)</w:t>
      </w:r>
    </w:p>
    <w:p w14:paraId="7E999671"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Indian Case Law</w:t>
      </w:r>
    </w:p>
    <w:p w14:paraId="652D5ECA" w14:textId="77777777" w:rsidR="001149F1" w:rsidRPr="001149F1" w:rsidRDefault="001149F1" w:rsidP="001149F1">
      <w:pPr>
        <w:numPr>
          <w:ilvl w:val="0"/>
          <w:numId w:val="1"/>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Shreya Singhal v. Union of India</w:t>
      </w:r>
      <w:r w:rsidRPr="001149F1">
        <w:rPr>
          <w:rFonts w:ascii="Times New Roman" w:hAnsi="Times New Roman" w:cs="Times New Roman"/>
          <w:sz w:val="24"/>
          <w:szCs w:val="24"/>
        </w:rPr>
        <w:t>, (2015) 5 SCC 1 — foundational reading of S.79; its conditions and exceptions</w:t>
      </w:r>
    </w:p>
    <w:p w14:paraId="189A6166" w14:textId="77777777" w:rsidR="001149F1" w:rsidRPr="001149F1" w:rsidRDefault="001149F1" w:rsidP="001149F1">
      <w:pPr>
        <w:numPr>
          <w:ilvl w:val="0"/>
          <w:numId w:val="1"/>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Christian Louboutin SAS v. Nakul Bajaj &amp; Ors.</w:t>
      </w:r>
      <w:r w:rsidRPr="001149F1">
        <w:rPr>
          <w:rFonts w:ascii="Times New Roman" w:hAnsi="Times New Roman" w:cs="Times New Roman"/>
          <w:sz w:val="24"/>
          <w:szCs w:val="24"/>
        </w:rPr>
        <w:t xml:space="preserve">, 2018 SCC </w:t>
      </w:r>
      <w:proofErr w:type="spellStart"/>
      <w:r w:rsidRPr="001149F1">
        <w:rPr>
          <w:rFonts w:ascii="Times New Roman" w:hAnsi="Times New Roman" w:cs="Times New Roman"/>
          <w:sz w:val="24"/>
          <w:szCs w:val="24"/>
        </w:rPr>
        <w:t>OnLine</w:t>
      </w:r>
      <w:proofErr w:type="spellEnd"/>
      <w:r w:rsidRPr="001149F1">
        <w:rPr>
          <w:rFonts w:ascii="Times New Roman" w:hAnsi="Times New Roman" w:cs="Times New Roman"/>
          <w:sz w:val="24"/>
          <w:szCs w:val="24"/>
        </w:rPr>
        <w:t xml:space="preserve"> Del 12220 — Delhi HC's distinction between active and passive intermediaries; the "specific knowledge" test</w:t>
      </w:r>
    </w:p>
    <w:p w14:paraId="75973CC0" w14:textId="77777777" w:rsidR="001149F1" w:rsidRPr="001149F1" w:rsidRDefault="001149F1" w:rsidP="001149F1">
      <w:pPr>
        <w:numPr>
          <w:ilvl w:val="0"/>
          <w:numId w:val="1"/>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Kent RO Systems Ltd. v. Amit Kotak</w:t>
      </w:r>
      <w:r w:rsidRPr="001149F1">
        <w:rPr>
          <w:rFonts w:ascii="Times New Roman" w:hAnsi="Times New Roman" w:cs="Times New Roman"/>
          <w:sz w:val="24"/>
          <w:szCs w:val="24"/>
        </w:rPr>
        <w:t xml:space="preserve">, 2017 SCC </w:t>
      </w:r>
      <w:proofErr w:type="spellStart"/>
      <w:r w:rsidRPr="001149F1">
        <w:rPr>
          <w:rFonts w:ascii="Times New Roman" w:hAnsi="Times New Roman" w:cs="Times New Roman"/>
          <w:sz w:val="24"/>
          <w:szCs w:val="24"/>
        </w:rPr>
        <w:t>OnLine</w:t>
      </w:r>
      <w:proofErr w:type="spellEnd"/>
      <w:r w:rsidRPr="001149F1">
        <w:rPr>
          <w:rFonts w:ascii="Times New Roman" w:hAnsi="Times New Roman" w:cs="Times New Roman"/>
          <w:sz w:val="24"/>
          <w:szCs w:val="24"/>
        </w:rPr>
        <w:t xml:space="preserve"> Del 7526 — intermediary who exercises editorial control loses protection</w:t>
      </w:r>
    </w:p>
    <w:p w14:paraId="46028284" w14:textId="77777777" w:rsidR="001149F1" w:rsidRPr="001149F1" w:rsidRDefault="001149F1" w:rsidP="001149F1">
      <w:pPr>
        <w:numPr>
          <w:ilvl w:val="0"/>
          <w:numId w:val="1"/>
        </w:numPr>
        <w:spacing w:line="360" w:lineRule="auto"/>
        <w:rPr>
          <w:rFonts w:ascii="Times New Roman" w:hAnsi="Times New Roman" w:cs="Times New Roman"/>
          <w:sz w:val="24"/>
          <w:szCs w:val="24"/>
        </w:rPr>
      </w:pPr>
      <w:proofErr w:type="spellStart"/>
      <w:r w:rsidRPr="001149F1">
        <w:rPr>
          <w:rFonts w:ascii="Times New Roman" w:hAnsi="Times New Roman" w:cs="Times New Roman"/>
          <w:i/>
          <w:iCs/>
          <w:sz w:val="24"/>
          <w:szCs w:val="24"/>
        </w:rPr>
        <w:t>MySpace</w:t>
      </w:r>
      <w:proofErr w:type="spellEnd"/>
      <w:r w:rsidRPr="001149F1">
        <w:rPr>
          <w:rFonts w:ascii="Times New Roman" w:hAnsi="Times New Roman" w:cs="Times New Roman"/>
          <w:i/>
          <w:iCs/>
          <w:sz w:val="24"/>
          <w:szCs w:val="24"/>
        </w:rPr>
        <w:t xml:space="preserve"> Inc. v. Super Cassettes Industries</w:t>
      </w:r>
      <w:r w:rsidRPr="001149F1">
        <w:rPr>
          <w:rFonts w:ascii="Times New Roman" w:hAnsi="Times New Roman" w:cs="Times New Roman"/>
          <w:sz w:val="24"/>
          <w:szCs w:val="24"/>
        </w:rPr>
        <w:t xml:space="preserve">, 2016 SCC </w:t>
      </w:r>
      <w:proofErr w:type="spellStart"/>
      <w:r w:rsidRPr="001149F1">
        <w:rPr>
          <w:rFonts w:ascii="Times New Roman" w:hAnsi="Times New Roman" w:cs="Times New Roman"/>
          <w:sz w:val="24"/>
          <w:szCs w:val="24"/>
        </w:rPr>
        <w:t>OnLine</w:t>
      </w:r>
      <w:proofErr w:type="spellEnd"/>
      <w:r w:rsidRPr="001149F1">
        <w:rPr>
          <w:rFonts w:ascii="Times New Roman" w:hAnsi="Times New Roman" w:cs="Times New Roman"/>
          <w:sz w:val="24"/>
          <w:szCs w:val="24"/>
        </w:rPr>
        <w:t xml:space="preserve"> Del 6382 — knowledge and participation strips safe harbour</w:t>
      </w:r>
    </w:p>
    <w:p w14:paraId="6955EA07" w14:textId="77777777" w:rsidR="001149F1" w:rsidRPr="001149F1" w:rsidRDefault="001149F1" w:rsidP="001149F1">
      <w:pPr>
        <w:numPr>
          <w:ilvl w:val="0"/>
          <w:numId w:val="1"/>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 xml:space="preserve">Google India </w:t>
      </w:r>
      <w:proofErr w:type="spellStart"/>
      <w:r w:rsidRPr="001149F1">
        <w:rPr>
          <w:rFonts w:ascii="Times New Roman" w:hAnsi="Times New Roman" w:cs="Times New Roman"/>
          <w:i/>
          <w:iCs/>
          <w:sz w:val="24"/>
          <w:szCs w:val="24"/>
        </w:rPr>
        <w:t>Pvt.</w:t>
      </w:r>
      <w:proofErr w:type="spellEnd"/>
      <w:r w:rsidRPr="001149F1">
        <w:rPr>
          <w:rFonts w:ascii="Times New Roman" w:hAnsi="Times New Roman" w:cs="Times New Roman"/>
          <w:i/>
          <w:iCs/>
          <w:sz w:val="24"/>
          <w:szCs w:val="24"/>
        </w:rPr>
        <w:t xml:space="preserve"> Ltd. v. Vishaka Industries</w:t>
      </w:r>
      <w:r w:rsidRPr="001149F1">
        <w:rPr>
          <w:rFonts w:ascii="Times New Roman" w:hAnsi="Times New Roman" w:cs="Times New Roman"/>
          <w:sz w:val="24"/>
          <w:szCs w:val="24"/>
        </w:rPr>
        <w:t>, 2019 — facilitating infringement = active role</w:t>
      </w:r>
    </w:p>
    <w:p w14:paraId="1FFFF3D9" w14:textId="77777777" w:rsidR="001149F1" w:rsidRPr="001149F1" w:rsidRDefault="001149F1" w:rsidP="001149F1">
      <w:pPr>
        <w:numPr>
          <w:ilvl w:val="0"/>
          <w:numId w:val="1"/>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lastRenderedPageBreak/>
        <w:t>Zeta Entertainment v. Google India</w:t>
      </w:r>
      <w:r w:rsidRPr="001149F1">
        <w:rPr>
          <w:rFonts w:ascii="Times New Roman" w:hAnsi="Times New Roman" w:cs="Times New Roman"/>
          <w:sz w:val="24"/>
          <w:szCs w:val="24"/>
        </w:rPr>
        <w:t>, Madras HC — platform actively moderating = publisher standard</w:t>
      </w:r>
    </w:p>
    <w:p w14:paraId="393A957D"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Comparative / Foreign Case Law</w:t>
      </w:r>
    </w:p>
    <w:p w14:paraId="1785A518"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L'Oréal SA v. eBay International AG</w:t>
      </w:r>
      <w:r w:rsidRPr="001149F1">
        <w:rPr>
          <w:rFonts w:ascii="Times New Roman" w:hAnsi="Times New Roman" w:cs="Times New Roman"/>
          <w:sz w:val="24"/>
          <w:szCs w:val="24"/>
        </w:rPr>
        <w:t>, ECJ [2011] C-324/09 — active role strips safe harbour (EU equivalent ruling)</w:t>
      </w:r>
    </w:p>
    <w:p w14:paraId="7D1B4489"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Delfi AS v. Estonia</w:t>
      </w:r>
      <w:r w:rsidRPr="001149F1">
        <w:rPr>
          <w:rFonts w:ascii="Times New Roman" w:hAnsi="Times New Roman" w:cs="Times New Roman"/>
          <w:sz w:val="24"/>
          <w:szCs w:val="24"/>
        </w:rPr>
        <w:t>, ECtHR [2015] App. No. 64569/09 — platform with editorial architecture = publisher liability</w:t>
      </w:r>
    </w:p>
    <w:p w14:paraId="1A212C2A"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Force v. Facebook Inc.</w:t>
      </w:r>
      <w:r w:rsidRPr="001149F1">
        <w:rPr>
          <w:rFonts w:ascii="Times New Roman" w:hAnsi="Times New Roman" w:cs="Times New Roman"/>
          <w:sz w:val="24"/>
          <w:szCs w:val="24"/>
        </w:rPr>
        <w:t>, 934 F.3d 53 (2d Cir. 2019) — limits of platform immunity when algorithmic curation is involved</w:t>
      </w:r>
    </w:p>
    <w:p w14:paraId="05A80C6C"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FTC v. Wyndham Worldwide</w:t>
      </w:r>
      <w:r w:rsidRPr="001149F1">
        <w:rPr>
          <w:rFonts w:ascii="Times New Roman" w:hAnsi="Times New Roman" w:cs="Times New Roman"/>
          <w:sz w:val="24"/>
          <w:szCs w:val="24"/>
        </w:rPr>
        <w:t>, 799 F.3d 236 (3d Cir. 2015) — foreseeable harm + capacity to prevent = liability</w:t>
      </w:r>
    </w:p>
    <w:p w14:paraId="1AF13173"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Doe v. GitHub</w:t>
      </w:r>
      <w:r w:rsidRPr="001149F1">
        <w:rPr>
          <w:rFonts w:ascii="Times New Roman" w:hAnsi="Times New Roman" w:cs="Times New Roman"/>
          <w:sz w:val="24"/>
          <w:szCs w:val="24"/>
        </w:rPr>
        <w:t>, N.D. Cal. 2023 — AI training on personal data without consent as rights violation</w:t>
      </w:r>
    </w:p>
    <w:p w14:paraId="3202D4AE" w14:textId="77777777" w:rsidR="001149F1" w:rsidRPr="001149F1" w:rsidRDefault="001149F1" w:rsidP="001149F1">
      <w:pPr>
        <w:numPr>
          <w:ilvl w:val="0"/>
          <w:numId w:val="2"/>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Anderson v. Stability AI</w:t>
      </w:r>
      <w:r w:rsidRPr="001149F1">
        <w:rPr>
          <w:rFonts w:ascii="Times New Roman" w:hAnsi="Times New Roman" w:cs="Times New Roman"/>
          <w:sz w:val="24"/>
          <w:szCs w:val="24"/>
        </w:rPr>
        <w:t>, N.D. Cal. 2023 — foundational case on AI models as derivative works</w:t>
      </w:r>
    </w:p>
    <w:p w14:paraId="31A5F120"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Legislation and Rules</w:t>
      </w:r>
    </w:p>
    <w:p w14:paraId="46203144"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79, Information Technology Act, 2000 — with all three sub-sections read carefully</w:t>
      </w:r>
    </w:p>
    <w:p w14:paraId="5C0ED2F8"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IT (Intermediary Guidelines and Digital Media Ethics Code) Rules, 2021 — especially Rules 3(1)(b)(</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(iv), (vii) on prohibited content</w:t>
      </w:r>
    </w:p>
    <w:p w14:paraId="3FC0690F"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66E, 66C, 66D, 67, 67A, IT Act — the specific offence provisions</w:t>
      </w:r>
    </w:p>
    <w:p w14:paraId="538B2CAE"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67B IT Act — content depicting persons in obscene acts</w:t>
      </w:r>
    </w:p>
    <w:p w14:paraId="1D3DECF3"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The Digital Personal Data Protection Act, 2023</w:t>
      </w:r>
      <w:r w:rsidRPr="001149F1">
        <w:rPr>
          <w:rFonts w:ascii="Times New Roman" w:hAnsi="Times New Roman" w:cs="Times New Roman"/>
          <w:sz w:val="24"/>
          <w:szCs w:val="24"/>
        </w:rPr>
        <w:t xml:space="preserve">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w:t>
      </w:r>
      <w:proofErr w:type="spellStart"/>
      <w:r w:rsidRPr="001149F1">
        <w:rPr>
          <w:rFonts w:ascii="Times New Roman" w:hAnsi="Times New Roman" w:cs="Times New Roman"/>
          <w:sz w:val="24"/>
          <w:szCs w:val="24"/>
        </w:rPr>
        <w:t>analog</w:t>
      </w:r>
      <w:proofErr w:type="spellEnd"/>
      <w:r w:rsidRPr="001149F1">
        <w:rPr>
          <w:rFonts w:ascii="Times New Roman" w:hAnsi="Times New Roman" w:cs="Times New Roman"/>
          <w:sz w:val="24"/>
          <w:szCs w:val="24"/>
        </w:rPr>
        <w:t>) — consent framework for data use</w:t>
      </w:r>
    </w:p>
    <w:p w14:paraId="6BB7E2AB"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EU Digital Services Act, 2022 — Articles 16, 26, 28 on systemic risk and very large platforms</w:t>
      </w:r>
    </w:p>
    <w:p w14:paraId="087FA366"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EU AI Act, 2024 — Articles 5 and 6 on prohibited and high-risk AI systems; Annex III (biometric categorization)</w:t>
      </w:r>
    </w:p>
    <w:p w14:paraId="23AC3B7A"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California AB 602 (2019) and AB 730 (2019) — deepfake-specific liability statutes</w:t>
      </w:r>
    </w:p>
    <w:p w14:paraId="21726C5F" w14:textId="77777777" w:rsidR="001149F1" w:rsidRPr="001149F1" w:rsidRDefault="001149F1" w:rsidP="001149F1">
      <w:pPr>
        <w:numPr>
          <w:ilvl w:val="0"/>
          <w:numId w:val="3"/>
        </w:numPr>
        <w:spacing w:line="360" w:lineRule="auto"/>
        <w:rPr>
          <w:rFonts w:ascii="Times New Roman" w:hAnsi="Times New Roman" w:cs="Times New Roman"/>
          <w:sz w:val="24"/>
          <w:szCs w:val="24"/>
        </w:rPr>
      </w:pPr>
      <w:r w:rsidRPr="001149F1">
        <w:rPr>
          <w:rFonts w:ascii="Times New Roman" w:hAnsi="Times New Roman" w:cs="Times New Roman"/>
          <w:sz w:val="24"/>
          <w:szCs w:val="24"/>
        </w:rPr>
        <w:t>UK Online Safety Act, 2023 — Section 66 (intimate image abuse) and Clause 164 on deepfakes</w:t>
      </w:r>
    </w:p>
    <w:p w14:paraId="3DB44311"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Academic Articles and Journals</w:t>
      </w:r>
    </w:p>
    <w:p w14:paraId="477DB2C0"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Danielle Keats Citron &amp; Mary Anne Franks, </w:t>
      </w:r>
      <w:r w:rsidRPr="001149F1">
        <w:rPr>
          <w:rFonts w:ascii="Times New Roman" w:hAnsi="Times New Roman" w:cs="Times New Roman"/>
          <w:i/>
          <w:iCs/>
          <w:sz w:val="24"/>
          <w:szCs w:val="24"/>
        </w:rPr>
        <w:t>"Criminalizing Revenge Porn"</w:t>
      </w:r>
      <w:r w:rsidRPr="001149F1">
        <w:rPr>
          <w:rFonts w:ascii="Times New Roman" w:hAnsi="Times New Roman" w:cs="Times New Roman"/>
          <w:sz w:val="24"/>
          <w:szCs w:val="24"/>
        </w:rPr>
        <w:t>, 49 Wake Forest Law Review 345 (2014)</w:t>
      </w:r>
    </w:p>
    <w:p w14:paraId="3C3F45D8"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Danielle Citron, </w:t>
      </w:r>
      <w:r w:rsidRPr="001149F1">
        <w:rPr>
          <w:rFonts w:ascii="Times New Roman" w:hAnsi="Times New Roman" w:cs="Times New Roman"/>
          <w:i/>
          <w:iCs/>
          <w:sz w:val="24"/>
          <w:szCs w:val="24"/>
        </w:rPr>
        <w:t>"Sexual Privacy"</w:t>
      </w:r>
      <w:r w:rsidRPr="001149F1">
        <w:rPr>
          <w:rFonts w:ascii="Times New Roman" w:hAnsi="Times New Roman" w:cs="Times New Roman"/>
          <w:sz w:val="24"/>
          <w:szCs w:val="24"/>
        </w:rPr>
        <w:t>, 128 Yale Law Journal 1870 (2019) — most important article on deepfake harm</w:t>
      </w:r>
    </w:p>
    <w:p w14:paraId="62673DFE"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Ryan Calo, </w:t>
      </w:r>
      <w:r w:rsidRPr="001149F1">
        <w:rPr>
          <w:rFonts w:ascii="Times New Roman" w:hAnsi="Times New Roman" w:cs="Times New Roman"/>
          <w:i/>
          <w:iCs/>
          <w:sz w:val="24"/>
          <w:szCs w:val="24"/>
        </w:rPr>
        <w:t>"Digital Market Manipulation"</w:t>
      </w:r>
      <w:r w:rsidRPr="001149F1">
        <w:rPr>
          <w:rFonts w:ascii="Times New Roman" w:hAnsi="Times New Roman" w:cs="Times New Roman"/>
          <w:sz w:val="24"/>
          <w:szCs w:val="24"/>
        </w:rPr>
        <w:t>, 82 George Washington Law Review 995 (2014)</w:t>
      </w:r>
    </w:p>
    <w:p w14:paraId="2DC220E7"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Marietje Schaake et al., </w:t>
      </w:r>
      <w:r w:rsidRPr="001149F1">
        <w:rPr>
          <w:rFonts w:ascii="Times New Roman" w:hAnsi="Times New Roman" w:cs="Times New Roman"/>
          <w:i/>
          <w:iCs/>
          <w:sz w:val="24"/>
          <w:szCs w:val="24"/>
        </w:rPr>
        <w:t>"Regulating AI: The Human Rights Dimension"</w:t>
      </w:r>
      <w:r w:rsidRPr="001149F1">
        <w:rPr>
          <w:rFonts w:ascii="Times New Roman" w:hAnsi="Times New Roman" w:cs="Times New Roman"/>
          <w:sz w:val="24"/>
          <w:szCs w:val="24"/>
        </w:rPr>
        <w:t>, Oxford Internet Institute (2021)</w:t>
      </w:r>
    </w:p>
    <w:p w14:paraId="0B74F96A"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Rónán Kennedy, </w:t>
      </w:r>
      <w:r w:rsidRPr="001149F1">
        <w:rPr>
          <w:rFonts w:ascii="Times New Roman" w:hAnsi="Times New Roman" w:cs="Times New Roman"/>
          <w:i/>
          <w:iCs/>
          <w:sz w:val="24"/>
          <w:szCs w:val="24"/>
        </w:rPr>
        <w:t>"Artificial Intelligence and Intermediary Liability"</w:t>
      </w:r>
      <w:r w:rsidRPr="001149F1">
        <w:rPr>
          <w:rFonts w:ascii="Times New Roman" w:hAnsi="Times New Roman" w:cs="Times New Roman"/>
          <w:sz w:val="24"/>
          <w:szCs w:val="24"/>
        </w:rPr>
        <w:t>, Computer Law &amp; Security Review (2023)</w:t>
      </w:r>
    </w:p>
    <w:p w14:paraId="21911387"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Neil Richards &amp; Woodrow Hartzog, </w:t>
      </w:r>
      <w:r w:rsidRPr="001149F1">
        <w:rPr>
          <w:rFonts w:ascii="Times New Roman" w:hAnsi="Times New Roman" w:cs="Times New Roman"/>
          <w:i/>
          <w:iCs/>
          <w:sz w:val="24"/>
          <w:szCs w:val="24"/>
        </w:rPr>
        <w:t>"A Duty of Loyalty for Privacy Law"</w:t>
      </w:r>
      <w:r w:rsidRPr="001149F1">
        <w:rPr>
          <w:rFonts w:ascii="Times New Roman" w:hAnsi="Times New Roman" w:cs="Times New Roman"/>
          <w:sz w:val="24"/>
          <w:szCs w:val="24"/>
        </w:rPr>
        <w:t>, 99 Washington University Law Review 961 (2022)</w:t>
      </w:r>
    </w:p>
    <w:p w14:paraId="55A6E879" w14:textId="77777777" w:rsidR="001149F1" w:rsidRPr="001149F1" w:rsidRDefault="001149F1" w:rsidP="001149F1">
      <w:pPr>
        <w:numPr>
          <w:ilvl w:val="0"/>
          <w:numId w:val="4"/>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Lior Strahilevitz, </w:t>
      </w:r>
      <w:r w:rsidRPr="001149F1">
        <w:rPr>
          <w:rFonts w:ascii="Times New Roman" w:hAnsi="Times New Roman" w:cs="Times New Roman"/>
          <w:i/>
          <w:iCs/>
          <w:sz w:val="24"/>
          <w:szCs w:val="24"/>
        </w:rPr>
        <w:t>"Toward a Positive Theory of Privacy Law"</w:t>
      </w:r>
      <w:r w:rsidRPr="001149F1">
        <w:rPr>
          <w:rFonts w:ascii="Times New Roman" w:hAnsi="Times New Roman" w:cs="Times New Roman"/>
          <w:sz w:val="24"/>
          <w:szCs w:val="24"/>
        </w:rPr>
        <w:t>, 126 Harvard Law Review 2010 (2013)</w:t>
      </w:r>
    </w:p>
    <w:p w14:paraId="7F316044"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23DF9093">
          <v:rect id="_x0000_i1026" style="width:0;height:1.5pt" o:hralign="center" o:hrstd="t" o:hr="t" fillcolor="#a0a0a0" stroked="f"/>
        </w:pict>
      </w:r>
    </w:p>
    <w:p w14:paraId="244709A4"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For the Respondent (</w:t>
      </w:r>
      <w:proofErr w:type="spellStart"/>
      <w:r w:rsidRPr="001149F1">
        <w:rPr>
          <w:rFonts w:ascii="Times New Roman" w:hAnsi="Times New Roman" w:cs="Times New Roman"/>
          <w:b/>
          <w:bCs/>
          <w:sz w:val="24"/>
          <w:szCs w:val="24"/>
        </w:rPr>
        <w:t>DeepSearch's</w:t>
      </w:r>
      <w:proofErr w:type="spellEnd"/>
      <w:r w:rsidRPr="001149F1">
        <w:rPr>
          <w:rFonts w:ascii="Times New Roman" w:hAnsi="Times New Roman" w:cs="Times New Roman"/>
          <w:b/>
          <w:bCs/>
          <w:sz w:val="24"/>
          <w:szCs w:val="24"/>
        </w:rPr>
        <w:t xml:space="preserve"> Side)</w:t>
      </w:r>
    </w:p>
    <w:p w14:paraId="544992A6"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Indian Case Law</w:t>
      </w:r>
    </w:p>
    <w:p w14:paraId="258BBB61" w14:textId="77777777" w:rsidR="001149F1" w:rsidRPr="001149F1" w:rsidRDefault="001149F1" w:rsidP="001149F1">
      <w:pPr>
        <w:numPr>
          <w:ilvl w:val="0"/>
          <w:numId w:val="5"/>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Shreya Singhal v. Union of India</w:t>
      </w:r>
      <w:r w:rsidRPr="001149F1">
        <w:rPr>
          <w:rFonts w:ascii="Times New Roman" w:hAnsi="Times New Roman" w:cs="Times New Roman"/>
          <w:sz w:val="24"/>
          <w:szCs w:val="24"/>
        </w:rPr>
        <w:t xml:space="preserve"> (2015) — same case, but read paras on not imposing proactive monitoring duty</w:t>
      </w:r>
    </w:p>
    <w:p w14:paraId="7CA0403E" w14:textId="77777777" w:rsidR="001149F1" w:rsidRPr="001149F1" w:rsidRDefault="001149F1" w:rsidP="001149F1">
      <w:pPr>
        <w:numPr>
          <w:ilvl w:val="0"/>
          <w:numId w:val="5"/>
        </w:numPr>
        <w:spacing w:line="360" w:lineRule="auto"/>
        <w:rPr>
          <w:rFonts w:ascii="Times New Roman" w:hAnsi="Times New Roman" w:cs="Times New Roman"/>
          <w:sz w:val="24"/>
          <w:szCs w:val="24"/>
        </w:rPr>
      </w:pPr>
      <w:proofErr w:type="spellStart"/>
      <w:r w:rsidRPr="001149F1">
        <w:rPr>
          <w:rFonts w:ascii="Times New Roman" w:hAnsi="Times New Roman" w:cs="Times New Roman"/>
          <w:i/>
          <w:iCs/>
          <w:sz w:val="24"/>
          <w:szCs w:val="24"/>
        </w:rPr>
        <w:t>Spentex</w:t>
      </w:r>
      <w:proofErr w:type="spellEnd"/>
      <w:r w:rsidRPr="001149F1">
        <w:rPr>
          <w:rFonts w:ascii="Times New Roman" w:hAnsi="Times New Roman" w:cs="Times New Roman"/>
          <w:i/>
          <w:iCs/>
          <w:sz w:val="24"/>
          <w:szCs w:val="24"/>
        </w:rPr>
        <w:t xml:space="preserve"> Industries v. UOI</w:t>
      </w:r>
      <w:r w:rsidRPr="001149F1">
        <w:rPr>
          <w:rFonts w:ascii="Times New Roman" w:hAnsi="Times New Roman" w:cs="Times New Roman"/>
          <w:sz w:val="24"/>
          <w:szCs w:val="24"/>
        </w:rPr>
        <w:t>, (2015) — reading of "actual knowledge" narrowly</w:t>
      </w:r>
    </w:p>
    <w:p w14:paraId="2ACD79B8" w14:textId="77777777" w:rsidR="001149F1" w:rsidRPr="001149F1" w:rsidRDefault="001149F1" w:rsidP="001149F1">
      <w:pPr>
        <w:numPr>
          <w:ilvl w:val="0"/>
          <w:numId w:val="5"/>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 xml:space="preserve">Flipkart Internet </w:t>
      </w:r>
      <w:proofErr w:type="spellStart"/>
      <w:r w:rsidRPr="001149F1">
        <w:rPr>
          <w:rFonts w:ascii="Times New Roman" w:hAnsi="Times New Roman" w:cs="Times New Roman"/>
          <w:i/>
          <w:iCs/>
          <w:sz w:val="24"/>
          <w:szCs w:val="24"/>
        </w:rPr>
        <w:t>Pvt.</w:t>
      </w:r>
      <w:proofErr w:type="spellEnd"/>
      <w:r w:rsidRPr="001149F1">
        <w:rPr>
          <w:rFonts w:ascii="Times New Roman" w:hAnsi="Times New Roman" w:cs="Times New Roman"/>
          <w:i/>
          <w:iCs/>
          <w:sz w:val="24"/>
          <w:szCs w:val="24"/>
        </w:rPr>
        <w:t xml:space="preserve"> Ltd. v. State of </w:t>
      </w:r>
      <w:proofErr w:type="spellStart"/>
      <w:r w:rsidRPr="001149F1">
        <w:rPr>
          <w:rFonts w:ascii="Times New Roman" w:hAnsi="Times New Roman" w:cs="Times New Roman"/>
          <w:i/>
          <w:iCs/>
          <w:sz w:val="24"/>
          <w:szCs w:val="24"/>
        </w:rPr>
        <w:t>Nct</w:t>
      </w:r>
      <w:proofErr w:type="spellEnd"/>
      <w:r w:rsidRPr="001149F1">
        <w:rPr>
          <w:rFonts w:ascii="Times New Roman" w:hAnsi="Times New Roman" w:cs="Times New Roman"/>
          <w:sz w:val="24"/>
          <w:szCs w:val="24"/>
        </w:rPr>
        <w:t>, Delhi HC — marketplace not liable for third-party seller content</w:t>
      </w:r>
    </w:p>
    <w:p w14:paraId="27C3509A" w14:textId="77777777" w:rsidR="001149F1" w:rsidRPr="001149F1" w:rsidRDefault="001149F1" w:rsidP="001149F1">
      <w:pPr>
        <w:numPr>
          <w:ilvl w:val="0"/>
          <w:numId w:val="5"/>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lastRenderedPageBreak/>
        <w:t>Intermediary Guidelines challenge cases</w:t>
      </w:r>
      <w:r w:rsidRPr="001149F1">
        <w:rPr>
          <w:rFonts w:ascii="Times New Roman" w:hAnsi="Times New Roman" w:cs="Times New Roman"/>
          <w:sz w:val="24"/>
          <w:szCs w:val="24"/>
        </w:rPr>
        <w:t xml:space="preserve"> — several petitions pending on proportionality of the 2021 Rules</w:t>
      </w:r>
    </w:p>
    <w:p w14:paraId="0AF7E5BC" w14:textId="77777777" w:rsidR="001149F1" w:rsidRPr="001149F1" w:rsidRDefault="001149F1" w:rsidP="001149F1">
      <w:pPr>
        <w:numPr>
          <w:ilvl w:val="0"/>
          <w:numId w:val="5"/>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Google LLC v. Oracle America</w:t>
      </w:r>
      <w:r w:rsidRPr="001149F1">
        <w:rPr>
          <w:rFonts w:ascii="Times New Roman" w:hAnsi="Times New Roman" w:cs="Times New Roman"/>
          <w:sz w:val="24"/>
          <w:szCs w:val="24"/>
        </w:rPr>
        <w:t xml:space="preserve"> (adapted) — functional tools vs creative expression</w:t>
      </w:r>
    </w:p>
    <w:p w14:paraId="63352334"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Comparative / Foreign Case Law</w:t>
      </w:r>
    </w:p>
    <w:p w14:paraId="08946DCB"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Sony Corp. of America v. Universal City Studios</w:t>
      </w:r>
      <w:r w:rsidRPr="001149F1">
        <w:rPr>
          <w:rFonts w:ascii="Times New Roman" w:hAnsi="Times New Roman" w:cs="Times New Roman"/>
          <w:sz w:val="24"/>
          <w:szCs w:val="24"/>
        </w:rPr>
        <w:t xml:space="preserve"> (Betamax), 464 U.S. 417 (1984) — substantial non-infringing use doctrine</w:t>
      </w:r>
    </w:p>
    <w:p w14:paraId="4144A770"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Viacom International v. YouTube</w:t>
      </w:r>
      <w:r w:rsidRPr="001149F1">
        <w:rPr>
          <w:rFonts w:ascii="Times New Roman" w:hAnsi="Times New Roman" w:cs="Times New Roman"/>
          <w:sz w:val="24"/>
          <w:szCs w:val="24"/>
        </w:rPr>
        <w:t>, 676 F.3d 19 (2d Cir. 2012) — platform not liable without specific knowledge</w:t>
      </w:r>
    </w:p>
    <w:p w14:paraId="01D8515A"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Perfect 10 v. Amazon</w:t>
      </w:r>
      <w:r w:rsidRPr="001149F1">
        <w:rPr>
          <w:rFonts w:ascii="Times New Roman" w:hAnsi="Times New Roman" w:cs="Times New Roman"/>
          <w:sz w:val="24"/>
          <w:szCs w:val="24"/>
        </w:rPr>
        <w:t>, 508 F.3d 1146 (9th Cir. 2007) — search engine as neutral intermediary</w:t>
      </w:r>
    </w:p>
    <w:p w14:paraId="62B59F1E"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Cubby Inc. v. CompuServe</w:t>
      </w:r>
      <w:r w:rsidRPr="001149F1">
        <w:rPr>
          <w:rFonts w:ascii="Times New Roman" w:hAnsi="Times New Roman" w:cs="Times New Roman"/>
          <w:sz w:val="24"/>
          <w:szCs w:val="24"/>
        </w:rPr>
        <w:t>, 776 F. Supp. 135 (S.D.N.Y. 1991) — distributor not liable without editorial control</w:t>
      </w:r>
    </w:p>
    <w:p w14:paraId="6CA62F4B"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Stratton Oakmont v. Prodigy Services</w:t>
      </w:r>
      <w:r w:rsidRPr="001149F1">
        <w:rPr>
          <w:rFonts w:ascii="Times New Roman" w:hAnsi="Times New Roman" w:cs="Times New Roman"/>
          <w:sz w:val="24"/>
          <w:szCs w:val="24"/>
        </w:rPr>
        <w:t>, 1995 WL 323710 — the original publisher/distributor distinction</w:t>
      </w:r>
    </w:p>
    <w:p w14:paraId="3E714895" w14:textId="77777777" w:rsidR="001149F1" w:rsidRPr="001149F1" w:rsidRDefault="001149F1" w:rsidP="001149F1">
      <w:pPr>
        <w:numPr>
          <w:ilvl w:val="0"/>
          <w:numId w:val="6"/>
        </w:num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Zeran v. America Online</w:t>
      </w:r>
      <w:r w:rsidRPr="001149F1">
        <w:rPr>
          <w:rFonts w:ascii="Times New Roman" w:hAnsi="Times New Roman" w:cs="Times New Roman"/>
          <w:sz w:val="24"/>
          <w:szCs w:val="24"/>
        </w:rPr>
        <w:t>, 129 F.3d 327 (4th Cir. 1997) — foundational internet platform immunity rationale</w:t>
      </w:r>
    </w:p>
    <w:p w14:paraId="1AFA4B2E"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Legislation</w:t>
      </w:r>
    </w:p>
    <w:p w14:paraId="0F22EF64" w14:textId="77777777" w:rsidR="001149F1" w:rsidRPr="001149F1" w:rsidRDefault="001149F1" w:rsidP="001149F1">
      <w:pPr>
        <w:numPr>
          <w:ilvl w:val="0"/>
          <w:numId w:val="7"/>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Section 79(1), (2), (3) IT Act, 2000 — read in </w:t>
      </w:r>
      <w:proofErr w:type="spellStart"/>
      <w:r w:rsidRPr="001149F1">
        <w:rPr>
          <w:rFonts w:ascii="Times New Roman" w:hAnsi="Times New Roman" w:cs="Times New Roman"/>
          <w:sz w:val="24"/>
          <w:szCs w:val="24"/>
        </w:rPr>
        <w:t>favor</w:t>
      </w:r>
      <w:proofErr w:type="spellEnd"/>
      <w:r w:rsidRPr="001149F1">
        <w:rPr>
          <w:rFonts w:ascii="Times New Roman" w:hAnsi="Times New Roman" w:cs="Times New Roman"/>
          <w:sz w:val="24"/>
          <w:szCs w:val="24"/>
        </w:rPr>
        <w:t xml:space="preserve"> of safe harbour (harmonious construction)</w:t>
      </w:r>
    </w:p>
    <w:p w14:paraId="4A469456" w14:textId="77777777" w:rsidR="001149F1" w:rsidRPr="001149F1" w:rsidRDefault="001149F1" w:rsidP="001149F1">
      <w:pPr>
        <w:numPr>
          <w:ilvl w:val="0"/>
          <w:numId w:val="7"/>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Rule 3, IT Intermediary Rules 2021 — due diligence obligations as </w:t>
      </w:r>
      <w:r w:rsidRPr="001149F1">
        <w:rPr>
          <w:rFonts w:ascii="Times New Roman" w:hAnsi="Times New Roman" w:cs="Times New Roman"/>
          <w:i/>
          <w:iCs/>
          <w:sz w:val="24"/>
          <w:szCs w:val="24"/>
        </w:rPr>
        <w:t>complete</w:t>
      </w:r>
      <w:r w:rsidRPr="001149F1">
        <w:rPr>
          <w:rFonts w:ascii="Times New Roman" w:hAnsi="Times New Roman" w:cs="Times New Roman"/>
          <w:sz w:val="24"/>
          <w:szCs w:val="24"/>
        </w:rPr>
        <w:t xml:space="preserve"> compliance standard</w:t>
      </w:r>
    </w:p>
    <w:p w14:paraId="10B58C40" w14:textId="77777777" w:rsidR="001149F1" w:rsidRPr="001149F1" w:rsidRDefault="001149F1" w:rsidP="001149F1">
      <w:pPr>
        <w:numPr>
          <w:ilvl w:val="0"/>
          <w:numId w:val="7"/>
        </w:numPr>
        <w:spacing w:line="360" w:lineRule="auto"/>
        <w:rPr>
          <w:rFonts w:ascii="Times New Roman" w:hAnsi="Times New Roman" w:cs="Times New Roman"/>
          <w:sz w:val="24"/>
          <w:szCs w:val="24"/>
        </w:rPr>
      </w:pPr>
      <w:r w:rsidRPr="001149F1">
        <w:rPr>
          <w:rFonts w:ascii="Times New Roman" w:hAnsi="Times New Roman" w:cs="Times New Roman"/>
          <w:sz w:val="24"/>
          <w:szCs w:val="24"/>
        </w:rPr>
        <w:t>Article 14 of the EU E-Commerce Directive (2000) — hosting provider immunity as comparative standard</w:t>
      </w:r>
    </w:p>
    <w:p w14:paraId="1FD22109" w14:textId="77777777" w:rsidR="001149F1" w:rsidRPr="001149F1" w:rsidRDefault="001149F1" w:rsidP="001149F1">
      <w:pPr>
        <w:numPr>
          <w:ilvl w:val="0"/>
          <w:numId w:val="7"/>
        </w:num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512, US Digital Millennium Copyright Act — notice-and-takedown as full discharge of duty</w:t>
      </w:r>
    </w:p>
    <w:p w14:paraId="5B4A0912"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Academic Articles</w:t>
      </w:r>
    </w:p>
    <w:p w14:paraId="424AD739" w14:textId="77777777" w:rsidR="001149F1" w:rsidRPr="001149F1" w:rsidRDefault="001149F1" w:rsidP="001149F1">
      <w:pPr>
        <w:numPr>
          <w:ilvl w:val="0"/>
          <w:numId w:val="8"/>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Eric Goldman, </w:t>
      </w:r>
      <w:r w:rsidRPr="001149F1">
        <w:rPr>
          <w:rFonts w:ascii="Times New Roman" w:hAnsi="Times New Roman" w:cs="Times New Roman"/>
          <w:i/>
          <w:iCs/>
          <w:sz w:val="24"/>
          <w:szCs w:val="24"/>
        </w:rPr>
        <w:t>"The Internet Is Melting: Rethinking Platform Liability"</w:t>
      </w:r>
      <w:r w:rsidRPr="001149F1">
        <w:rPr>
          <w:rFonts w:ascii="Times New Roman" w:hAnsi="Times New Roman" w:cs="Times New Roman"/>
          <w:sz w:val="24"/>
          <w:szCs w:val="24"/>
        </w:rPr>
        <w:t>, 52 UC Davis Law Review 2449 (2019)</w:t>
      </w:r>
    </w:p>
    <w:p w14:paraId="4C2F7DD3" w14:textId="77777777" w:rsidR="001149F1" w:rsidRPr="001149F1" w:rsidRDefault="001149F1" w:rsidP="001149F1">
      <w:pPr>
        <w:numPr>
          <w:ilvl w:val="0"/>
          <w:numId w:val="8"/>
        </w:num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Jeff Kosseff, </w:t>
      </w:r>
      <w:r w:rsidRPr="001149F1">
        <w:rPr>
          <w:rFonts w:ascii="Times New Roman" w:hAnsi="Times New Roman" w:cs="Times New Roman"/>
          <w:i/>
          <w:iCs/>
          <w:sz w:val="24"/>
          <w:szCs w:val="24"/>
        </w:rPr>
        <w:t>"The Twenty-Six Words That Created the Internet"</w:t>
      </w:r>
      <w:r w:rsidRPr="001149F1">
        <w:rPr>
          <w:rFonts w:ascii="Times New Roman" w:hAnsi="Times New Roman" w:cs="Times New Roman"/>
          <w:sz w:val="24"/>
          <w:szCs w:val="24"/>
        </w:rPr>
        <w:t xml:space="preserve"> (2019, Princeton UP) — on the structural rationale for platform immunity</w:t>
      </w:r>
    </w:p>
    <w:p w14:paraId="54FAD281" w14:textId="77777777" w:rsidR="001149F1" w:rsidRPr="001149F1" w:rsidRDefault="001149F1" w:rsidP="001149F1">
      <w:pPr>
        <w:numPr>
          <w:ilvl w:val="0"/>
          <w:numId w:val="8"/>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Andres Guadamuz, </w:t>
      </w:r>
      <w:r w:rsidRPr="001149F1">
        <w:rPr>
          <w:rFonts w:ascii="Times New Roman" w:hAnsi="Times New Roman" w:cs="Times New Roman"/>
          <w:i/>
          <w:iCs/>
          <w:sz w:val="24"/>
          <w:szCs w:val="24"/>
        </w:rPr>
        <w:t>"Artificial Intelligence and Copyright"</w:t>
      </w:r>
      <w:r w:rsidRPr="001149F1">
        <w:rPr>
          <w:rFonts w:ascii="Times New Roman" w:hAnsi="Times New Roman" w:cs="Times New Roman"/>
          <w:sz w:val="24"/>
          <w:szCs w:val="24"/>
        </w:rPr>
        <w:t>, WIPO Magazine (2017)</w:t>
      </w:r>
    </w:p>
    <w:p w14:paraId="356A8A50" w14:textId="77777777" w:rsidR="001149F1" w:rsidRPr="001149F1" w:rsidRDefault="001149F1" w:rsidP="001149F1">
      <w:pPr>
        <w:numPr>
          <w:ilvl w:val="0"/>
          <w:numId w:val="8"/>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Matthew Sag, </w:t>
      </w:r>
      <w:r w:rsidRPr="001149F1">
        <w:rPr>
          <w:rFonts w:ascii="Times New Roman" w:hAnsi="Times New Roman" w:cs="Times New Roman"/>
          <w:i/>
          <w:iCs/>
          <w:sz w:val="24"/>
          <w:szCs w:val="24"/>
        </w:rPr>
        <w:t>"The New Legal Landscape for Text Mining and Machine Learning"</w:t>
      </w:r>
      <w:r w:rsidRPr="001149F1">
        <w:rPr>
          <w:rFonts w:ascii="Times New Roman" w:hAnsi="Times New Roman" w:cs="Times New Roman"/>
          <w:sz w:val="24"/>
          <w:szCs w:val="24"/>
        </w:rPr>
        <w:t>, 66 Journal of the Copyright Society 291 (2019)</w:t>
      </w:r>
    </w:p>
    <w:p w14:paraId="5348E4AC" w14:textId="77777777" w:rsidR="001149F1" w:rsidRPr="001149F1" w:rsidRDefault="001149F1" w:rsidP="001149F1">
      <w:pPr>
        <w:numPr>
          <w:ilvl w:val="0"/>
          <w:numId w:val="8"/>
        </w:num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Anupam Chander, </w:t>
      </w:r>
      <w:r w:rsidRPr="001149F1">
        <w:rPr>
          <w:rFonts w:ascii="Times New Roman" w:hAnsi="Times New Roman" w:cs="Times New Roman"/>
          <w:i/>
          <w:iCs/>
          <w:sz w:val="24"/>
          <w:szCs w:val="24"/>
        </w:rPr>
        <w:t>"How Law Made Silicon Valley"</w:t>
      </w:r>
      <w:r w:rsidRPr="001149F1">
        <w:rPr>
          <w:rFonts w:ascii="Times New Roman" w:hAnsi="Times New Roman" w:cs="Times New Roman"/>
          <w:sz w:val="24"/>
          <w:szCs w:val="24"/>
        </w:rPr>
        <w:t>, 63 Emory Law Journal 639 (2014) — why safe harbour matters for innovation</w:t>
      </w:r>
    </w:p>
    <w:p w14:paraId="2E796A82"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52BA26D3">
          <v:rect id="_x0000_i1027" style="width:0;height:1.5pt" o:hralign="center" o:hrstd="t" o:hr="t" fillcolor="#a0a0a0" stroked="f"/>
        </w:pict>
      </w:r>
    </w:p>
    <w:p w14:paraId="02F7D6C5"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Detailed Argument Analysis</w:t>
      </w:r>
    </w:p>
    <w:p w14:paraId="78F6F95D"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4A705B2C">
          <v:rect id="_x0000_i1028" style="width:0;height:1.5pt" o:hralign="center" o:hrstd="t" o:hr="t" fillcolor="#a0a0a0" stroked="f"/>
        </w:pict>
      </w:r>
    </w:p>
    <w:p w14:paraId="35C94EAA"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APPELLANT'S ARGUMENTS (Rachel / Petitioner)</w:t>
      </w:r>
    </w:p>
    <w:p w14:paraId="06DB8D21"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53667DC0">
          <v:rect id="_x0000_i1029" style="width:0;height:1.5pt" o:hralign="center" o:hrstd="t" o:hr="t" fillcolor="#a0a0a0" stroked="f"/>
        </w:pict>
      </w:r>
    </w:p>
    <w:p w14:paraId="2FC1D566"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A1: The Personality Model Is an Active Content Creation Engine — Not Passive Hosting</w:t>
      </w:r>
    </w:p>
    <w:p w14:paraId="3A247C8D"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This is the foundational argument from which all others flow, and it must be established clearly before anything else.</w:t>
      </w:r>
    </w:p>
    <w:p w14:paraId="24CB068A"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legal architecture of Section 79 rests on a </w:t>
      </w:r>
      <w:r w:rsidRPr="001149F1">
        <w:rPr>
          <w:rFonts w:ascii="Times New Roman" w:hAnsi="Times New Roman" w:cs="Times New Roman"/>
          <w:b/>
          <w:bCs/>
          <w:sz w:val="24"/>
          <w:szCs w:val="24"/>
        </w:rPr>
        <w:t>tripartite functional classification</w:t>
      </w:r>
      <w:r w:rsidRPr="001149F1">
        <w:rPr>
          <w:rFonts w:ascii="Times New Roman" w:hAnsi="Times New Roman" w:cs="Times New Roman"/>
          <w:sz w:val="24"/>
          <w:szCs w:val="24"/>
        </w:rPr>
        <w:t>: (</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the initiator, who originates electronic communication; (ii) the transmitter, who passively passes it along; and (iii) the intermediary, who provides a neutral conduit. Safe harbour belongs only to the third category. The moment an entity moves into category (</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or actively participates in the character of category (ii), the protection dissolves.</w:t>
      </w:r>
    </w:p>
    <w:p w14:paraId="1BC6A364"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critical question is: </w:t>
      </w:r>
      <w:r w:rsidRPr="001149F1">
        <w:rPr>
          <w:rFonts w:ascii="Times New Roman" w:hAnsi="Times New Roman" w:cs="Times New Roman"/>
          <w:b/>
          <w:bCs/>
          <w:sz w:val="24"/>
          <w:szCs w:val="24"/>
        </w:rPr>
        <w:t>what does the Personality Model actually do?</w:t>
      </w:r>
      <w:r w:rsidRPr="001149F1">
        <w:rPr>
          <w:rFonts w:ascii="Times New Roman" w:hAnsi="Times New Roman" w:cs="Times New Roman"/>
          <w:sz w:val="24"/>
          <w:szCs w:val="24"/>
        </w:rPr>
        <w:t xml:space="preserve"> It takes 30 seconds of existing footage of a real, identified individual — footage it either accesses from the internet or is fed by a user — and it constructs a </w:t>
      </w:r>
      <w:r w:rsidRPr="001149F1">
        <w:rPr>
          <w:rFonts w:ascii="Times New Roman" w:hAnsi="Times New Roman" w:cs="Times New Roman"/>
          <w:b/>
          <w:bCs/>
          <w:sz w:val="24"/>
          <w:szCs w:val="24"/>
        </w:rPr>
        <w:t>synthetic identity architecture</w:t>
      </w:r>
      <w:r w:rsidRPr="001149F1">
        <w:rPr>
          <w:rFonts w:ascii="Times New Roman" w:hAnsi="Times New Roman" w:cs="Times New Roman"/>
          <w:sz w:val="24"/>
          <w:szCs w:val="24"/>
        </w:rPr>
        <w:t xml:space="preserve">. This architecture is not a passive database. It is a trained neural model that can generate novel audio-visual representations of the target person in any scenario, speaking any words, performing any acts. The Rachel Personality Model in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global library is not a </w:t>
      </w:r>
      <w:r w:rsidRPr="001149F1">
        <w:rPr>
          <w:rFonts w:ascii="Times New Roman" w:hAnsi="Times New Roman" w:cs="Times New Roman"/>
          <w:i/>
          <w:iCs/>
          <w:sz w:val="24"/>
          <w:szCs w:val="24"/>
        </w:rPr>
        <w:t>record</w:t>
      </w:r>
      <w:r w:rsidRPr="001149F1">
        <w:rPr>
          <w:rFonts w:ascii="Times New Roman" w:hAnsi="Times New Roman" w:cs="Times New Roman"/>
          <w:sz w:val="24"/>
          <w:szCs w:val="24"/>
        </w:rPr>
        <w:t xml:space="preserve"> of Rachel — it is a </w:t>
      </w:r>
      <w:r w:rsidRPr="001149F1">
        <w:rPr>
          <w:rFonts w:ascii="Times New Roman" w:hAnsi="Times New Roman" w:cs="Times New Roman"/>
          <w:i/>
          <w:iCs/>
          <w:sz w:val="24"/>
          <w:szCs w:val="24"/>
        </w:rPr>
        <w:t>simulation engine</w:t>
      </w:r>
      <w:r w:rsidRPr="001149F1">
        <w:rPr>
          <w:rFonts w:ascii="Times New Roman" w:hAnsi="Times New Roman" w:cs="Times New Roman"/>
          <w:sz w:val="24"/>
          <w:szCs w:val="24"/>
        </w:rPr>
        <w:t xml:space="preserve"> for Rachel.</w:t>
      </w:r>
    </w:p>
    <w:p w14:paraId="2E770334"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The distinction matters enormously. A library hosting Rachel's actual videos is a passive intermediary. A platform offering a tool that </w:t>
      </w:r>
      <w:r w:rsidRPr="001149F1">
        <w:rPr>
          <w:rFonts w:ascii="Times New Roman" w:hAnsi="Times New Roman" w:cs="Times New Roman"/>
          <w:b/>
          <w:bCs/>
          <w:sz w:val="24"/>
          <w:szCs w:val="24"/>
        </w:rPr>
        <w:t>generates new "Rachel" content from scratch</w:t>
      </w:r>
      <w:r w:rsidRPr="001149F1">
        <w:rPr>
          <w:rFonts w:ascii="Times New Roman" w:hAnsi="Times New Roman" w:cs="Times New Roman"/>
          <w:sz w:val="24"/>
          <w:szCs w:val="24"/>
        </w:rPr>
        <w:t xml:space="preserve"> is something entirely different — it is a </w:t>
      </w:r>
      <w:r w:rsidRPr="001149F1">
        <w:rPr>
          <w:rFonts w:ascii="Times New Roman" w:hAnsi="Times New Roman" w:cs="Times New Roman"/>
          <w:i/>
          <w:iCs/>
          <w:sz w:val="24"/>
          <w:szCs w:val="24"/>
        </w:rPr>
        <w:t>manufacturer of synthetic identity outputs</w:t>
      </w:r>
      <w:r w:rsidRPr="001149F1">
        <w:rPr>
          <w:rFonts w:ascii="Times New Roman" w:hAnsi="Times New Roman" w:cs="Times New Roman"/>
          <w:sz w:val="24"/>
          <w:szCs w:val="24"/>
        </w:rPr>
        <w:t xml:space="preserve">. The output is not user-generated in any meaningful sense. The user does not bring the content — the user merely provides a </w:t>
      </w:r>
      <w:r w:rsidRPr="001149F1">
        <w:rPr>
          <w:rFonts w:ascii="Times New Roman" w:hAnsi="Times New Roman" w:cs="Times New Roman"/>
          <w:i/>
          <w:iCs/>
          <w:sz w:val="24"/>
          <w:szCs w:val="24"/>
        </w:rPr>
        <w:t>prompt</w:t>
      </w:r>
      <w:r w:rsidRPr="001149F1">
        <w:rPr>
          <w:rFonts w:ascii="Times New Roman" w:hAnsi="Times New Roman" w:cs="Times New Roman"/>
          <w:sz w:val="24"/>
          <w:szCs w:val="24"/>
        </w:rPr>
        <w:t>, and the Personality Model provides Rachel's synthesized voice, face, mannerisms, and appearance. The creative and technical authorship of the output is overwhelmingly the platform's model, not the user's input.</w:t>
      </w:r>
    </w:p>
    <w:p w14:paraId="26C2AD7F"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Draw the analogy sharply: if a printing press is a neutral tool, and a ghostwriter is a service provider, the Personality Model is closer to a ghostwriter who impersonates a specific named person. You do not absolve the ghostwriter of responsibility by pointing out that a client commissioned the work. The ghostwriter who </w:t>
      </w:r>
      <w:r w:rsidRPr="001149F1">
        <w:rPr>
          <w:rFonts w:ascii="Times New Roman" w:hAnsi="Times New Roman" w:cs="Times New Roman"/>
          <w:b/>
          <w:bCs/>
          <w:sz w:val="24"/>
          <w:szCs w:val="24"/>
        </w:rPr>
        <w:t>becomes</w:t>
      </w:r>
      <w:r w:rsidRPr="001149F1">
        <w:rPr>
          <w:rFonts w:ascii="Times New Roman" w:hAnsi="Times New Roman" w:cs="Times New Roman"/>
          <w:sz w:val="24"/>
          <w:szCs w:val="24"/>
        </w:rPr>
        <w:t xml:space="preserve"> the person and speaks in their identity is not a passive conduit.</w:t>
      </w:r>
    </w:p>
    <w:p w14:paraId="15869F2E"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Delhi High Court's reasoning in </w:t>
      </w:r>
      <w:r w:rsidRPr="001149F1">
        <w:rPr>
          <w:rFonts w:ascii="Times New Roman" w:hAnsi="Times New Roman" w:cs="Times New Roman"/>
          <w:i/>
          <w:iCs/>
          <w:sz w:val="24"/>
          <w:szCs w:val="24"/>
        </w:rPr>
        <w:t>Christian Louboutin v. Nakul Bajaj</w:t>
      </w:r>
      <w:r w:rsidRPr="001149F1">
        <w:rPr>
          <w:rFonts w:ascii="Times New Roman" w:hAnsi="Times New Roman" w:cs="Times New Roman"/>
          <w:sz w:val="24"/>
          <w:szCs w:val="24"/>
        </w:rPr>
        <w:t xml:space="preserve"> is directly applicable. The court held that an e-commerce platform that curates, certifies, and markets products — rather than passively hosting seller listings — becomes an </w:t>
      </w:r>
      <w:r w:rsidRPr="001149F1">
        <w:rPr>
          <w:rFonts w:ascii="Times New Roman" w:hAnsi="Times New Roman" w:cs="Times New Roman"/>
          <w:i/>
          <w:iCs/>
          <w:sz w:val="24"/>
          <w:szCs w:val="24"/>
        </w:rPr>
        <w:t>active participant</w:t>
      </w:r>
      <w:r w:rsidRPr="001149F1">
        <w:rPr>
          <w:rFonts w:ascii="Times New Roman" w:hAnsi="Times New Roman" w:cs="Times New Roman"/>
          <w:sz w:val="24"/>
          <w:szCs w:val="24"/>
        </w:rPr>
        <w:t xml:space="preserve"> and loses safe harbour protection. Extend this reasoning: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curates, trains, and actively </w:t>
      </w:r>
      <w:r w:rsidRPr="001149F1">
        <w:rPr>
          <w:rFonts w:ascii="Times New Roman" w:hAnsi="Times New Roman" w:cs="Times New Roman"/>
          <w:i/>
          <w:iCs/>
          <w:sz w:val="24"/>
          <w:szCs w:val="24"/>
        </w:rPr>
        <w:t>provides</w:t>
      </w:r>
      <w:r w:rsidRPr="001149F1">
        <w:rPr>
          <w:rFonts w:ascii="Times New Roman" w:hAnsi="Times New Roman" w:cs="Times New Roman"/>
          <w:sz w:val="24"/>
          <w:szCs w:val="24"/>
        </w:rPr>
        <w:t xml:space="preserve"> a specialized identity-cloning service for specific named individuals. The Personality Model is not a general AI tool — it is a </w:t>
      </w:r>
      <w:r w:rsidRPr="001149F1">
        <w:rPr>
          <w:rFonts w:ascii="Times New Roman" w:hAnsi="Times New Roman" w:cs="Times New Roman"/>
          <w:b/>
          <w:bCs/>
          <w:sz w:val="24"/>
          <w:szCs w:val="24"/>
        </w:rPr>
        <w:t>specifically configured replica of a named person</w:t>
      </w:r>
      <w:r w:rsidRPr="001149F1">
        <w:rPr>
          <w:rFonts w:ascii="Times New Roman" w:hAnsi="Times New Roman" w:cs="Times New Roman"/>
          <w:sz w:val="24"/>
          <w:szCs w:val="24"/>
        </w:rPr>
        <w:t>, maintained in a persistent library. That specificity is the evidence of active participation.</w:t>
      </w:r>
    </w:p>
    <w:p w14:paraId="68956A78"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1DF315A1">
          <v:rect id="_x0000_i1030" style="width:0;height:1.5pt" o:hralign="center" o:hrstd="t" o:hr="t" fillcolor="#a0a0a0" stroked="f"/>
        </w:pict>
      </w:r>
    </w:p>
    <w:p w14:paraId="472277BA"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A2: Section 79(2)'s Three Conditions Are All Violated</w:t>
      </w:r>
    </w:p>
    <w:p w14:paraId="1057F743"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79(2) makes safe harbour conditional on three requirements: (a) the intermediary must not have initiated the transmission; (b) it must not have selected the receiver of the message; and (c) it must not have modified the information contained in the transmission. The Personality Model violates all three on a careful reading.</w:t>
      </w:r>
    </w:p>
    <w:p w14:paraId="19B56CE8"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On initiation</w:t>
      </w:r>
      <w:r w:rsidRPr="001149F1">
        <w:rPr>
          <w:rFonts w:ascii="Times New Roman" w:hAnsi="Times New Roman" w:cs="Times New Roman"/>
          <w:sz w:val="24"/>
          <w:szCs w:val="24"/>
        </w:rPr>
        <w:t xml:space="preserve">: Initiation is typically understood as the act of </w:t>
      </w:r>
      <w:r w:rsidRPr="001149F1">
        <w:rPr>
          <w:rFonts w:ascii="Times New Roman" w:hAnsi="Times New Roman" w:cs="Times New Roman"/>
          <w:i/>
          <w:iCs/>
          <w:sz w:val="24"/>
          <w:szCs w:val="24"/>
        </w:rPr>
        <w:t>originating</w:t>
      </w:r>
      <w:r w:rsidRPr="001149F1">
        <w:rPr>
          <w:rFonts w:ascii="Times New Roman" w:hAnsi="Times New Roman" w:cs="Times New Roman"/>
          <w:sz w:val="24"/>
          <w:szCs w:val="24"/>
        </w:rPr>
        <w:t xml:space="preserve"> the communication.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did not merely </w:t>
      </w:r>
      <w:r w:rsidRPr="001149F1">
        <w:rPr>
          <w:rFonts w:ascii="Times New Roman" w:hAnsi="Times New Roman" w:cs="Times New Roman"/>
          <w:i/>
          <w:iCs/>
          <w:sz w:val="24"/>
          <w:szCs w:val="24"/>
        </w:rPr>
        <w:t>receive</w:t>
      </w:r>
      <w:r w:rsidRPr="001149F1">
        <w:rPr>
          <w:rFonts w:ascii="Times New Roman" w:hAnsi="Times New Roman" w:cs="Times New Roman"/>
          <w:sz w:val="24"/>
          <w:szCs w:val="24"/>
        </w:rPr>
        <w:t xml:space="preserve"> a user request to host an existing video. It </w:t>
      </w:r>
      <w:r w:rsidRPr="001149F1">
        <w:rPr>
          <w:rFonts w:ascii="Times New Roman" w:hAnsi="Times New Roman" w:cs="Times New Roman"/>
          <w:i/>
          <w:iCs/>
          <w:sz w:val="24"/>
          <w:szCs w:val="24"/>
        </w:rPr>
        <w:t>originated</w:t>
      </w:r>
      <w:r w:rsidRPr="001149F1">
        <w:rPr>
          <w:rFonts w:ascii="Times New Roman" w:hAnsi="Times New Roman" w:cs="Times New Roman"/>
          <w:sz w:val="24"/>
          <w:szCs w:val="24"/>
        </w:rPr>
        <w:t xml:space="preserve"> the capacity to generate synthetic Rachel content by building, training, and deploying the Rachel Personality Model. The initiation here is not the moment the user clicked "generate" — it is the moment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constructed and listed the Rachel Personality Model in its global </w:t>
      </w:r>
      <w:r w:rsidRPr="001149F1">
        <w:rPr>
          <w:rFonts w:ascii="Times New Roman" w:hAnsi="Times New Roman" w:cs="Times New Roman"/>
          <w:sz w:val="24"/>
          <w:szCs w:val="24"/>
        </w:rPr>
        <w:lastRenderedPageBreak/>
        <w:t xml:space="preserve">library, making it available to any user globally. That act of model-creation and library-listing is an </w:t>
      </w:r>
      <w:r w:rsidRPr="001149F1">
        <w:rPr>
          <w:rFonts w:ascii="Times New Roman" w:hAnsi="Times New Roman" w:cs="Times New Roman"/>
          <w:b/>
          <w:bCs/>
          <w:sz w:val="24"/>
          <w:szCs w:val="24"/>
        </w:rPr>
        <w:t>independent act of initiation</w:t>
      </w:r>
      <w:r w:rsidRPr="001149F1">
        <w:rPr>
          <w:rFonts w:ascii="Times New Roman" w:hAnsi="Times New Roman" w:cs="Times New Roman"/>
          <w:sz w:val="24"/>
          <w:szCs w:val="24"/>
        </w:rPr>
        <w:t xml:space="preserve"> of a new form of identity-based synthetic content.</w:t>
      </w:r>
    </w:p>
    <w:p w14:paraId="601FB029"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On selection</w:t>
      </w:r>
      <w:r w:rsidRPr="001149F1">
        <w:rPr>
          <w:rFonts w:ascii="Times New Roman" w:hAnsi="Times New Roman" w:cs="Times New Roman"/>
          <w:sz w:val="24"/>
          <w:szCs w:val="24"/>
        </w:rPr>
        <w:t xml:space="preserve">: Traditional intermediaries do not select who receives information.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Personality Model, however, was built around a </w:t>
      </w:r>
      <w:r w:rsidRPr="001149F1">
        <w:rPr>
          <w:rFonts w:ascii="Times New Roman" w:hAnsi="Times New Roman" w:cs="Times New Roman"/>
          <w:i/>
          <w:iCs/>
          <w:sz w:val="24"/>
          <w:szCs w:val="24"/>
        </w:rPr>
        <w:t>specific, selected target</w:t>
      </w:r>
      <w:r w:rsidRPr="001149F1">
        <w:rPr>
          <w:rFonts w:ascii="Times New Roman" w:hAnsi="Times New Roman" w:cs="Times New Roman"/>
          <w:sz w:val="24"/>
          <w:szCs w:val="24"/>
        </w:rPr>
        <w:t xml:space="preserve"> — Rachel Sharma. The selection is built into the architecture of the model itself. Unlike a general video-generation tool, the Personality Model is specifically indexed to Rachel's biometric identity. Every use of this model involves a selection — the selection of Rachel as the synthetic subject. That selectivity is exercised by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in the model's design and maintenance, not by the end user.</w:t>
      </w:r>
    </w:p>
    <w:p w14:paraId="3AB5F15B"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b/>
          <w:bCs/>
          <w:sz w:val="24"/>
          <w:szCs w:val="24"/>
        </w:rPr>
        <w:t>On modification</w:t>
      </w:r>
      <w:r w:rsidRPr="001149F1">
        <w:rPr>
          <w:rFonts w:ascii="Times New Roman" w:hAnsi="Times New Roman" w:cs="Times New Roman"/>
          <w:sz w:val="24"/>
          <w:szCs w:val="24"/>
        </w:rPr>
        <w:t xml:space="preserve">: This is perhaps the most powerful condition to argue. Modification under Section 79(2)(c) is traditionally understood as altering existing data in transmission. But the Personality Model goes far beyond modification — it constitutes </w:t>
      </w:r>
      <w:r w:rsidRPr="001149F1">
        <w:rPr>
          <w:rFonts w:ascii="Times New Roman" w:hAnsi="Times New Roman" w:cs="Times New Roman"/>
          <w:b/>
          <w:bCs/>
          <w:sz w:val="24"/>
          <w:szCs w:val="24"/>
        </w:rPr>
        <w:t>wholesale synthetic fabrication</w:t>
      </w:r>
      <w:r w:rsidRPr="001149F1">
        <w:rPr>
          <w:rFonts w:ascii="Times New Roman" w:hAnsi="Times New Roman" w:cs="Times New Roman"/>
          <w:sz w:val="24"/>
          <w:szCs w:val="24"/>
        </w:rPr>
        <w:t xml:space="preserve">. It does not take Rachel's real video and modify it. It takes biometric parameters derived from her footage and generates entirely new audio-visual content that never existed, in which she appears to do things she never did. This is not modification of existing information — it is </w:t>
      </w:r>
      <w:r w:rsidRPr="001149F1">
        <w:rPr>
          <w:rFonts w:ascii="Times New Roman" w:hAnsi="Times New Roman" w:cs="Times New Roman"/>
          <w:b/>
          <w:bCs/>
          <w:sz w:val="24"/>
          <w:szCs w:val="24"/>
        </w:rPr>
        <w:t>creation of false information</w:t>
      </w:r>
      <w:r w:rsidRPr="001149F1">
        <w:rPr>
          <w:rFonts w:ascii="Times New Roman" w:hAnsi="Times New Roman" w:cs="Times New Roman"/>
          <w:sz w:val="24"/>
          <w:szCs w:val="24"/>
        </w:rPr>
        <w:t xml:space="preserve"> using her identity as raw material. If "modification" is interpreted purposively (as Indian courts consistently do in fundamental rights and beneficial legislation contexts), the creation of fabricated synthetic identity content using a real person's biometric data is the most extreme form of modification possible.</w:t>
      </w:r>
    </w:p>
    <w:p w14:paraId="70F90F71"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11918407">
          <v:rect id="_x0000_i1031" style="width:0;height:1.5pt" o:hralign="center" o:hrstd="t" o:hr="t" fillcolor="#a0a0a0" stroked="f"/>
        </w:pict>
      </w:r>
    </w:p>
    <w:p w14:paraId="1DD244A9"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A3: Section 79(3) — Actual Knowledge + Failure to Act</w:t>
      </w:r>
    </w:p>
    <w:p w14:paraId="26A0BC5F"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Section 79(3)(b) provides that safe harbour does not apply where the intermediary, upon receiving actual knowledge that any information in its computer resource is being used to commit an unlawful act, fails to expeditiously remove or disable access to that information.</w:t>
      </w:r>
    </w:p>
    <w:p w14:paraId="7F674C18"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facts are unambiguous.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authorities formally notified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of: (</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xml:space="preserve">) the existence of the Rachel Personality Model; (ii) its specific misuse to create non-consensual sexual deepfake content targeting an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citizen; and (iii) the resulting criminal complaint. This constitutes </w:t>
      </w:r>
      <w:r w:rsidRPr="001149F1">
        <w:rPr>
          <w:rFonts w:ascii="Times New Roman" w:hAnsi="Times New Roman" w:cs="Times New Roman"/>
          <w:b/>
          <w:bCs/>
          <w:sz w:val="24"/>
          <w:szCs w:val="24"/>
        </w:rPr>
        <w:t>actual knowledge</w:t>
      </w:r>
      <w:r w:rsidRPr="001149F1">
        <w:rPr>
          <w:rFonts w:ascii="Times New Roman" w:hAnsi="Times New Roman" w:cs="Times New Roman"/>
          <w:sz w:val="24"/>
          <w:szCs w:val="24"/>
        </w:rPr>
        <w:t xml:space="preserve"> in the clearest sense — not constructive knowledge, not algorithmic notice, but direct governmental notification of a specific harm.</w:t>
      </w:r>
    </w:p>
    <w:p w14:paraId="38DF2EC7" w14:textId="77777777" w:rsidR="001149F1" w:rsidRPr="001149F1" w:rsidRDefault="001149F1" w:rsidP="001149F1">
      <w:pPr>
        <w:spacing w:line="360" w:lineRule="auto"/>
        <w:rPr>
          <w:rFonts w:ascii="Times New Roman" w:hAnsi="Times New Roman" w:cs="Times New Roman"/>
          <w:sz w:val="24"/>
          <w:szCs w:val="24"/>
        </w:rPr>
      </w:pPr>
      <w:proofErr w:type="spellStart"/>
      <w:r w:rsidRPr="001149F1">
        <w:rPr>
          <w:rFonts w:ascii="Times New Roman" w:hAnsi="Times New Roman" w:cs="Times New Roman"/>
          <w:sz w:val="24"/>
          <w:szCs w:val="24"/>
        </w:rPr>
        <w:lastRenderedPageBreak/>
        <w:t>DeepSearch's</w:t>
      </w:r>
      <w:proofErr w:type="spellEnd"/>
      <w:r w:rsidRPr="001149F1">
        <w:rPr>
          <w:rFonts w:ascii="Times New Roman" w:hAnsi="Times New Roman" w:cs="Times New Roman"/>
          <w:sz w:val="24"/>
          <w:szCs w:val="24"/>
        </w:rPr>
        <w:t xml:space="preserve"> response? It refused to disable the Rachel Personality Model, citing its "terms of use" and its policy of "uninterrupted services." This is precisely the conduct Section 79(3) is designed to address.</w:t>
      </w:r>
    </w:p>
    <w:p w14:paraId="65125E1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argument here must anticipate the respondent's likely counter — that "actual knowledge" under </w:t>
      </w:r>
      <w:r w:rsidRPr="001149F1">
        <w:rPr>
          <w:rFonts w:ascii="Times New Roman" w:hAnsi="Times New Roman" w:cs="Times New Roman"/>
          <w:i/>
          <w:iCs/>
          <w:sz w:val="24"/>
          <w:szCs w:val="24"/>
        </w:rPr>
        <w:t>Shreya Singhal</w:t>
      </w:r>
      <w:r w:rsidRPr="001149F1">
        <w:rPr>
          <w:rFonts w:ascii="Times New Roman" w:hAnsi="Times New Roman" w:cs="Times New Roman"/>
          <w:sz w:val="24"/>
          <w:szCs w:val="24"/>
        </w:rPr>
        <w:t xml:space="preserve"> requires a court order, not a police or government notification. Address this head-on. </w:t>
      </w:r>
      <w:r w:rsidRPr="001149F1">
        <w:rPr>
          <w:rFonts w:ascii="Times New Roman" w:hAnsi="Times New Roman" w:cs="Times New Roman"/>
          <w:i/>
          <w:iCs/>
          <w:sz w:val="24"/>
          <w:szCs w:val="24"/>
        </w:rPr>
        <w:t>Shreya Singhal</w:t>
      </w:r>
      <w:r w:rsidRPr="001149F1">
        <w:rPr>
          <w:rFonts w:ascii="Times New Roman" w:hAnsi="Times New Roman" w:cs="Times New Roman"/>
          <w:sz w:val="24"/>
          <w:szCs w:val="24"/>
        </w:rPr>
        <w:t xml:space="preserve"> struck down Section 66A partly because it did not require judicial oversight before content removal. But Section 79(3) is a </w:t>
      </w:r>
      <w:r w:rsidRPr="001149F1">
        <w:rPr>
          <w:rFonts w:ascii="Times New Roman" w:hAnsi="Times New Roman" w:cs="Times New Roman"/>
          <w:i/>
          <w:iCs/>
          <w:sz w:val="24"/>
          <w:szCs w:val="24"/>
        </w:rPr>
        <w:t>liability</w:t>
      </w:r>
      <w:r w:rsidRPr="001149F1">
        <w:rPr>
          <w:rFonts w:ascii="Times New Roman" w:hAnsi="Times New Roman" w:cs="Times New Roman"/>
          <w:sz w:val="24"/>
          <w:szCs w:val="24"/>
        </w:rPr>
        <w:t xml:space="preserve"> provision, not a </w:t>
      </w:r>
      <w:r w:rsidRPr="001149F1">
        <w:rPr>
          <w:rFonts w:ascii="Times New Roman" w:hAnsi="Times New Roman" w:cs="Times New Roman"/>
          <w:i/>
          <w:iCs/>
          <w:sz w:val="24"/>
          <w:szCs w:val="24"/>
        </w:rPr>
        <w:t>censorship</w:t>
      </w:r>
      <w:r w:rsidRPr="001149F1">
        <w:rPr>
          <w:rFonts w:ascii="Times New Roman" w:hAnsi="Times New Roman" w:cs="Times New Roman"/>
          <w:sz w:val="24"/>
          <w:szCs w:val="24"/>
        </w:rPr>
        <w:t xml:space="preserve"> provision. Reading </w:t>
      </w:r>
      <w:r w:rsidRPr="001149F1">
        <w:rPr>
          <w:rFonts w:ascii="Times New Roman" w:hAnsi="Times New Roman" w:cs="Times New Roman"/>
          <w:i/>
          <w:iCs/>
          <w:sz w:val="24"/>
          <w:szCs w:val="24"/>
        </w:rPr>
        <w:t>Shreya Singhal</w:t>
      </w:r>
      <w:r w:rsidRPr="001149F1">
        <w:rPr>
          <w:rFonts w:ascii="Times New Roman" w:hAnsi="Times New Roman" w:cs="Times New Roman"/>
          <w:sz w:val="24"/>
          <w:szCs w:val="24"/>
        </w:rPr>
        <w:t xml:space="preserve"> to mean that private platforms can only be compelled to remove content by court order — and therefore can ignore direct governmental notice of ongoing criminal harm — would effectively immunize platforms from liability for all harms occurring during the litigation delay period. That cannot be the correct reading. The distinction is between the </w:t>
      </w:r>
      <w:r w:rsidRPr="001149F1">
        <w:rPr>
          <w:rFonts w:ascii="Times New Roman" w:hAnsi="Times New Roman" w:cs="Times New Roman"/>
          <w:i/>
          <w:iCs/>
          <w:sz w:val="24"/>
          <w:szCs w:val="24"/>
        </w:rPr>
        <w:t>obligation</w:t>
      </w:r>
      <w:r w:rsidRPr="001149F1">
        <w:rPr>
          <w:rFonts w:ascii="Times New Roman" w:hAnsi="Times New Roman" w:cs="Times New Roman"/>
          <w:sz w:val="24"/>
          <w:szCs w:val="24"/>
        </w:rPr>
        <w:t xml:space="preserve"> to proactively monitor (which </w:t>
      </w:r>
      <w:r w:rsidRPr="001149F1">
        <w:rPr>
          <w:rFonts w:ascii="Times New Roman" w:hAnsi="Times New Roman" w:cs="Times New Roman"/>
          <w:i/>
          <w:iCs/>
          <w:sz w:val="24"/>
          <w:szCs w:val="24"/>
        </w:rPr>
        <w:t>Shreya Singhal</w:t>
      </w:r>
      <w:r w:rsidRPr="001149F1">
        <w:rPr>
          <w:rFonts w:ascii="Times New Roman" w:hAnsi="Times New Roman" w:cs="Times New Roman"/>
          <w:sz w:val="24"/>
          <w:szCs w:val="24"/>
        </w:rPr>
        <w:t xml:space="preserve"> correctly rejected) and the </w:t>
      </w:r>
      <w:r w:rsidRPr="001149F1">
        <w:rPr>
          <w:rFonts w:ascii="Times New Roman" w:hAnsi="Times New Roman" w:cs="Times New Roman"/>
          <w:i/>
          <w:iCs/>
          <w:sz w:val="24"/>
          <w:szCs w:val="24"/>
        </w:rPr>
        <w:t>consequence of inaction</w:t>
      </w:r>
      <w:r w:rsidRPr="001149F1">
        <w:rPr>
          <w:rFonts w:ascii="Times New Roman" w:hAnsi="Times New Roman" w:cs="Times New Roman"/>
          <w:sz w:val="24"/>
          <w:szCs w:val="24"/>
        </w:rPr>
        <w:t xml:space="preserve"> after receiving specific, credible notice of ongoing harm (which Section 79(3) addresses).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received the latter and chose inaction.</w:t>
      </w:r>
    </w:p>
    <w:p w14:paraId="0CB04B03"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Furthermore, the IT (Intermediary Guidelines) Rules 2021 impose an independent, specific due diligence obligation to ensure the platform is not used for impersonation (Rule 3(1)(b)(iii)), sexually explicit material without consent (Rule 3(1)(b)(</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xml:space="preserve">)), and content that causes harm to the user's dignity (Rule 3(1)(b)(iv)). These rules create a positive compliance obligation.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refusal to remove the Rachel Personality Model is a direct violation of these due diligence obligations, which independently strips safe harbour protection regardless of the Section 79(3) knowledge analysis.</w:t>
      </w:r>
    </w:p>
    <w:p w14:paraId="623A5D79"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1682BF69">
          <v:rect id="_x0000_i1032" style="width:0;height:1.5pt" o:hralign="center" o:hrstd="t" o:hr="t" fillcolor="#a0a0a0" stroked="f"/>
        </w:pict>
      </w:r>
    </w:p>
    <w:p w14:paraId="7420CB50"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A4: Failure of the Substantial Non-Infringing Use / Neutrality Test</w:t>
      </w:r>
    </w:p>
    <w:p w14:paraId="2924AC88"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Even on the respondent's best case — that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is a general AI tool and the Personality Model is just a feature — the safe harbour </w:t>
      </w:r>
      <w:proofErr w:type="spellStart"/>
      <w:r w:rsidRPr="001149F1">
        <w:rPr>
          <w:rFonts w:ascii="Times New Roman" w:hAnsi="Times New Roman" w:cs="Times New Roman"/>
          <w:sz w:val="24"/>
          <w:szCs w:val="24"/>
        </w:rPr>
        <w:t>defense</w:t>
      </w:r>
      <w:proofErr w:type="spellEnd"/>
      <w:r w:rsidRPr="001149F1">
        <w:rPr>
          <w:rFonts w:ascii="Times New Roman" w:hAnsi="Times New Roman" w:cs="Times New Roman"/>
          <w:sz w:val="24"/>
          <w:szCs w:val="24"/>
        </w:rPr>
        <w:t xml:space="preserve"> fails because the Personality Model cannot satisfy the </w:t>
      </w:r>
      <w:r w:rsidRPr="001149F1">
        <w:rPr>
          <w:rFonts w:ascii="Times New Roman" w:hAnsi="Times New Roman" w:cs="Times New Roman"/>
          <w:b/>
          <w:bCs/>
          <w:sz w:val="24"/>
          <w:szCs w:val="24"/>
        </w:rPr>
        <w:t>neutrality</w:t>
      </w:r>
      <w:r w:rsidRPr="001149F1">
        <w:rPr>
          <w:rFonts w:ascii="Times New Roman" w:hAnsi="Times New Roman" w:cs="Times New Roman"/>
          <w:sz w:val="24"/>
          <w:szCs w:val="24"/>
        </w:rPr>
        <w:t xml:space="preserve"> requirement that underlies all platform immunity frameworks.</w:t>
      </w:r>
    </w:p>
    <w:p w14:paraId="7EFBA99B"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w:t>
      </w:r>
      <w:r w:rsidRPr="001149F1">
        <w:rPr>
          <w:rFonts w:ascii="Times New Roman" w:hAnsi="Times New Roman" w:cs="Times New Roman"/>
          <w:i/>
          <w:iCs/>
          <w:sz w:val="24"/>
          <w:szCs w:val="24"/>
        </w:rPr>
        <w:t>Sony v. Universal City Studios</w:t>
      </w:r>
      <w:r w:rsidRPr="001149F1">
        <w:rPr>
          <w:rFonts w:ascii="Times New Roman" w:hAnsi="Times New Roman" w:cs="Times New Roman"/>
          <w:sz w:val="24"/>
          <w:szCs w:val="24"/>
        </w:rPr>
        <w:t xml:space="preserve"> (Betamax) test established that a technology provider escapes liability if the product is </w:t>
      </w:r>
      <w:r w:rsidRPr="001149F1">
        <w:rPr>
          <w:rFonts w:ascii="Times New Roman" w:hAnsi="Times New Roman" w:cs="Times New Roman"/>
          <w:i/>
          <w:iCs/>
          <w:sz w:val="24"/>
          <w:szCs w:val="24"/>
        </w:rPr>
        <w:t>capable of substantial non-infringing uses</w:t>
      </w:r>
      <w:r w:rsidRPr="001149F1">
        <w:rPr>
          <w:rFonts w:ascii="Times New Roman" w:hAnsi="Times New Roman" w:cs="Times New Roman"/>
          <w:sz w:val="24"/>
          <w:szCs w:val="24"/>
        </w:rPr>
        <w:t xml:space="preserve">. This test has been absorbed into the intermediary liability frameworks of multiple jurisdictions and </w:t>
      </w:r>
      <w:r w:rsidRPr="001149F1">
        <w:rPr>
          <w:rFonts w:ascii="Times New Roman" w:hAnsi="Times New Roman" w:cs="Times New Roman"/>
          <w:sz w:val="24"/>
          <w:szCs w:val="24"/>
        </w:rPr>
        <w:lastRenderedPageBreak/>
        <w:t xml:space="preserve">implicitly underlies the Indian safe harbour framework's premise of neutrality. The test requires both </w:t>
      </w:r>
      <w:r w:rsidRPr="001149F1">
        <w:rPr>
          <w:rFonts w:ascii="Times New Roman" w:hAnsi="Times New Roman" w:cs="Times New Roman"/>
          <w:b/>
          <w:bCs/>
          <w:sz w:val="24"/>
          <w:szCs w:val="24"/>
        </w:rPr>
        <w:t>design neutrality</w:t>
      </w:r>
      <w:r w:rsidRPr="001149F1">
        <w:rPr>
          <w:rFonts w:ascii="Times New Roman" w:hAnsi="Times New Roman" w:cs="Times New Roman"/>
          <w:sz w:val="24"/>
          <w:szCs w:val="24"/>
        </w:rPr>
        <w:t xml:space="preserve"> and </w:t>
      </w:r>
      <w:r w:rsidRPr="001149F1">
        <w:rPr>
          <w:rFonts w:ascii="Times New Roman" w:hAnsi="Times New Roman" w:cs="Times New Roman"/>
          <w:b/>
          <w:bCs/>
          <w:sz w:val="24"/>
          <w:szCs w:val="24"/>
        </w:rPr>
        <w:t>use neutrality</w:t>
      </w:r>
      <w:r w:rsidRPr="001149F1">
        <w:rPr>
          <w:rFonts w:ascii="Times New Roman" w:hAnsi="Times New Roman" w:cs="Times New Roman"/>
          <w:sz w:val="24"/>
          <w:szCs w:val="24"/>
        </w:rPr>
        <w:t>.</w:t>
      </w:r>
    </w:p>
    <w:p w14:paraId="17A69519"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Personality Model fails both. On design: it is specifically engineered to clone a </w:t>
      </w:r>
      <w:r w:rsidRPr="001149F1">
        <w:rPr>
          <w:rFonts w:ascii="Times New Roman" w:hAnsi="Times New Roman" w:cs="Times New Roman"/>
          <w:i/>
          <w:iCs/>
          <w:sz w:val="24"/>
          <w:szCs w:val="24"/>
        </w:rPr>
        <w:t>particular individual's</w:t>
      </w:r>
      <w:r w:rsidRPr="001149F1">
        <w:rPr>
          <w:rFonts w:ascii="Times New Roman" w:hAnsi="Times New Roman" w:cs="Times New Roman"/>
          <w:sz w:val="24"/>
          <w:szCs w:val="24"/>
        </w:rPr>
        <w:t xml:space="preserve"> identity from minimal data. Unlike a general video-editing tool or even a general AI image generator, the Personality Model's defining feature is its ability to generate synthetic representations of </w:t>
      </w:r>
      <w:r w:rsidRPr="001149F1">
        <w:rPr>
          <w:rFonts w:ascii="Times New Roman" w:hAnsi="Times New Roman" w:cs="Times New Roman"/>
          <w:i/>
          <w:iCs/>
          <w:sz w:val="24"/>
          <w:szCs w:val="24"/>
        </w:rPr>
        <w:t>specific named, real people</w:t>
      </w:r>
      <w:r w:rsidRPr="001149F1">
        <w:rPr>
          <w:rFonts w:ascii="Times New Roman" w:hAnsi="Times New Roman" w:cs="Times New Roman"/>
          <w:sz w:val="24"/>
          <w:szCs w:val="24"/>
        </w:rPr>
        <w:t>. This is not design-neutral — it is identity-targeted by architecture.</w:t>
      </w:r>
    </w:p>
    <w:p w14:paraId="6CB2A83C"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On use: what are the substantial non-infringing uses of a tool that clones a specific private individual's identity from 30 seconds of footage? Unlike deepfake technology generally (which has documented legitimate uses in film restoration, accessibility services, educational content), the </w:t>
      </w:r>
      <w:r w:rsidRPr="001149F1">
        <w:rPr>
          <w:rFonts w:ascii="Times New Roman" w:hAnsi="Times New Roman" w:cs="Times New Roman"/>
          <w:i/>
          <w:iCs/>
          <w:sz w:val="24"/>
          <w:szCs w:val="24"/>
        </w:rPr>
        <w:t>Personality Model library</w:t>
      </w:r>
      <w:r w:rsidRPr="001149F1">
        <w:rPr>
          <w:rFonts w:ascii="Times New Roman" w:hAnsi="Times New Roman" w:cs="Times New Roman"/>
          <w:sz w:val="24"/>
          <w:szCs w:val="24"/>
        </w:rPr>
        <w:t xml:space="preserve"> — which indexes real, identified individuals — has a structural tendency toward misuse. The very construct of maintaining a library of real people's synthetic personas, accessible globally, creates a product whose primary commercial appeal lies in enabling users to generate content </w:t>
      </w:r>
      <w:r w:rsidRPr="001149F1">
        <w:rPr>
          <w:rFonts w:ascii="Times New Roman" w:hAnsi="Times New Roman" w:cs="Times New Roman"/>
          <w:i/>
          <w:iCs/>
          <w:sz w:val="24"/>
          <w:szCs w:val="24"/>
        </w:rPr>
        <w:t>as if it were</w:t>
      </w:r>
      <w:r w:rsidRPr="001149F1">
        <w:rPr>
          <w:rFonts w:ascii="Times New Roman" w:hAnsi="Times New Roman" w:cs="Times New Roman"/>
          <w:sz w:val="24"/>
          <w:szCs w:val="24"/>
        </w:rPr>
        <w:t xml:space="preserve"> those real people. The substantial use is the infringing use.</w:t>
      </w:r>
    </w:p>
    <w:p w14:paraId="1CED02EE"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Push this argument further with a </w:t>
      </w:r>
      <w:r w:rsidRPr="001149F1">
        <w:rPr>
          <w:rFonts w:ascii="Times New Roman" w:hAnsi="Times New Roman" w:cs="Times New Roman"/>
          <w:b/>
          <w:bCs/>
          <w:sz w:val="24"/>
          <w:szCs w:val="24"/>
        </w:rPr>
        <w:t>market substitution analysis</w:t>
      </w:r>
      <w:r w:rsidRPr="001149F1">
        <w:rPr>
          <w:rFonts w:ascii="Times New Roman" w:hAnsi="Times New Roman" w:cs="Times New Roman"/>
          <w:sz w:val="24"/>
          <w:szCs w:val="24"/>
        </w:rPr>
        <w:t xml:space="preserve">: the Rachel Personality Model's existence in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global library means that </w:t>
      </w:r>
      <w:r w:rsidRPr="001149F1">
        <w:rPr>
          <w:rFonts w:ascii="Times New Roman" w:hAnsi="Times New Roman" w:cs="Times New Roman"/>
          <w:i/>
          <w:iCs/>
          <w:sz w:val="24"/>
          <w:szCs w:val="24"/>
        </w:rPr>
        <w:t>any user anywhere in the world</w:t>
      </w:r>
      <w:r w:rsidRPr="001149F1">
        <w:rPr>
          <w:rFonts w:ascii="Times New Roman" w:hAnsi="Times New Roman" w:cs="Times New Roman"/>
          <w:sz w:val="24"/>
          <w:szCs w:val="24"/>
        </w:rPr>
        <w:t xml:space="preserve"> can generate infinite Rachel-attributed content without her consent. This is not an incidental harm — it is a direct commercial offering (users pay for or access the Personality Model feature) built on the misappropriation of a real person's biometric identity. The "creative tool" framing collapses when the creativity being enabled is </w:t>
      </w:r>
      <w:r w:rsidRPr="001149F1">
        <w:rPr>
          <w:rFonts w:ascii="Times New Roman" w:hAnsi="Times New Roman" w:cs="Times New Roman"/>
          <w:i/>
          <w:iCs/>
          <w:sz w:val="24"/>
          <w:szCs w:val="24"/>
        </w:rPr>
        <w:t>the creation of false realities about real people</w:t>
      </w:r>
      <w:r w:rsidRPr="001149F1">
        <w:rPr>
          <w:rFonts w:ascii="Times New Roman" w:hAnsi="Times New Roman" w:cs="Times New Roman"/>
          <w:sz w:val="24"/>
          <w:szCs w:val="24"/>
        </w:rPr>
        <w:t>.</w:t>
      </w:r>
    </w:p>
    <w:p w14:paraId="4B962520"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30F5E1D5">
          <v:rect id="_x0000_i1033" style="width:0;height:1.5pt" o:hralign="center" o:hrstd="t" o:hr="t" fillcolor="#a0a0a0" stroked="f"/>
        </w:pict>
      </w:r>
    </w:p>
    <w:p w14:paraId="5A1B0D19"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A5: The AI Co-Authorship Doctrine — Platform as Synthetic Co-Creator</w:t>
      </w:r>
    </w:p>
    <w:p w14:paraId="5AD25511"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This is the most jurisprudentially innovative argument for the appellant's side and the one most likely to generate judicial interest.</w:t>
      </w:r>
    </w:p>
    <w:p w14:paraId="521656F9"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Traditional content liability law distinguishes between: (a) the author/creator who is fully liable; (b) the publisher who exercises editorial control and shares liability; (c) the distributor who passively disseminates and has limited liability; and (d) the conduit/carrier who has no liability. The question is which category AI-generated content falls into, and the answer requires building a new analytical framework.</w:t>
      </w:r>
    </w:p>
    <w:p w14:paraId="3E137A94"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When a user interacts with the Personality Model to generate a deepfake of Rachel, the authorship of the output is </w:t>
      </w:r>
      <w:r w:rsidRPr="001149F1">
        <w:rPr>
          <w:rFonts w:ascii="Times New Roman" w:hAnsi="Times New Roman" w:cs="Times New Roman"/>
          <w:b/>
          <w:bCs/>
          <w:sz w:val="24"/>
          <w:szCs w:val="24"/>
        </w:rPr>
        <w:t>functionally shared</w:t>
      </w:r>
      <w:r w:rsidRPr="001149F1">
        <w:rPr>
          <w:rFonts w:ascii="Times New Roman" w:hAnsi="Times New Roman" w:cs="Times New Roman"/>
          <w:sz w:val="24"/>
          <w:szCs w:val="24"/>
        </w:rPr>
        <w:t xml:space="preserve"> between the user and the model in a legally meaningful way. The user's contribution is minimal — perhaps a prompt, a scenario description, or a trigger command. The model's contribution is the entirety of the synthetic representation: Rachel's face, voice, mannerisms, facial geometry, audio characteristics, and </w:t>
      </w:r>
      <w:proofErr w:type="spellStart"/>
      <w:r w:rsidRPr="001149F1">
        <w:rPr>
          <w:rFonts w:ascii="Times New Roman" w:hAnsi="Times New Roman" w:cs="Times New Roman"/>
          <w:sz w:val="24"/>
          <w:szCs w:val="24"/>
        </w:rPr>
        <w:t>behavioral</w:t>
      </w:r>
      <w:proofErr w:type="spellEnd"/>
      <w:r w:rsidRPr="001149F1">
        <w:rPr>
          <w:rFonts w:ascii="Times New Roman" w:hAnsi="Times New Roman" w:cs="Times New Roman"/>
          <w:sz w:val="24"/>
          <w:szCs w:val="24"/>
        </w:rPr>
        <w:t xml:space="preserve"> patterns — all derived from the model's training on her footage and synthesized through the model's generative architecture.</w:t>
      </w:r>
    </w:p>
    <w:p w14:paraId="0C525DBB"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is not like a user uploading a video to YouTube, where the platform's role is purely technical. The Personality Model is a </w:t>
      </w:r>
      <w:r w:rsidRPr="001149F1">
        <w:rPr>
          <w:rFonts w:ascii="Times New Roman" w:hAnsi="Times New Roman" w:cs="Times New Roman"/>
          <w:b/>
          <w:bCs/>
          <w:sz w:val="24"/>
          <w:szCs w:val="24"/>
        </w:rPr>
        <w:t>co-creator</w:t>
      </w:r>
      <w:r w:rsidRPr="001149F1">
        <w:rPr>
          <w:rFonts w:ascii="Times New Roman" w:hAnsi="Times New Roman" w:cs="Times New Roman"/>
          <w:sz w:val="24"/>
          <w:szCs w:val="24"/>
        </w:rPr>
        <w:t xml:space="preserve"> in the functional sense — it contributes original synthetic content. In copyright law, we recognize that authorship attaches to creative contribution. Logically, if a party contributes the dominant creative element of harmful content, that party cannot claim the immunity of a passive conduit.</w:t>
      </w:r>
    </w:p>
    <w:p w14:paraId="4EE279DE"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Frame this as the </w:t>
      </w:r>
      <w:r w:rsidRPr="001149F1">
        <w:rPr>
          <w:rFonts w:ascii="Times New Roman" w:hAnsi="Times New Roman" w:cs="Times New Roman"/>
          <w:b/>
          <w:bCs/>
          <w:sz w:val="24"/>
          <w:szCs w:val="24"/>
        </w:rPr>
        <w:t>"functional authorship" test</w:t>
      </w:r>
      <w:r w:rsidRPr="001149F1">
        <w:rPr>
          <w:rFonts w:ascii="Times New Roman" w:hAnsi="Times New Roman" w:cs="Times New Roman"/>
          <w:sz w:val="24"/>
          <w:szCs w:val="24"/>
        </w:rPr>
        <w:t xml:space="preserve">: liability under Section 79 should be assessed by asking who </w:t>
      </w:r>
      <w:r w:rsidRPr="001149F1">
        <w:rPr>
          <w:rFonts w:ascii="Times New Roman" w:hAnsi="Times New Roman" w:cs="Times New Roman"/>
          <w:i/>
          <w:iCs/>
          <w:sz w:val="24"/>
          <w:szCs w:val="24"/>
        </w:rPr>
        <w:t>functionally created</w:t>
      </w:r>
      <w:r w:rsidRPr="001149F1">
        <w:rPr>
          <w:rFonts w:ascii="Times New Roman" w:hAnsi="Times New Roman" w:cs="Times New Roman"/>
          <w:sz w:val="24"/>
          <w:szCs w:val="24"/>
        </w:rPr>
        <w:t xml:space="preserve"> the harmful content, not just who formally "uploaded" it. Where AI-generated content derives the dominant elements of its harmful character — the identity of the victim, the synthetic representation of their face and voice, the believability of the fabrication — from a platform-provided model, the platform is a </w:t>
      </w:r>
      <w:r w:rsidRPr="001149F1">
        <w:rPr>
          <w:rFonts w:ascii="Times New Roman" w:hAnsi="Times New Roman" w:cs="Times New Roman"/>
          <w:i/>
          <w:iCs/>
          <w:sz w:val="24"/>
          <w:szCs w:val="24"/>
        </w:rPr>
        <w:t>functional author</w:t>
      </w:r>
      <w:r w:rsidRPr="001149F1">
        <w:rPr>
          <w:rFonts w:ascii="Times New Roman" w:hAnsi="Times New Roman" w:cs="Times New Roman"/>
          <w:sz w:val="24"/>
          <w:szCs w:val="24"/>
        </w:rPr>
        <w:t xml:space="preserve"> and cannot claim safe harbour.</w:t>
      </w:r>
    </w:p>
    <w:p w14:paraId="616A168F"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argument also has implications beyond this case — it is an invitation to the Supreme Court to lay down a </w:t>
      </w:r>
      <w:r w:rsidRPr="001149F1">
        <w:rPr>
          <w:rFonts w:ascii="Times New Roman" w:hAnsi="Times New Roman" w:cs="Times New Roman"/>
          <w:b/>
          <w:bCs/>
          <w:sz w:val="24"/>
          <w:szCs w:val="24"/>
        </w:rPr>
        <w:t>doctrine for AI-generated harm</w:t>
      </w:r>
      <w:r w:rsidRPr="001149F1">
        <w:rPr>
          <w:rFonts w:ascii="Times New Roman" w:hAnsi="Times New Roman" w:cs="Times New Roman"/>
          <w:sz w:val="24"/>
          <w:szCs w:val="24"/>
        </w:rPr>
        <w:t xml:space="preserve"> that Indian law currently lacks entirely. Courts in the US are grappling with this question in the </w:t>
      </w:r>
      <w:r w:rsidRPr="001149F1">
        <w:rPr>
          <w:rFonts w:ascii="Times New Roman" w:hAnsi="Times New Roman" w:cs="Times New Roman"/>
          <w:i/>
          <w:iCs/>
          <w:sz w:val="24"/>
          <w:szCs w:val="24"/>
        </w:rPr>
        <w:t>Stability AI</w:t>
      </w:r>
      <w:r w:rsidRPr="001149F1">
        <w:rPr>
          <w:rFonts w:ascii="Times New Roman" w:hAnsi="Times New Roman" w:cs="Times New Roman"/>
          <w:sz w:val="24"/>
          <w:szCs w:val="24"/>
        </w:rPr>
        <w:t xml:space="preserve"> and </w:t>
      </w:r>
      <w:r w:rsidRPr="001149F1">
        <w:rPr>
          <w:rFonts w:ascii="Times New Roman" w:hAnsi="Times New Roman" w:cs="Times New Roman"/>
          <w:i/>
          <w:iCs/>
          <w:sz w:val="24"/>
          <w:szCs w:val="24"/>
        </w:rPr>
        <w:t>Midjourney</w:t>
      </w:r>
      <w:r w:rsidRPr="001149F1">
        <w:rPr>
          <w:rFonts w:ascii="Times New Roman" w:hAnsi="Times New Roman" w:cs="Times New Roman"/>
          <w:sz w:val="24"/>
          <w:szCs w:val="24"/>
        </w:rPr>
        <w:t xml:space="preserve"> litigations. The Indian Supreme Court has the opportunity to be globally ahead of the curve.</w:t>
      </w:r>
    </w:p>
    <w:p w14:paraId="3DF04EC8"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63E5752E">
          <v:rect id="_x0000_i1034" style="width:0;height:1.5pt" o:hralign="center" o:hrstd="t" o:hr="t" fillcolor="#a0a0a0" stroked="f"/>
        </w:pict>
      </w:r>
    </w:p>
    <w:p w14:paraId="470B1889"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A6: Design Defect Liability — The Product Was Built for Identity Exploitation</w:t>
      </w:r>
    </w:p>
    <w:p w14:paraId="0FB91D5C"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final appellant argument draws from </w:t>
      </w:r>
      <w:r w:rsidRPr="001149F1">
        <w:rPr>
          <w:rFonts w:ascii="Times New Roman" w:hAnsi="Times New Roman" w:cs="Times New Roman"/>
          <w:b/>
          <w:bCs/>
          <w:sz w:val="24"/>
          <w:szCs w:val="24"/>
        </w:rPr>
        <w:t>product liability law</w:t>
      </w:r>
      <w:r w:rsidRPr="001149F1">
        <w:rPr>
          <w:rFonts w:ascii="Times New Roman" w:hAnsi="Times New Roman" w:cs="Times New Roman"/>
          <w:sz w:val="24"/>
          <w:szCs w:val="24"/>
        </w:rPr>
        <w:t xml:space="preserve"> to fill the gap left by the intermediary liability framework. Even if Section 79 is read in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w:t>
      </w:r>
      <w:proofErr w:type="spellStart"/>
      <w:r w:rsidRPr="001149F1">
        <w:rPr>
          <w:rFonts w:ascii="Times New Roman" w:hAnsi="Times New Roman" w:cs="Times New Roman"/>
          <w:sz w:val="24"/>
          <w:szCs w:val="24"/>
        </w:rPr>
        <w:t>favor</w:t>
      </w:r>
      <w:proofErr w:type="spellEnd"/>
      <w:r w:rsidRPr="001149F1">
        <w:rPr>
          <w:rFonts w:ascii="Times New Roman" w:hAnsi="Times New Roman" w:cs="Times New Roman"/>
          <w:sz w:val="24"/>
          <w:szCs w:val="24"/>
        </w:rPr>
        <w:t xml:space="preserve">, a separate head of liability exists: the platform deployed a product with a design defect — specifically, the Personality Model's core design makes non-consensual identity exploitation not just possible but </w:t>
      </w:r>
      <w:r w:rsidRPr="001149F1">
        <w:rPr>
          <w:rFonts w:ascii="Times New Roman" w:hAnsi="Times New Roman" w:cs="Times New Roman"/>
          <w:i/>
          <w:iCs/>
          <w:sz w:val="24"/>
          <w:szCs w:val="24"/>
        </w:rPr>
        <w:t>structurally inevitable</w:t>
      </w:r>
      <w:r w:rsidRPr="001149F1">
        <w:rPr>
          <w:rFonts w:ascii="Times New Roman" w:hAnsi="Times New Roman" w:cs="Times New Roman"/>
          <w:sz w:val="24"/>
          <w:szCs w:val="24"/>
        </w:rPr>
        <w:t>.</w:t>
      </w:r>
    </w:p>
    <w:p w14:paraId="4BA800E1"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A design defect exists when a product, used as intended, causes harm that a reasonable alternative design could have avoided. The Personality Model was designed to: (</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xml:space="preserve">) require </w:t>
      </w:r>
      <w:r w:rsidRPr="001149F1">
        <w:rPr>
          <w:rFonts w:ascii="Times New Roman" w:hAnsi="Times New Roman" w:cs="Times New Roman"/>
          <w:sz w:val="24"/>
          <w:szCs w:val="24"/>
        </w:rPr>
        <w:lastRenderedPageBreak/>
        <w:t>only 30 seconds of footage — deliberately minimizing the barrier to identity cloning; (ii) persist in a globally accessible library — rather than a private, access-controlled environment; (iii) operate without identity verification or consent — no mechanism to confirm the cloned person authorized the model; (iv) provide no takedown mechanism — once created, the Personality Model cannot be removed at the subject's request.</w:t>
      </w:r>
    </w:p>
    <w:p w14:paraId="073682E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Each of these design choices made identity exploitation more likely. Reasonable alternative designs exist and are straightforward: require verified consent from the cloned individual; limit library access to verified professional use cases; implement automated harm-detection for sexual content generation; provide the subject with takedown rights. The fact that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chose none of these alternatives is evidence that the design was not merely negligently defective — it was </w:t>
      </w:r>
      <w:r w:rsidRPr="001149F1">
        <w:rPr>
          <w:rFonts w:ascii="Times New Roman" w:hAnsi="Times New Roman" w:cs="Times New Roman"/>
          <w:b/>
          <w:bCs/>
          <w:sz w:val="24"/>
          <w:szCs w:val="24"/>
        </w:rPr>
        <w:t>optimized for frictionless identity replication regardless of consent</w:t>
      </w:r>
      <w:r w:rsidRPr="001149F1">
        <w:rPr>
          <w:rFonts w:ascii="Times New Roman" w:hAnsi="Times New Roman" w:cs="Times New Roman"/>
          <w:sz w:val="24"/>
          <w:szCs w:val="24"/>
        </w:rPr>
        <w:t>.</w:t>
      </w:r>
    </w:p>
    <w:p w14:paraId="514845C9"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argument is particularly powerful because it addresses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contractual "terms of use" </w:t>
      </w:r>
      <w:proofErr w:type="spellStart"/>
      <w:r w:rsidRPr="001149F1">
        <w:rPr>
          <w:rFonts w:ascii="Times New Roman" w:hAnsi="Times New Roman" w:cs="Times New Roman"/>
          <w:sz w:val="24"/>
          <w:szCs w:val="24"/>
        </w:rPr>
        <w:t>defense</w:t>
      </w:r>
      <w:proofErr w:type="spellEnd"/>
      <w:r w:rsidRPr="001149F1">
        <w:rPr>
          <w:rFonts w:ascii="Times New Roman" w:hAnsi="Times New Roman" w:cs="Times New Roman"/>
          <w:sz w:val="24"/>
          <w:szCs w:val="24"/>
        </w:rPr>
        <w:t xml:space="preserve"> directly. Terms of use that prohibit harmful use of a product do not cure a </w:t>
      </w:r>
      <w:r w:rsidRPr="001149F1">
        <w:rPr>
          <w:rFonts w:ascii="Times New Roman" w:hAnsi="Times New Roman" w:cs="Times New Roman"/>
          <w:b/>
          <w:bCs/>
          <w:sz w:val="24"/>
          <w:szCs w:val="24"/>
        </w:rPr>
        <w:t>design defect</w:t>
      </w:r>
      <w:r w:rsidRPr="001149F1">
        <w:rPr>
          <w:rFonts w:ascii="Times New Roman" w:hAnsi="Times New Roman" w:cs="Times New Roman"/>
          <w:sz w:val="24"/>
          <w:szCs w:val="24"/>
        </w:rPr>
        <w:t xml:space="preserve"> that structurally enables and incentivizes that harmful use. A car manufacturer cannot escape liability for a defective brake system by pointing to a clause in the owner's manual saying "do not crash your car." Similarly,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cannot escape liability for a product architecturally designed to enable identity exploitation by pointing to a </w:t>
      </w:r>
      <w:proofErr w:type="spellStart"/>
      <w:r w:rsidRPr="001149F1">
        <w:rPr>
          <w:rFonts w:ascii="Times New Roman" w:hAnsi="Times New Roman" w:cs="Times New Roman"/>
          <w:sz w:val="24"/>
          <w:szCs w:val="24"/>
        </w:rPr>
        <w:t>ToU</w:t>
      </w:r>
      <w:proofErr w:type="spellEnd"/>
      <w:r w:rsidRPr="001149F1">
        <w:rPr>
          <w:rFonts w:ascii="Times New Roman" w:hAnsi="Times New Roman" w:cs="Times New Roman"/>
          <w:sz w:val="24"/>
          <w:szCs w:val="24"/>
        </w:rPr>
        <w:t xml:space="preserve"> clause that nominally prohibits misuse.</w:t>
      </w:r>
    </w:p>
    <w:p w14:paraId="5CAA0B81"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74CD4684">
          <v:rect id="_x0000_i1035" style="width:0;height:1.5pt" o:hralign="center" o:hrstd="t" o:hr="t" fillcolor="#a0a0a0" stroked="f"/>
        </w:pict>
      </w:r>
    </w:p>
    <w:p w14:paraId="02884BC1"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RESPONDENT'S ARGUMENTS (</w:t>
      </w:r>
      <w:proofErr w:type="spellStart"/>
      <w:r w:rsidRPr="001149F1">
        <w:rPr>
          <w:rFonts w:ascii="Times New Roman" w:hAnsi="Times New Roman" w:cs="Times New Roman"/>
          <w:b/>
          <w:bCs/>
          <w:sz w:val="24"/>
          <w:szCs w:val="24"/>
        </w:rPr>
        <w:t>DeepSearch</w:t>
      </w:r>
      <w:proofErr w:type="spellEnd"/>
      <w:r w:rsidRPr="001149F1">
        <w:rPr>
          <w:rFonts w:ascii="Times New Roman" w:hAnsi="Times New Roman" w:cs="Times New Roman"/>
          <w:b/>
          <w:bCs/>
          <w:sz w:val="24"/>
          <w:szCs w:val="24"/>
        </w:rPr>
        <w:t xml:space="preserve"> Inc.)</w:t>
      </w:r>
    </w:p>
    <w:p w14:paraId="41CED034"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021729DF">
          <v:rect id="_x0000_i1036" style="width:0;height:1.5pt" o:hralign="center" o:hrstd="t" o:hr="t" fillcolor="#a0a0a0" stroked="f"/>
        </w:pict>
      </w:r>
    </w:p>
    <w:p w14:paraId="3616315C"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R1: Structural Intermediary Status — The Platform Is Not the Originator of Harm</w:t>
      </w:r>
    </w:p>
    <w:p w14:paraId="0C70786E" w14:textId="77777777" w:rsidR="001149F1" w:rsidRPr="001149F1" w:rsidRDefault="001149F1" w:rsidP="001149F1">
      <w:pPr>
        <w:spacing w:line="360" w:lineRule="auto"/>
        <w:rPr>
          <w:rFonts w:ascii="Times New Roman" w:hAnsi="Times New Roman" w:cs="Times New Roman"/>
          <w:sz w:val="24"/>
          <w:szCs w:val="24"/>
        </w:rPr>
      </w:pP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foundational </w:t>
      </w:r>
      <w:proofErr w:type="spellStart"/>
      <w:r w:rsidRPr="001149F1">
        <w:rPr>
          <w:rFonts w:ascii="Times New Roman" w:hAnsi="Times New Roman" w:cs="Times New Roman"/>
          <w:sz w:val="24"/>
          <w:szCs w:val="24"/>
        </w:rPr>
        <w:t>defense</w:t>
      </w:r>
      <w:proofErr w:type="spellEnd"/>
      <w:r w:rsidRPr="001149F1">
        <w:rPr>
          <w:rFonts w:ascii="Times New Roman" w:hAnsi="Times New Roman" w:cs="Times New Roman"/>
          <w:sz w:val="24"/>
          <w:szCs w:val="24"/>
        </w:rPr>
        <w:t xml:space="preserve"> is that it is structurally and functionally an intermediary within the meaning of Section 79 and the IT Act's definitional framework. The Act defines an "intermediary" in Section 2(1)(w) broadly as any entity that receives, stores, or transmits an electronic record on behalf of another.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provides an AI platform — users access it, deploy its features, and generate outputs. The </w:t>
      </w:r>
      <w:r w:rsidRPr="001149F1">
        <w:rPr>
          <w:rFonts w:ascii="Times New Roman" w:hAnsi="Times New Roman" w:cs="Times New Roman"/>
          <w:i/>
          <w:iCs/>
          <w:sz w:val="24"/>
          <w:szCs w:val="24"/>
        </w:rPr>
        <w:t>initiating act of harm</w:t>
      </w:r>
      <w:r w:rsidRPr="001149F1">
        <w:rPr>
          <w:rFonts w:ascii="Times New Roman" w:hAnsi="Times New Roman" w:cs="Times New Roman"/>
          <w:sz w:val="24"/>
          <w:szCs w:val="24"/>
        </w:rPr>
        <w:t xml:space="preserve"> is the user's decision to generate a sexual deepfake of Rachel.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neither decided to target Rachel, nor commissioned the specific content, nor distributed it to the public. All three acts of harm were performed by Mike Rathore.</w:t>
      </w:r>
    </w:p>
    <w:p w14:paraId="51C8DDEA"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The logical structure of the appellant's case, if accepted, would </w:t>
      </w:r>
      <w:r w:rsidRPr="001149F1">
        <w:rPr>
          <w:rFonts w:ascii="Times New Roman" w:hAnsi="Times New Roman" w:cs="Times New Roman"/>
          <w:b/>
          <w:bCs/>
          <w:sz w:val="24"/>
          <w:szCs w:val="24"/>
        </w:rPr>
        <w:t>collapse the distinction between tool and act</w:t>
      </w:r>
      <w:r w:rsidRPr="001149F1">
        <w:rPr>
          <w:rFonts w:ascii="Times New Roman" w:hAnsi="Times New Roman" w:cs="Times New Roman"/>
          <w:sz w:val="24"/>
          <w:szCs w:val="24"/>
        </w:rPr>
        <w:t xml:space="preserve">. A kitchen knife is designed to cut; a person who uses it to stab someone commits the harm. The manufacturer's liability is governed by product safety law, not criminal or tortious imputation of the act itself. Similarly,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provided a generative AI tool — the decision to clone Rachel's identity for a sexual deepfake was entirely Mike Rathore's. Imposing publisher liability on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for this user decision would be the equivalent of treating every tool manufacturer as a joint tortfeasor for every foreseeable misuse of their tool.</w:t>
      </w:r>
    </w:p>
    <w:p w14:paraId="21F63E90"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w:t>
      </w:r>
      <w:r w:rsidRPr="001149F1">
        <w:rPr>
          <w:rFonts w:ascii="Times New Roman" w:hAnsi="Times New Roman" w:cs="Times New Roman"/>
          <w:i/>
          <w:iCs/>
          <w:sz w:val="24"/>
          <w:szCs w:val="24"/>
        </w:rPr>
        <w:t>Viacom v. YouTube</w:t>
      </w:r>
      <w:r w:rsidRPr="001149F1">
        <w:rPr>
          <w:rFonts w:ascii="Times New Roman" w:hAnsi="Times New Roman" w:cs="Times New Roman"/>
          <w:sz w:val="24"/>
          <w:szCs w:val="24"/>
        </w:rPr>
        <w:t xml:space="preserve"> precedent from the US (applicable as persuasive authority) established that a platform is not liable for user-uploaded content unless it has </w:t>
      </w:r>
      <w:r w:rsidRPr="001149F1">
        <w:rPr>
          <w:rFonts w:ascii="Times New Roman" w:hAnsi="Times New Roman" w:cs="Times New Roman"/>
          <w:i/>
          <w:iCs/>
          <w:sz w:val="24"/>
          <w:szCs w:val="24"/>
        </w:rPr>
        <w:t>specific knowledge</w:t>
      </w:r>
      <w:r w:rsidRPr="001149F1">
        <w:rPr>
          <w:rFonts w:ascii="Times New Roman" w:hAnsi="Times New Roman" w:cs="Times New Roman"/>
          <w:sz w:val="24"/>
          <w:szCs w:val="24"/>
        </w:rPr>
        <w:t xml:space="preserve"> of a </w:t>
      </w:r>
      <w:r w:rsidRPr="001149F1">
        <w:rPr>
          <w:rFonts w:ascii="Times New Roman" w:hAnsi="Times New Roman" w:cs="Times New Roman"/>
          <w:i/>
          <w:iCs/>
          <w:sz w:val="24"/>
          <w:szCs w:val="24"/>
        </w:rPr>
        <w:t>specific infringing item</w:t>
      </w:r>
      <w:r w:rsidRPr="001149F1">
        <w:rPr>
          <w:rFonts w:ascii="Times New Roman" w:hAnsi="Times New Roman" w:cs="Times New Roman"/>
          <w:sz w:val="24"/>
          <w:szCs w:val="24"/>
        </w:rPr>
        <w:t xml:space="preserve"> and fails to remove it. The specificity requirement is important — general awareness that a platform can be misused is not sufficient. Prior to receiving notice of Mike's specific deepfake,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had no specific knowledge of this particular harmful use. Its liability, if any, arises only at and after the point of notice — and even then, the question of </w:t>
      </w:r>
      <w:r w:rsidRPr="001149F1">
        <w:rPr>
          <w:rFonts w:ascii="Times New Roman" w:hAnsi="Times New Roman" w:cs="Times New Roman"/>
          <w:i/>
          <w:iCs/>
          <w:sz w:val="24"/>
          <w:szCs w:val="24"/>
        </w:rPr>
        <w:t>what</w:t>
      </w:r>
      <w:r w:rsidRPr="001149F1">
        <w:rPr>
          <w:rFonts w:ascii="Times New Roman" w:hAnsi="Times New Roman" w:cs="Times New Roman"/>
          <w:sz w:val="24"/>
          <w:szCs w:val="24"/>
        </w:rPr>
        <w:t xml:space="preserve"> it was obliged to remove (the specific video, or the entire Personality Model?) is a question of proportionality, not absolute liability.</w:t>
      </w:r>
    </w:p>
    <w:p w14:paraId="7ECAEB02"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4DAE037D">
          <v:rect id="_x0000_i1037" style="width:0;height:1.5pt" o:hralign="center" o:hrstd="t" o:hr="t" fillcolor="#a0a0a0" stroked="f"/>
        </w:pict>
      </w:r>
    </w:p>
    <w:p w14:paraId="49A69D9E"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R2: The User Is the Content Creator — Tool Does Not Equal Act</w:t>
      </w:r>
    </w:p>
    <w:p w14:paraId="17F993D6"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argument directly challenges the appellant's "AI co-authorship" doctrine. The Personality Model is a </w:t>
      </w:r>
      <w:r w:rsidRPr="001149F1">
        <w:rPr>
          <w:rFonts w:ascii="Times New Roman" w:hAnsi="Times New Roman" w:cs="Times New Roman"/>
          <w:b/>
          <w:bCs/>
          <w:sz w:val="24"/>
          <w:szCs w:val="24"/>
        </w:rPr>
        <w:t>technology tool</w:t>
      </w:r>
      <w:r w:rsidRPr="001149F1">
        <w:rPr>
          <w:rFonts w:ascii="Times New Roman" w:hAnsi="Times New Roman" w:cs="Times New Roman"/>
          <w:sz w:val="24"/>
          <w:szCs w:val="24"/>
        </w:rPr>
        <w:t xml:space="preserve">, not a content creator. It does not, unprompted, generate sexual content about Rachel. It requires a user to: access the platform, find or construct the Personality Model, choose to generate content using it, specify the nature of the content to be generated, and actively deploy the output. Every step in this chain is a human decision.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model is the instrument; Mike Rathore is the agent.</w:t>
      </w:r>
    </w:p>
    <w:p w14:paraId="5CA93F9F"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The co-authorship argument misconstrues what the Personality Model actually does. It synthesizes audio-visual characteristics — a technological function no different, in legal principle, from a photo-editing application that can manipulate images. The application does not decide to manipulate; the user does. The app does not decide what the manipulation will look like; the user instructs it. Holding the tool liable for the user's creative decisions would mean that Adobe is liable for every defamatory image created in Photoshop, and that Google is liable for every misleading document written in Google Docs.</w:t>
      </w:r>
    </w:p>
    <w:p w14:paraId="63FAB08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The better analogy is not to a ghostwriter but to a </w:t>
      </w:r>
      <w:r w:rsidRPr="001149F1">
        <w:rPr>
          <w:rFonts w:ascii="Times New Roman" w:hAnsi="Times New Roman" w:cs="Times New Roman"/>
          <w:b/>
          <w:bCs/>
          <w:sz w:val="24"/>
          <w:szCs w:val="24"/>
        </w:rPr>
        <w:t>professional voice actor's vocal replication software</w:t>
      </w:r>
      <w:r w:rsidRPr="001149F1">
        <w:rPr>
          <w:rFonts w:ascii="Times New Roman" w:hAnsi="Times New Roman" w:cs="Times New Roman"/>
          <w:sz w:val="24"/>
          <w:szCs w:val="24"/>
        </w:rPr>
        <w:t xml:space="preserve">. Such technology has legitimate creative, accessibility, and entertainment applications. The fact that it can be misused does not make the software developer a co-author of every misuse. The liability framework must remain </w:t>
      </w:r>
      <w:r w:rsidRPr="001149F1">
        <w:rPr>
          <w:rFonts w:ascii="Times New Roman" w:hAnsi="Times New Roman" w:cs="Times New Roman"/>
          <w:i/>
          <w:iCs/>
          <w:sz w:val="24"/>
          <w:szCs w:val="24"/>
        </w:rPr>
        <w:t>act-focused</w:t>
      </w:r>
      <w:r w:rsidRPr="001149F1">
        <w:rPr>
          <w:rFonts w:ascii="Times New Roman" w:hAnsi="Times New Roman" w:cs="Times New Roman"/>
          <w:sz w:val="24"/>
          <w:szCs w:val="24"/>
        </w:rPr>
        <w:t xml:space="preserve">, not </w:t>
      </w:r>
      <w:r w:rsidRPr="001149F1">
        <w:rPr>
          <w:rFonts w:ascii="Times New Roman" w:hAnsi="Times New Roman" w:cs="Times New Roman"/>
          <w:i/>
          <w:iCs/>
          <w:sz w:val="24"/>
          <w:szCs w:val="24"/>
        </w:rPr>
        <w:t>tool-focused</w:t>
      </w:r>
      <w:r w:rsidRPr="001149F1">
        <w:rPr>
          <w:rFonts w:ascii="Times New Roman" w:hAnsi="Times New Roman" w:cs="Times New Roman"/>
          <w:sz w:val="24"/>
          <w:szCs w:val="24"/>
        </w:rPr>
        <w:t>.</w:t>
      </w:r>
    </w:p>
    <w:p w14:paraId="2352BE87"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Furthermore, under Indian copyright law, authorship attaches to the person who directs and controls the creative process. Even if one accepts that AI tools contribute technically to output, the </w:t>
      </w:r>
      <w:r w:rsidRPr="001149F1">
        <w:rPr>
          <w:rFonts w:ascii="Times New Roman" w:hAnsi="Times New Roman" w:cs="Times New Roman"/>
          <w:i/>
          <w:iCs/>
          <w:sz w:val="24"/>
          <w:szCs w:val="24"/>
        </w:rPr>
        <w:t>direction, intent, and deployment</w:t>
      </w:r>
      <w:r w:rsidRPr="001149F1">
        <w:rPr>
          <w:rFonts w:ascii="Times New Roman" w:hAnsi="Times New Roman" w:cs="Times New Roman"/>
          <w:sz w:val="24"/>
          <w:szCs w:val="24"/>
        </w:rPr>
        <w:t xml:space="preserve"> of the Personality Model for the specific purpose of creating sexual content targeting Rachel was entirely Mike Rathore's. He is the author of the harm;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is the instrument.</w:t>
      </w:r>
    </w:p>
    <w:p w14:paraId="3863FD36"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27C8A416">
          <v:rect id="_x0000_i1038" style="width:0;height:1.5pt" o:hralign="center" o:hrstd="t" o:hr="t" fillcolor="#a0a0a0" stroked="f"/>
        </w:pict>
      </w:r>
    </w:p>
    <w:p w14:paraId="6EF5D4FC"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R3: Terms of Use as Good Faith Compliance and the Proportionality of Relief Sought</w:t>
      </w:r>
    </w:p>
    <w:p w14:paraId="67F8B59D" w14:textId="77777777" w:rsidR="001149F1" w:rsidRPr="001149F1" w:rsidRDefault="001149F1" w:rsidP="001149F1">
      <w:pPr>
        <w:spacing w:line="360" w:lineRule="auto"/>
        <w:rPr>
          <w:rFonts w:ascii="Times New Roman" w:hAnsi="Times New Roman" w:cs="Times New Roman"/>
          <w:sz w:val="24"/>
          <w:szCs w:val="24"/>
        </w:rPr>
      </w:pP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Terms of Use explicitly prohibit: (</w:t>
      </w:r>
      <w:proofErr w:type="spellStart"/>
      <w:r w:rsidRPr="001149F1">
        <w:rPr>
          <w:rFonts w:ascii="Times New Roman" w:hAnsi="Times New Roman" w:cs="Times New Roman"/>
          <w:sz w:val="24"/>
          <w:szCs w:val="24"/>
        </w:rPr>
        <w:t>i</w:t>
      </w:r>
      <w:proofErr w:type="spellEnd"/>
      <w:r w:rsidRPr="001149F1">
        <w:rPr>
          <w:rFonts w:ascii="Times New Roman" w:hAnsi="Times New Roman" w:cs="Times New Roman"/>
          <w:sz w:val="24"/>
          <w:szCs w:val="24"/>
        </w:rPr>
        <w:t xml:space="preserve">) the creation of non-consensual intimate content; (ii) the use of Personality Models to impersonate individuals without their consent; (iii) the distribution of harmful or defamatory synthetic content. These prohibitions demonstrate that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took good faith steps to prevent misuse — steps that the IT (Intermediary Guidelines) Rules 2021 recognize as satisfying due diligence obligations.</w:t>
      </w:r>
    </w:p>
    <w:p w14:paraId="4B5C41CB"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appellants seek not merely the removal of the specific deepfake video (which was accomplished) but the </w:t>
      </w:r>
      <w:r w:rsidRPr="001149F1">
        <w:rPr>
          <w:rFonts w:ascii="Times New Roman" w:hAnsi="Times New Roman" w:cs="Times New Roman"/>
          <w:b/>
          <w:bCs/>
          <w:sz w:val="24"/>
          <w:szCs w:val="24"/>
        </w:rPr>
        <w:t xml:space="preserve">global deletion of the Rachel Personality Model from </w:t>
      </w:r>
      <w:proofErr w:type="spellStart"/>
      <w:r w:rsidRPr="001149F1">
        <w:rPr>
          <w:rFonts w:ascii="Times New Roman" w:hAnsi="Times New Roman" w:cs="Times New Roman"/>
          <w:b/>
          <w:bCs/>
          <w:sz w:val="24"/>
          <w:szCs w:val="24"/>
        </w:rPr>
        <w:t>DeepSearch's</w:t>
      </w:r>
      <w:proofErr w:type="spellEnd"/>
      <w:r w:rsidRPr="001149F1">
        <w:rPr>
          <w:rFonts w:ascii="Times New Roman" w:hAnsi="Times New Roman" w:cs="Times New Roman"/>
          <w:b/>
          <w:bCs/>
          <w:sz w:val="24"/>
          <w:szCs w:val="24"/>
        </w:rPr>
        <w:t xml:space="preserve"> library</w:t>
      </w:r>
      <w:r w:rsidRPr="001149F1">
        <w:rPr>
          <w:rFonts w:ascii="Times New Roman" w:hAnsi="Times New Roman" w:cs="Times New Roman"/>
          <w:sz w:val="24"/>
          <w:szCs w:val="24"/>
        </w:rPr>
        <w:t xml:space="preserve">. This relief is disproportionate to the harm and inconsistent with the intermediary liability framework. The IT Act's framework, and the 2021 Rules, contemplate a </w:t>
      </w:r>
      <w:r w:rsidRPr="001149F1">
        <w:rPr>
          <w:rFonts w:ascii="Times New Roman" w:hAnsi="Times New Roman" w:cs="Times New Roman"/>
          <w:b/>
          <w:bCs/>
          <w:sz w:val="24"/>
          <w:szCs w:val="24"/>
        </w:rPr>
        <w:t>notice-and-takedown</w:t>
      </w:r>
      <w:r w:rsidRPr="001149F1">
        <w:rPr>
          <w:rFonts w:ascii="Times New Roman" w:hAnsi="Times New Roman" w:cs="Times New Roman"/>
          <w:sz w:val="24"/>
          <w:szCs w:val="24"/>
        </w:rPr>
        <w:t xml:space="preserve"> mechanism — not a </w:t>
      </w:r>
      <w:r w:rsidRPr="001149F1">
        <w:rPr>
          <w:rFonts w:ascii="Times New Roman" w:hAnsi="Times New Roman" w:cs="Times New Roman"/>
          <w:i/>
          <w:iCs/>
          <w:sz w:val="24"/>
          <w:szCs w:val="24"/>
        </w:rPr>
        <w:t>product recall</w:t>
      </w:r>
      <w:r w:rsidRPr="001149F1">
        <w:rPr>
          <w:rFonts w:ascii="Times New Roman" w:hAnsi="Times New Roman" w:cs="Times New Roman"/>
          <w:sz w:val="24"/>
          <w:szCs w:val="24"/>
        </w:rPr>
        <w:t xml:space="preserve"> or </w:t>
      </w:r>
      <w:r w:rsidRPr="001149F1">
        <w:rPr>
          <w:rFonts w:ascii="Times New Roman" w:hAnsi="Times New Roman" w:cs="Times New Roman"/>
          <w:i/>
          <w:iCs/>
          <w:sz w:val="24"/>
          <w:szCs w:val="24"/>
        </w:rPr>
        <w:t>feature shutdown</w:t>
      </w:r>
      <w:r w:rsidRPr="001149F1">
        <w:rPr>
          <w:rFonts w:ascii="Times New Roman" w:hAnsi="Times New Roman" w:cs="Times New Roman"/>
          <w:sz w:val="24"/>
          <w:szCs w:val="24"/>
        </w:rPr>
        <w:t xml:space="preserve"> mechanism. Removing the specific harmful content is the appropriate and proportionate response. Demanding the deletion of the entire Personality Model — which may have legitimate uses for other users, such as Rachel using her own model for content creation — is akin to asking a video platform to delete all videos of a person because one user uploaded a defamatory video of them.</w:t>
      </w:r>
    </w:p>
    <w:p w14:paraId="2D54E8F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contractual terms of use, while not a complete </w:t>
      </w:r>
      <w:proofErr w:type="spellStart"/>
      <w:r w:rsidRPr="001149F1">
        <w:rPr>
          <w:rFonts w:ascii="Times New Roman" w:hAnsi="Times New Roman" w:cs="Times New Roman"/>
          <w:sz w:val="24"/>
          <w:szCs w:val="24"/>
        </w:rPr>
        <w:t>defense</w:t>
      </w:r>
      <w:proofErr w:type="spellEnd"/>
      <w:r w:rsidRPr="001149F1">
        <w:rPr>
          <w:rFonts w:ascii="Times New Roman" w:hAnsi="Times New Roman" w:cs="Times New Roman"/>
          <w:sz w:val="24"/>
          <w:szCs w:val="24"/>
        </w:rPr>
        <w:t xml:space="preserve">, demonstrate that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has not facilitated harm willingly or without compliance mechanisms. Where a platform has acted in good faith and in compliance with applicable due diligence obligations, Section 79's safe harbour protection should be robustly maintained to avoid chilling the development of legitimate AI services.</w:t>
      </w:r>
    </w:p>
    <w:p w14:paraId="2D79BB2C"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pict w14:anchorId="574BAA05">
          <v:rect id="_x0000_i1039" style="width:0;height:1.5pt" o:hralign="center" o:hrstd="t" o:hr="t" fillcolor="#a0a0a0" stroked="f"/>
        </w:pict>
      </w:r>
    </w:p>
    <w:p w14:paraId="320E5B5B"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R4: The Chilling Effect on AI Innovation and the Legislative Gap Argument</w:t>
      </w:r>
    </w:p>
    <w:p w14:paraId="6BD379C3"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argument operates at the level of legal policy and institutional competence. Imposing publisher liability on a generative AI platform for user-directed misuse of a tool would have severe and immediate consequences for the development of legitimate AI services accessible to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users. The safe harbour framework under Section 79 was enacted precisely to prevent this outcome — to allow technology platforms to operate without becoming insurers of all possible misuse.</w:t>
      </w:r>
    </w:p>
    <w:p w14:paraId="2AF32786"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Generative AI tools — image generation, voice synthesis, video synthesis — have documented legitimate applications in film restoration, dubbing and accessibility for persons with hearing impairments, digital art, historical reconstruction, educational content, and medical simulation. The Personality Model technology, in legitimate deployment, enables content creators, educators, and businesses to create synthetic presentations without requiring physical presence. Holding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liable as a publisher would signal to all AI developers that offering user-facing generative tools in or accessible to Indea creates unlimited publisher liability — effectively foreclosing the AI services market.</w:t>
      </w:r>
    </w:p>
    <w:p w14:paraId="4D4018EB"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court should be particularly cautious about legislating through liability at a moment when the legislature is actively considering AI governance frameworks. The appropriate institutional response to the regulation of generative AI deepfakes is </w:t>
      </w:r>
      <w:r w:rsidRPr="001149F1">
        <w:rPr>
          <w:rFonts w:ascii="Times New Roman" w:hAnsi="Times New Roman" w:cs="Times New Roman"/>
          <w:b/>
          <w:bCs/>
          <w:sz w:val="24"/>
          <w:szCs w:val="24"/>
        </w:rPr>
        <w:t>parliamentary legislation with carefully calibrated liability standards</w:t>
      </w:r>
      <w:r w:rsidRPr="001149F1">
        <w:rPr>
          <w:rFonts w:ascii="Times New Roman" w:hAnsi="Times New Roman" w:cs="Times New Roman"/>
          <w:sz w:val="24"/>
          <w:szCs w:val="24"/>
        </w:rPr>
        <w:t xml:space="preserve"> — not judicial expansion of a 2000-era statute that was not designed for AI-generated content. The IT Act was enacted before generative AI existed. Its framework should not be judicially retrofitted to impose publisher liability in a vacuum that the legislature has not yet addressed.</w:t>
      </w:r>
    </w:p>
    <w:p w14:paraId="2F08D606"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0CC66D58">
          <v:rect id="_x0000_i1040" style="width:0;height:1.5pt" o:hralign="center" o:hrstd="t" o:hr="t" fillcolor="#a0a0a0" stroked="f"/>
        </w:pict>
      </w:r>
    </w:p>
    <w:p w14:paraId="0107782E"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R5: The "Actual Knowledge" Standard Under Shreya Singhal — Notice Must Come Through Court</w:t>
      </w:r>
    </w:p>
    <w:p w14:paraId="169A2194"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i/>
          <w:iCs/>
          <w:sz w:val="24"/>
          <w:szCs w:val="24"/>
        </w:rPr>
        <w:t>Shreya Singhal v. Union of India</w:t>
      </w:r>
      <w:r w:rsidRPr="001149F1">
        <w:rPr>
          <w:rFonts w:ascii="Times New Roman" w:hAnsi="Times New Roman" w:cs="Times New Roman"/>
          <w:sz w:val="24"/>
          <w:szCs w:val="24"/>
        </w:rPr>
        <w:t xml:space="preserve"> established a critical safeguard: platforms are not required to act as arbiters of legality when they receive government requests to take down content. The court held that intermediaries should be protected from government overreach and should not be required to remove content merely on the basis of a government or police request — the legitimacy of the takedown request must be judicially validated.</w:t>
      </w:r>
    </w:p>
    <w:p w14:paraId="3206EC5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Applied here: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received notification from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authorities — but this notification was a </w:t>
      </w:r>
      <w:r w:rsidRPr="001149F1">
        <w:rPr>
          <w:rFonts w:ascii="Times New Roman" w:hAnsi="Times New Roman" w:cs="Times New Roman"/>
          <w:i/>
          <w:iCs/>
          <w:sz w:val="24"/>
          <w:szCs w:val="24"/>
        </w:rPr>
        <w:t>governmental request</w:t>
      </w:r>
      <w:r w:rsidRPr="001149F1">
        <w:rPr>
          <w:rFonts w:ascii="Times New Roman" w:hAnsi="Times New Roman" w:cs="Times New Roman"/>
          <w:sz w:val="24"/>
          <w:szCs w:val="24"/>
        </w:rPr>
        <w:t xml:space="preserve">, not a court order. Under </w:t>
      </w:r>
      <w:r w:rsidRPr="001149F1">
        <w:rPr>
          <w:rFonts w:ascii="Times New Roman" w:hAnsi="Times New Roman" w:cs="Times New Roman"/>
          <w:i/>
          <w:iCs/>
          <w:sz w:val="24"/>
          <w:szCs w:val="24"/>
        </w:rPr>
        <w:t>Shreya Singhal</w:t>
      </w:r>
      <w:r w:rsidRPr="001149F1">
        <w:rPr>
          <w:rFonts w:ascii="Times New Roman" w:hAnsi="Times New Roman" w:cs="Times New Roman"/>
          <w:sz w:val="24"/>
          <w:szCs w:val="24"/>
        </w:rPr>
        <w:t xml:space="preserve">'s framework, compliance with a non-judicial government takedown request is </w:t>
      </w:r>
      <w:r w:rsidRPr="001149F1">
        <w:rPr>
          <w:rFonts w:ascii="Times New Roman" w:hAnsi="Times New Roman" w:cs="Times New Roman"/>
          <w:i/>
          <w:iCs/>
          <w:sz w:val="24"/>
          <w:szCs w:val="24"/>
        </w:rPr>
        <w:t>optional</w:t>
      </w:r>
      <w:r w:rsidRPr="001149F1">
        <w:rPr>
          <w:rFonts w:ascii="Times New Roman" w:hAnsi="Times New Roman" w:cs="Times New Roman"/>
          <w:sz w:val="24"/>
          <w:szCs w:val="24"/>
        </w:rPr>
        <w:t xml:space="preserve"> for intermediaries — the safe harbour is not forfeited merely because a platform declines to act on a government notice without judicial backing. The respondent would argue that by the time the HC granted an injunction,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obligation to act crystallized — and that its subsequent compliance with the injunction (had it been directed to) would satisfy Section 79(3).</w:t>
      </w:r>
    </w:p>
    <w:p w14:paraId="4EA53562"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This argument simultaneously defends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initial inaction and challenges the sufficiency of the appellant's Section 79(3) "actual knowledge" argument. The knowledge that grounds liability under Section 79(3) must be knowledge of </w:t>
      </w:r>
      <w:r w:rsidRPr="001149F1">
        <w:rPr>
          <w:rFonts w:ascii="Times New Roman" w:hAnsi="Times New Roman" w:cs="Times New Roman"/>
          <w:i/>
          <w:iCs/>
          <w:sz w:val="24"/>
          <w:szCs w:val="24"/>
        </w:rPr>
        <w:t>specific unlawful content</w:t>
      </w:r>
      <w:r w:rsidRPr="001149F1">
        <w:rPr>
          <w:rFonts w:ascii="Times New Roman" w:hAnsi="Times New Roman" w:cs="Times New Roman"/>
          <w:sz w:val="24"/>
          <w:szCs w:val="24"/>
        </w:rPr>
        <w:t xml:space="preserve"> coupled with a failure to remove it after judicial direction. Prior to the injunction, </w:t>
      </w:r>
      <w:proofErr w:type="spellStart"/>
      <w:r w:rsidRPr="001149F1">
        <w:rPr>
          <w:rFonts w:ascii="Times New Roman" w:hAnsi="Times New Roman" w:cs="Times New Roman"/>
          <w:sz w:val="24"/>
          <w:szCs w:val="24"/>
        </w:rPr>
        <w:t>DeepSearch's</w:t>
      </w:r>
      <w:proofErr w:type="spellEnd"/>
      <w:r w:rsidRPr="001149F1">
        <w:rPr>
          <w:rFonts w:ascii="Times New Roman" w:hAnsi="Times New Roman" w:cs="Times New Roman"/>
          <w:sz w:val="24"/>
          <w:szCs w:val="24"/>
        </w:rPr>
        <w:t xml:space="preserve"> position — that it awaited judicial determination of whether the Rachel Personality Model violated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law — was not unreasonable.</w:t>
      </w:r>
    </w:p>
    <w:p w14:paraId="32FDD126"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335D6F2F">
          <v:rect id="_x0000_i1041" style="width:0;height:1.5pt" o:hralign="center" o:hrstd="t" o:hr="t" fillcolor="#a0a0a0" stroked="f"/>
        </w:pict>
      </w:r>
    </w:p>
    <w:p w14:paraId="4E4D672F"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R6: Section 79 Was Not Designed for Foreign Entities — A Structural Limitation</w:t>
      </w:r>
    </w:p>
    <w:p w14:paraId="0A7C61C0"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final respondent argument is a structural one that challenges the entire application of Section 79 to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Section 79 operates within the framework of the IT Act, which — as the High Court correctly observed — has limited extraterritorial reach. If Section 75 (Issue 1) fails to ground jurisdiction, then Section 79 cannot be invoked against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at all, because the Act's safe harbour provisions are addressed to entities </w:t>
      </w:r>
      <w:r w:rsidRPr="001149F1">
        <w:rPr>
          <w:rFonts w:ascii="Times New Roman" w:hAnsi="Times New Roman" w:cs="Times New Roman"/>
          <w:i/>
          <w:iCs/>
          <w:sz w:val="24"/>
          <w:szCs w:val="24"/>
        </w:rPr>
        <w:t>subject to the Act</w:t>
      </w:r>
      <w:r w:rsidRPr="001149F1">
        <w:rPr>
          <w:rFonts w:ascii="Times New Roman" w:hAnsi="Times New Roman" w:cs="Times New Roman"/>
          <w:sz w:val="24"/>
          <w:szCs w:val="24"/>
        </w:rPr>
        <w:t>.</w:t>
      </w:r>
    </w:p>
    <w:p w14:paraId="60BEB6E6"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Even if jurisdiction is established under Section 75, the question of whether Section 79's framework — which presupposes a platform operating within Indea's regulatory environment, complying with notice requirements, maintaining grievance redressal mechanisms under the 2021 Rules — can be </w:t>
      </w:r>
      <w:r w:rsidRPr="001149F1">
        <w:rPr>
          <w:rFonts w:ascii="Times New Roman" w:hAnsi="Times New Roman" w:cs="Times New Roman"/>
          <w:i/>
          <w:iCs/>
          <w:sz w:val="24"/>
          <w:szCs w:val="24"/>
        </w:rPr>
        <w:t>both</w:t>
      </w:r>
      <w:r w:rsidRPr="001149F1">
        <w:rPr>
          <w:rFonts w:ascii="Times New Roman" w:hAnsi="Times New Roman" w:cs="Times New Roman"/>
          <w:sz w:val="24"/>
          <w:szCs w:val="24"/>
        </w:rPr>
        <w:t xml:space="preserve"> invoked against a foreign entity (to impose liability) while simultaneously being used as the standard of compliance (to assess safe harbour) is conceptually problematic.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does not have a grievance officer in Indea, does not maintain the 2021 Rules' compliance architecture, and does not operate under the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regulatory framework. It cannot simultaneously be held to the liability standards of an </w:t>
      </w:r>
      <w:proofErr w:type="spellStart"/>
      <w:r w:rsidRPr="001149F1">
        <w:rPr>
          <w:rFonts w:ascii="Times New Roman" w:hAnsi="Times New Roman" w:cs="Times New Roman"/>
          <w:sz w:val="24"/>
          <w:szCs w:val="24"/>
        </w:rPr>
        <w:t>Indean</w:t>
      </w:r>
      <w:proofErr w:type="spellEnd"/>
      <w:r w:rsidRPr="001149F1">
        <w:rPr>
          <w:rFonts w:ascii="Times New Roman" w:hAnsi="Times New Roman" w:cs="Times New Roman"/>
          <w:sz w:val="24"/>
          <w:szCs w:val="24"/>
        </w:rPr>
        <w:t xml:space="preserve"> intermediary while being exempt from the compliance obligations that define intermediary status.</w:t>
      </w:r>
    </w:p>
    <w:p w14:paraId="0F7B7F95"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lastRenderedPageBreak/>
        <w:t xml:space="preserve">The correct outcome under this argument: either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is outside the Act's jurisdiction entirely (in which case the court must find another legal basis for liability), or </w:t>
      </w:r>
      <w:proofErr w:type="spellStart"/>
      <w:r w:rsidRPr="001149F1">
        <w:rPr>
          <w:rFonts w:ascii="Times New Roman" w:hAnsi="Times New Roman" w:cs="Times New Roman"/>
          <w:sz w:val="24"/>
          <w:szCs w:val="24"/>
        </w:rPr>
        <w:t>DeepSearch</w:t>
      </w:r>
      <w:proofErr w:type="spellEnd"/>
      <w:r w:rsidRPr="001149F1">
        <w:rPr>
          <w:rFonts w:ascii="Times New Roman" w:hAnsi="Times New Roman" w:cs="Times New Roman"/>
          <w:sz w:val="24"/>
          <w:szCs w:val="24"/>
        </w:rPr>
        <w:t xml:space="preserve"> is within the Act's jurisdiction </w:t>
      </w:r>
      <w:r w:rsidRPr="001149F1">
        <w:rPr>
          <w:rFonts w:ascii="Times New Roman" w:hAnsi="Times New Roman" w:cs="Times New Roman"/>
          <w:i/>
          <w:iCs/>
          <w:sz w:val="24"/>
          <w:szCs w:val="24"/>
        </w:rPr>
        <w:t>and</w:t>
      </w:r>
      <w:r w:rsidRPr="001149F1">
        <w:rPr>
          <w:rFonts w:ascii="Times New Roman" w:hAnsi="Times New Roman" w:cs="Times New Roman"/>
          <w:sz w:val="24"/>
          <w:szCs w:val="24"/>
        </w:rPr>
        <w:t xml:space="preserve"> subject to all its obligations — including the 2021 Rules' mandatory compliance requirements, violation of which independently grounds liability.</w:t>
      </w:r>
    </w:p>
    <w:p w14:paraId="0FDA2B6F" w14:textId="77777777" w:rsidR="001149F1" w:rsidRPr="001149F1" w:rsidRDefault="00000000" w:rsidP="001149F1">
      <w:pPr>
        <w:spacing w:line="360" w:lineRule="auto"/>
        <w:rPr>
          <w:rFonts w:ascii="Times New Roman" w:hAnsi="Times New Roman" w:cs="Times New Roman"/>
          <w:sz w:val="24"/>
          <w:szCs w:val="24"/>
        </w:rPr>
      </w:pPr>
      <w:r>
        <w:rPr>
          <w:rFonts w:ascii="Times New Roman" w:hAnsi="Times New Roman" w:cs="Times New Roman"/>
          <w:sz w:val="24"/>
          <w:szCs w:val="24"/>
        </w:rPr>
        <w:pict w14:anchorId="227F29FB">
          <v:rect id="_x0000_i1042" style="width:0;height:1.5pt" o:hralign="center" o:hrstd="t" o:hr="t" fillcolor="#a0a0a0" stroked="f"/>
        </w:pict>
      </w:r>
    </w:p>
    <w:p w14:paraId="3FC0EC8F" w14:textId="77777777" w:rsidR="001149F1" w:rsidRPr="001149F1" w:rsidRDefault="001149F1" w:rsidP="001149F1">
      <w:pPr>
        <w:spacing w:line="360" w:lineRule="auto"/>
        <w:rPr>
          <w:rFonts w:ascii="Times New Roman" w:hAnsi="Times New Roman" w:cs="Times New Roman"/>
          <w:b/>
          <w:bCs/>
          <w:sz w:val="24"/>
          <w:szCs w:val="24"/>
        </w:rPr>
      </w:pPr>
      <w:r w:rsidRPr="001149F1">
        <w:rPr>
          <w:rFonts w:ascii="Times New Roman" w:hAnsi="Times New Roman" w:cs="Times New Roman"/>
          <w:b/>
          <w:bCs/>
          <w:sz w:val="24"/>
          <w:szCs w:val="24"/>
        </w:rPr>
        <w:t>Strategic Notes for the Moot</w:t>
      </w:r>
    </w:p>
    <w:p w14:paraId="673FFC5E"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The most important thing to internalize is that </w:t>
      </w:r>
      <w:r w:rsidRPr="001149F1">
        <w:rPr>
          <w:rFonts w:ascii="Times New Roman" w:hAnsi="Times New Roman" w:cs="Times New Roman"/>
          <w:b/>
          <w:bCs/>
          <w:sz w:val="24"/>
          <w:szCs w:val="24"/>
        </w:rPr>
        <w:t>Issue 2 is not self-contained</w:t>
      </w:r>
      <w:r w:rsidRPr="001149F1">
        <w:rPr>
          <w:rFonts w:ascii="Times New Roman" w:hAnsi="Times New Roman" w:cs="Times New Roman"/>
          <w:sz w:val="24"/>
          <w:szCs w:val="24"/>
        </w:rPr>
        <w:t xml:space="preserve"> — it interacts deeply with Issue 1 (jurisdiction must be established before Section 79 applies) and Issue 3 (if personality rights exist under Article 21, they provide an independent basis for relief that bypasses the Section 79 safe harbour debate entirely). In oral arguments, be ready to pivot between issues when a judge pushes you on a weakness in one area.</w:t>
      </w:r>
    </w:p>
    <w:p w14:paraId="1CC19ADC"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For the </w:t>
      </w:r>
      <w:r w:rsidRPr="001149F1">
        <w:rPr>
          <w:rFonts w:ascii="Times New Roman" w:hAnsi="Times New Roman" w:cs="Times New Roman"/>
          <w:b/>
          <w:bCs/>
          <w:sz w:val="24"/>
          <w:szCs w:val="24"/>
        </w:rPr>
        <w:t>appellant's side</w:t>
      </w:r>
      <w:r w:rsidRPr="001149F1">
        <w:rPr>
          <w:rFonts w:ascii="Times New Roman" w:hAnsi="Times New Roman" w:cs="Times New Roman"/>
          <w:sz w:val="24"/>
          <w:szCs w:val="24"/>
        </w:rPr>
        <w:t>, your strongest arguments are A2 (conditions violated) and A5 (co-authorship doctrine) — lead with A2 because it's statute-based and hard to escape, and deploy A5 as your creative capstone.</w:t>
      </w:r>
    </w:p>
    <w:p w14:paraId="4A5EB54D" w14:textId="77777777" w:rsidR="001149F1" w:rsidRPr="001149F1" w:rsidRDefault="001149F1" w:rsidP="001149F1">
      <w:pPr>
        <w:spacing w:line="360" w:lineRule="auto"/>
        <w:rPr>
          <w:rFonts w:ascii="Times New Roman" w:hAnsi="Times New Roman" w:cs="Times New Roman"/>
          <w:sz w:val="24"/>
          <w:szCs w:val="24"/>
        </w:rPr>
      </w:pPr>
      <w:r w:rsidRPr="001149F1">
        <w:rPr>
          <w:rFonts w:ascii="Times New Roman" w:hAnsi="Times New Roman" w:cs="Times New Roman"/>
          <w:sz w:val="24"/>
          <w:szCs w:val="24"/>
        </w:rPr>
        <w:t xml:space="preserve">For the </w:t>
      </w:r>
      <w:r w:rsidRPr="001149F1">
        <w:rPr>
          <w:rFonts w:ascii="Times New Roman" w:hAnsi="Times New Roman" w:cs="Times New Roman"/>
          <w:b/>
          <w:bCs/>
          <w:sz w:val="24"/>
          <w:szCs w:val="24"/>
        </w:rPr>
        <w:t>respondent's side</w:t>
      </w:r>
      <w:r w:rsidRPr="001149F1">
        <w:rPr>
          <w:rFonts w:ascii="Times New Roman" w:hAnsi="Times New Roman" w:cs="Times New Roman"/>
          <w:sz w:val="24"/>
          <w:szCs w:val="24"/>
        </w:rPr>
        <w:t>, your strongest argument is R2 (tool vs. act) combined with R4 (chilling effect on innovation) — these resonate with policy-minded judges and force the appellant to justify a rule that would reshape the entire AI industry.</w:t>
      </w:r>
    </w:p>
    <w:p w14:paraId="34CB1230" w14:textId="77777777" w:rsidR="001E1E86" w:rsidRDefault="001E1E86" w:rsidP="001149F1">
      <w:pPr>
        <w:spacing w:line="360" w:lineRule="auto"/>
        <w:rPr>
          <w:rFonts w:ascii="Times New Roman" w:hAnsi="Times New Roman" w:cs="Times New Roman"/>
          <w:sz w:val="24"/>
          <w:szCs w:val="24"/>
        </w:rPr>
      </w:pPr>
    </w:p>
    <w:p w14:paraId="5481823F" w14:textId="77777777" w:rsidR="00002F4F" w:rsidRDefault="00002F4F" w:rsidP="001149F1">
      <w:pPr>
        <w:spacing w:line="360" w:lineRule="auto"/>
        <w:rPr>
          <w:rFonts w:ascii="Times New Roman" w:hAnsi="Times New Roman" w:cs="Times New Roman"/>
          <w:sz w:val="24"/>
          <w:szCs w:val="24"/>
        </w:rPr>
      </w:pPr>
    </w:p>
    <w:p w14:paraId="35EF44DB" w14:textId="77777777" w:rsidR="00002F4F" w:rsidRDefault="00002F4F" w:rsidP="001149F1">
      <w:pPr>
        <w:spacing w:line="360" w:lineRule="auto"/>
        <w:rPr>
          <w:rFonts w:ascii="Times New Roman" w:hAnsi="Times New Roman" w:cs="Times New Roman"/>
          <w:sz w:val="24"/>
          <w:szCs w:val="24"/>
        </w:rPr>
      </w:pPr>
    </w:p>
    <w:p w14:paraId="7A3A13D7" w14:textId="77777777" w:rsidR="00002F4F" w:rsidRDefault="00002F4F" w:rsidP="001149F1">
      <w:pPr>
        <w:spacing w:line="360" w:lineRule="auto"/>
        <w:rPr>
          <w:rFonts w:ascii="Times New Roman" w:hAnsi="Times New Roman" w:cs="Times New Roman"/>
          <w:sz w:val="24"/>
          <w:szCs w:val="24"/>
        </w:rPr>
      </w:pPr>
    </w:p>
    <w:p w14:paraId="31C43612" w14:textId="77777777" w:rsidR="00002F4F" w:rsidRDefault="00002F4F" w:rsidP="001149F1">
      <w:pPr>
        <w:spacing w:line="360" w:lineRule="auto"/>
        <w:rPr>
          <w:rFonts w:ascii="Times New Roman" w:hAnsi="Times New Roman" w:cs="Times New Roman"/>
          <w:sz w:val="24"/>
          <w:szCs w:val="24"/>
        </w:rPr>
      </w:pPr>
    </w:p>
    <w:p w14:paraId="75B25136" w14:textId="77777777" w:rsidR="00002F4F" w:rsidRDefault="00002F4F" w:rsidP="001149F1">
      <w:pPr>
        <w:spacing w:line="360" w:lineRule="auto"/>
        <w:rPr>
          <w:rFonts w:ascii="Times New Roman" w:hAnsi="Times New Roman" w:cs="Times New Roman"/>
          <w:sz w:val="24"/>
          <w:szCs w:val="24"/>
        </w:rPr>
      </w:pPr>
    </w:p>
    <w:p w14:paraId="713B5C50" w14:textId="77777777" w:rsidR="00002F4F" w:rsidRDefault="00002F4F" w:rsidP="001149F1">
      <w:pPr>
        <w:spacing w:line="360" w:lineRule="auto"/>
        <w:rPr>
          <w:rFonts w:ascii="Times New Roman" w:hAnsi="Times New Roman" w:cs="Times New Roman"/>
          <w:sz w:val="24"/>
          <w:szCs w:val="24"/>
        </w:rPr>
      </w:pPr>
    </w:p>
    <w:p w14:paraId="072088CD" w14:textId="77777777" w:rsidR="00002F4F" w:rsidRDefault="00002F4F" w:rsidP="001149F1">
      <w:pPr>
        <w:spacing w:line="360" w:lineRule="auto"/>
        <w:rPr>
          <w:rFonts w:ascii="Times New Roman" w:hAnsi="Times New Roman" w:cs="Times New Roman"/>
          <w:sz w:val="24"/>
          <w:szCs w:val="24"/>
        </w:rPr>
      </w:pPr>
    </w:p>
    <w:p w14:paraId="01C5F7B4" w14:textId="77777777" w:rsidR="00002F4F" w:rsidRDefault="00002F4F" w:rsidP="001149F1">
      <w:pPr>
        <w:spacing w:line="360" w:lineRule="auto"/>
        <w:rPr>
          <w:rFonts w:ascii="Times New Roman" w:hAnsi="Times New Roman" w:cs="Times New Roman"/>
          <w:sz w:val="24"/>
          <w:szCs w:val="24"/>
        </w:rPr>
      </w:pPr>
    </w:p>
    <w:p w14:paraId="2EDB78FE" w14:textId="77777777" w:rsidR="00002F4F" w:rsidRDefault="00002F4F" w:rsidP="001149F1">
      <w:pPr>
        <w:spacing w:line="360" w:lineRule="auto"/>
        <w:rPr>
          <w:rFonts w:ascii="Times New Roman" w:hAnsi="Times New Roman" w:cs="Times New Roman"/>
          <w:sz w:val="24"/>
          <w:szCs w:val="24"/>
        </w:rPr>
      </w:pPr>
    </w:p>
    <w:p w14:paraId="0A622D31"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lastRenderedPageBreak/>
        <w:t>1. Christian Louboutin v. Nakul Bajaj</w:t>
      </w:r>
    </w:p>
    <w:p w14:paraId="736C65D9" w14:textId="77777777" w:rsidR="00002F4F" w:rsidRPr="00002F4F" w:rsidRDefault="00002F4F" w:rsidP="00002F4F">
      <w:pPr>
        <w:spacing w:line="360" w:lineRule="auto"/>
        <w:rPr>
          <w:rFonts w:ascii="Times New Roman" w:hAnsi="Times New Roman" w:cs="Times New Roman"/>
          <w:sz w:val="24"/>
          <w:szCs w:val="24"/>
        </w:rPr>
      </w:pPr>
      <w:r w:rsidRPr="00002F4F">
        <w:rPr>
          <w:rFonts w:ascii="Segoe UI Emoji" w:hAnsi="Segoe UI Emoji" w:cs="Segoe UI Emoji"/>
          <w:sz w:val="24"/>
          <w:szCs w:val="24"/>
        </w:rPr>
        <w:t>👉</w:t>
      </w:r>
      <w:r w:rsidRPr="00002F4F">
        <w:rPr>
          <w:rFonts w:ascii="Times New Roman" w:hAnsi="Times New Roman" w:cs="Times New Roman"/>
          <w:sz w:val="24"/>
          <w:szCs w:val="24"/>
        </w:rPr>
        <w:t xml:space="preserve"> </w:t>
      </w:r>
      <w:r w:rsidRPr="00002F4F">
        <w:rPr>
          <w:rFonts w:ascii="Times New Roman" w:hAnsi="Times New Roman" w:cs="Times New Roman"/>
          <w:b/>
          <w:bCs/>
          <w:sz w:val="24"/>
          <w:szCs w:val="24"/>
        </w:rPr>
        <w:t>Primarily supports: Petitioner</w:t>
      </w:r>
    </w:p>
    <w:p w14:paraId="208C26C0"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012B6495">
          <v:rect id="_x0000_i1109" style="width:0;height:1.5pt" o:hralign="center" o:hrstd="t" o:hr="t" fillcolor="#a0a0a0" stroked="f"/>
        </w:pict>
      </w:r>
    </w:p>
    <w:p w14:paraId="3BB76366"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056D1D1F"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intermediary protection under Section 79 is unavailable where the platform plays an </w:t>
      </w:r>
      <w:r w:rsidRPr="00002F4F">
        <w:rPr>
          <w:rFonts w:ascii="Times New Roman" w:hAnsi="Times New Roman" w:cs="Times New Roman"/>
          <w:b/>
          <w:bCs/>
          <w:sz w:val="24"/>
          <w:szCs w:val="24"/>
        </w:rPr>
        <w:t>active role in facilitating or shaping unlawful content</w:t>
      </w:r>
      <w:r w:rsidRPr="00002F4F">
        <w:rPr>
          <w:rFonts w:ascii="Times New Roman" w:hAnsi="Times New Roman" w:cs="Times New Roman"/>
          <w:sz w:val="24"/>
          <w:szCs w:val="24"/>
        </w:rPr>
        <w:t xml:space="preserve">, thereby losing its status as a neutral conduit. In </w:t>
      </w:r>
      <w:r w:rsidRPr="00002F4F">
        <w:rPr>
          <w:rFonts w:ascii="Times New Roman" w:hAnsi="Times New Roman" w:cs="Times New Roman"/>
          <w:i/>
          <w:iCs/>
          <w:sz w:val="24"/>
          <w:szCs w:val="24"/>
        </w:rPr>
        <w:t>Christian Louboutin v. Nakul Bajaj</w:t>
      </w:r>
      <w:r w:rsidRPr="00002F4F">
        <w:rPr>
          <w:rFonts w:ascii="Times New Roman" w:hAnsi="Times New Roman" w:cs="Times New Roman"/>
          <w:sz w:val="24"/>
          <w:szCs w:val="24"/>
        </w:rPr>
        <w:t xml:space="preserve">, the Hon’ble Delhi High Court held that safe harbour cannot be extended to entities that are not merely passive intermediaries but are “active participants” in the underlying unlawful activity. The Court emphasized that intermediary status requires the platform to remain </w:t>
      </w:r>
      <w:r w:rsidRPr="00002F4F">
        <w:rPr>
          <w:rFonts w:ascii="Times New Roman" w:hAnsi="Times New Roman" w:cs="Times New Roman"/>
          <w:b/>
          <w:bCs/>
          <w:sz w:val="24"/>
          <w:szCs w:val="24"/>
        </w:rPr>
        <w:t>technical, automatic, and passive</w:t>
      </w:r>
      <w:r w:rsidRPr="00002F4F">
        <w:rPr>
          <w:rFonts w:ascii="Times New Roman" w:hAnsi="Times New Roman" w:cs="Times New Roman"/>
          <w:sz w:val="24"/>
          <w:szCs w:val="24"/>
        </w:rPr>
        <w:t xml:space="preserve">, without exercising control or influence over the content. This principle directly applies to the present case, where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through its generative architecture and Personality Model, does not merely host or transmit content but actively </w:t>
      </w:r>
      <w:r w:rsidRPr="00002F4F">
        <w:rPr>
          <w:rFonts w:ascii="Times New Roman" w:hAnsi="Times New Roman" w:cs="Times New Roman"/>
          <w:b/>
          <w:bCs/>
          <w:sz w:val="24"/>
          <w:szCs w:val="24"/>
        </w:rPr>
        <w:t>creates and structures synthetic outputs</w:t>
      </w:r>
      <w:r w:rsidRPr="00002F4F">
        <w:rPr>
          <w:rFonts w:ascii="Times New Roman" w:hAnsi="Times New Roman" w:cs="Times New Roman"/>
          <w:sz w:val="24"/>
          <w:szCs w:val="24"/>
        </w:rPr>
        <w:t xml:space="preserve">, including identity-based deepfakes. Such transformation of user input into new expressive content demonstrates a level of control and participation that is incompatible with the passive role required under Section 79. Therefore,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cannot claim safe harbour and must be treated as a </w:t>
      </w:r>
      <w:r w:rsidRPr="00002F4F">
        <w:rPr>
          <w:rFonts w:ascii="Times New Roman" w:hAnsi="Times New Roman" w:cs="Times New Roman"/>
          <w:b/>
          <w:bCs/>
          <w:sz w:val="24"/>
          <w:szCs w:val="24"/>
        </w:rPr>
        <w:t>content creator/publisher</w:t>
      </w:r>
      <w:r w:rsidRPr="00002F4F">
        <w:rPr>
          <w:rFonts w:ascii="Times New Roman" w:hAnsi="Times New Roman" w:cs="Times New Roman"/>
          <w:sz w:val="24"/>
          <w:szCs w:val="24"/>
        </w:rPr>
        <w:t>, attracting full liability.</w:t>
      </w:r>
    </w:p>
    <w:p w14:paraId="4602D24D"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78BE656B">
          <v:rect id="_x0000_i1110" style="width:0;height:1.5pt" o:hralign="center" o:hrstd="t" o:hr="t" fillcolor="#a0a0a0" stroked="f"/>
        </w:pict>
      </w:r>
    </w:p>
    <w:p w14:paraId="754ABBF8"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4F1A1DCB" w14:textId="77777777" w:rsidR="00002F4F" w:rsidRPr="00002F4F" w:rsidRDefault="00002F4F" w:rsidP="00002F4F">
      <w:pPr>
        <w:numPr>
          <w:ilvl w:val="0"/>
          <w:numId w:val="9"/>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“Section 79… cannot be abused by extending such protection to those persons who were not intermediaries and were active participants in unlawful Act.” </w:t>
      </w:r>
    </w:p>
    <w:p w14:paraId="37F5C299" w14:textId="77777777" w:rsidR="00002F4F" w:rsidRPr="00002F4F" w:rsidRDefault="00002F4F" w:rsidP="00002F4F">
      <w:pPr>
        <w:numPr>
          <w:ilvl w:val="0"/>
          <w:numId w:val="9"/>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Intermediary must be “technical, automatic and passive… without knowledge or control.” </w:t>
      </w:r>
    </w:p>
    <w:p w14:paraId="6A3736DB" w14:textId="77777777" w:rsidR="00002F4F" w:rsidRPr="00002F4F" w:rsidRDefault="00002F4F" w:rsidP="00002F4F">
      <w:pPr>
        <w:numPr>
          <w:ilvl w:val="0"/>
          <w:numId w:val="9"/>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Platforms that play an </w:t>
      </w:r>
      <w:r w:rsidRPr="00002F4F">
        <w:rPr>
          <w:rFonts w:ascii="Times New Roman" w:hAnsi="Times New Roman" w:cs="Times New Roman"/>
          <w:b/>
          <w:bCs/>
          <w:sz w:val="24"/>
          <w:szCs w:val="24"/>
        </w:rPr>
        <w:t>active role</w:t>
      </w:r>
      <w:r w:rsidRPr="00002F4F">
        <w:rPr>
          <w:rFonts w:ascii="Times New Roman" w:hAnsi="Times New Roman" w:cs="Times New Roman"/>
          <w:sz w:val="24"/>
          <w:szCs w:val="24"/>
        </w:rPr>
        <w:t xml:space="preserve"> in facilitating transactions/content lose immunity </w:t>
      </w:r>
    </w:p>
    <w:p w14:paraId="63405024"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3B45AA0A">
          <v:rect id="_x0000_i1111" style="width:0;height:1.5pt" o:hralign="center" o:hrstd="t" o:hr="t" fillcolor="#a0a0a0" stroked="f"/>
        </w:pict>
      </w:r>
    </w:p>
    <w:p w14:paraId="354F5417"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Segoe UI Emoji" w:hAnsi="Segoe UI Emoji" w:cs="Segoe UI Emoji"/>
          <w:b/>
          <w:bCs/>
          <w:sz w:val="24"/>
          <w:szCs w:val="24"/>
        </w:rPr>
        <w:t>⚖️</w:t>
      </w:r>
      <w:r w:rsidRPr="00002F4F">
        <w:rPr>
          <w:rFonts w:ascii="Times New Roman" w:hAnsi="Times New Roman" w:cs="Times New Roman"/>
          <w:b/>
          <w:bCs/>
          <w:sz w:val="24"/>
          <w:szCs w:val="24"/>
        </w:rPr>
        <w:t xml:space="preserve"> 2. </w:t>
      </w:r>
      <w:proofErr w:type="spellStart"/>
      <w:r w:rsidRPr="00002F4F">
        <w:rPr>
          <w:rFonts w:ascii="Times New Roman" w:hAnsi="Times New Roman" w:cs="Times New Roman"/>
          <w:b/>
          <w:bCs/>
          <w:sz w:val="24"/>
          <w:szCs w:val="24"/>
        </w:rPr>
        <w:t>MySpace</w:t>
      </w:r>
      <w:proofErr w:type="spellEnd"/>
      <w:r w:rsidRPr="00002F4F">
        <w:rPr>
          <w:rFonts w:ascii="Times New Roman" w:hAnsi="Times New Roman" w:cs="Times New Roman"/>
          <w:b/>
          <w:bCs/>
          <w:sz w:val="24"/>
          <w:szCs w:val="24"/>
        </w:rPr>
        <w:t xml:space="preserve"> Inc. v. Super Cassettes Industries Ltd.</w:t>
      </w:r>
    </w:p>
    <w:p w14:paraId="3F59B61F" w14:textId="77777777" w:rsidR="00002F4F" w:rsidRPr="00002F4F" w:rsidRDefault="00002F4F" w:rsidP="00002F4F">
      <w:pPr>
        <w:spacing w:line="360" w:lineRule="auto"/>
        <w:rPr>
          <w:rFonts w:ascii="Times New Roman" w:hAnsi="Times New Roman" w:cs="Times New Roman"/>
          <w:sz w:val="24"/>
          <w:szCs w:val="24"/>
        </w:rPr>
      </w:pPr>
      <w:r w:rsidRPr="00002F4F">
        <w:rPr>
          <w:rFonts w:ascii="Segoe UI Emoji" w:hAnsi="Segoe UI Emoji" w:cs="Segoe UI Emoji"/>
          <w:sz w:val="24"/>
          <w:szCs w:val="24"/>
        </w:rPr>
        <w:t>👉</w:t>
      </w:r>
      <w:r w:rsidRPr="00002F4F">
        <w:rPr>
          <w:rFonts w:ascii="Times New Roman" w:hAnsi="Times New Roman" w:cs="Times New Roman"/>
          <w:sz w:val="24"/>
          <w:szCs w:val="24"/>
        </w:rPr>
        <w:t xml:space="preserve"> </w:t>
      </w:r>
      <w:r w:rsidRPr="00002F4F">
        <w:rPr>
          <w:rFonts w:ascii="Times New Roman" w:hAnsi="Times New Roman" w:cs="Times New Roman"/>
          <w:b/>
          <w:bCs/>
          <w:sz w:val="24"/>
          <w:szCs w:val="24"/>
        </w:rPr>
        <w:t>Primarily supports: Respondent (with limited Petitioner use)</w:t>
      </w:r>
    </w:p>
    <w:p w14:paraId="6FAC8CD7"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lastRenderedPageBreak/>
        <w:pict w14:anchorId="7A9923DC">
          <v:rect id="_x0000_i1112" style="width:0;height:1.5pt" o:hralign="center" o:hrstd="t" o:hr="t" fillcolor="#a0a0a0" stroked="f"/>
        </w:pict>
      </w:r>
    </w:p>
    <w:p w14:paraId="49A3FC2E"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330E5617"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intermediary liability arises only upon </w:t>
      </w:r>
      <w:r w:rsidRPr="00002F4F">
        <w:rPr>
          <w:rFonts w:ascii="Times New Roman" w:hAnsi="Times New Roman" w:cs="Times New Roman"/>
          <w:b/>
          <w:bCs/>
          <w:sz w:val="24"/>
          <w:szCs w:val="24"/>
        </w:rPr>
        <w:t>specific and actual knowledge of infringing content</w:t>
      </w:r>
      <w:r w:rsidRPr="00002F4F">
        <w:rPr>
          <w:rFonts w:ascii="Times New Roman" w:hAnsi="Times New Roman" w:cs="Times New Roman"/>
          <w:sz w:val="24"/>
          <w:szCs w:val="24"/>
        </w:rPr>
        <w:t xml:space="preserve">, and that the law does not impose a general obligation to monitor or pre-screen user-generated content. In </w:t>
      </w:r>
      <w:proofErr w:type="spellStart"/>
      <w:r w:rsidRPr="00002F4F">
        <w:rPr>
          <w:rFonts w:ascii="Times New Roman" w:hAnsi="Times New Roman" w:cs="Times New Roman"/>
          <w:i/>
          <w:iCs/>
          <w:sz w:val="24"/>
          <w:szCs w:val="24"/>
        </w:rPr>
        <w:t>MySpace</w:t>
      </w:r>
      <w:proofErr w:type="spellEnd"/>
      <w:r w:rsidRPr="00002F4F">
        <w:rPr>
          <w:rFonts w:ascii="Times New Roman" w:hAnsi="Times New Roman" w:cs="Times New Roman"/>
          <w:i/>
          <w:iCs/>
          <w:sz w:val="24"/>
          <w:szCs w:val="24"/>
        </w:rPr>
        <w:t xml:space="preserve"> v. Super Cassettes</w:t>
      </w:r>
      <w:r w:rsidRPr="00002F4F">
        <w:rPr>
          <w:rFonts w:ascii="Times New Roman" w:hAnsi="Times New Roman" w:cs="Times New Roman"/>
          <w:sz w:val="24"/>
          <w:szCs w:val="24"/>
        </w:rPr>
        <w:t xml:space="preserve">, the Hon’ble Delhi High Court held that “actual knowledge and not mere suspicion is essential to fasten liability,” thereby establishing that intermediaries are required to act only when </w:t>
      </w:r>
      <w:r w:rsidRPr="00002F4F">
        <w:rPr>
          <w:rFonts w:ascii="Times New Roman" w:hAnsi="Times New Roman" w:cs="Times New Roman"/>
          <w:b/>
          <w:bCs/>
          <w:sz w:val="24"/>
          <w:szCs w:val="24"/>
        </w:rPr>
        <w:t>specific infringing content is identified and brought to their notice</w:t>
      </w:r>
      <w:r w:rsidRPr="00002F4F">
        <w:rPr>
          <w:rFonts w:ascii="Times New Roman" w:hAnsi="Times New Roman" w:cs="Times New Roman"/>
          <w:sz w:val="24"/>
          <w:szCs w:val="24"/>
        </w:rPr>
        <w:t xml:space="preserve">. The Court further rejected the imposition of broad filtering or monitoring obligations, noting that such requirements would result in impermissible “private censorship.” This principle strongly supports the Respondent’s case that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cannot be held liable merely because its system is capable of generating unlawful outputs. In the absence of </w:t>
      </w:r>
      <w:r w:rsidRPr="00002F4F">
        <w:rPr>
          <w:rFonts w:ascii="Times New Roman" w:hAnsi="Times New Roman" w:cs="Times New Roman"/>
          <w:b/>
          <w:bCs/>
          <w:sz w:val="24"/>
          <w:szCs w:val="24"/>
        </w:rPr>
        <w:t>specific notice identifying the impugned content</w:t>
      </w:r>
      <w:r w:rsidRPr="00002F4F">
        <w:rPr>
          <w:rFonts w:ascii="Times New Roman" w:hAnsi="Times New Roman" w:cs="Times New Roman"/>
          <w:sz w:val="24"/>
          <w:szCs w:val="24"/>
        </w:rPr>
        <w:t>, there is no obligation on the platform to act. However, the Petitioner may rely on this case in a limited manner to argue that once such specific knowledge is established and the intermediary fails to act, safe harbour protection is lost.</w:t>
      </w:r>
    </w:p>
    <w:p w14:paraId="480980FA"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6001B425">
          <v:rect id="_x0000_i1113" style="width:0;height:1.5pt" o:hralign="center" o:hrstd="t" o:hr="t" fillcolor="#a0a0a0" stroked="f"/>
        </w:pict>
      </w:r>
    </w:p>
    <w:p w14:paraId="2FA5E1BF"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09D21795" w14:textId="77777777" w:rsidR="00002F4F" w:rsidRPr="00002F4F" w:rsidRDefault="00002F4F" w:rsidP="00002F4F">
      <w:pPr>
        <w:numPr>
          <w:ilvl w:val="0"/>
          <w:numId w:val="10"/>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“Actual knowledge and not mere suspicion is essential to fasten liability.” </w:t>
      </w:r>
    </w:p>
    <w:p w14:paraId="5BDF75A3" w14:textId="77777777" w:rsidR="00002F4F" w:rsidRPr="00002F4F" w:rsidRDefault="00002F4F" w:rsidP="00002F4F">
      <w:pPr>
        <w:numPr>
          <w:ilvl w:val="0"/>
          <w:numId w:val="10"/>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“Providing long lists… would result in private censorship.” </w:t>
      </w:r>
    </w:p>
    <w:p w14:paraId="26B0C522" w14:textId="77777777" w:rsidR="00002F4F" w:rsidRPr="00002F4F" w:rsidRDefault="00002F4F" w:rsidP="00002F4F">
      <w:pPr>
        <w:numPr>
          <w:ilvl w:val="0"/>
          <w:numId w:val="10"/>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Obligation arises only when </w:t>
      </w:r>
      <w:r w:rsidRPr="00002F4F">
        <w:rPr>
          <w:rFonts w:ascii="Times New Roman" w:hAnsi="Times New Roman" w:cs="Times New Roman"/>
          <w:b/>
          <w:bCs/>
          <w:sz w:val="24"/>
          <w:szCs w:val="24"/>
        </w:rPr>
        <w:t>specific infringing content is identified</w:t>
      </w:r>
      <w:r w:rsidRPr="00002F4F">
        <w:rPr>
          <w:rFonts w:ascii="Times New Roman" w:hAnsi="Times New Roman" w:cs="Times New Roman"/>
          <w:sz w:val="24"/>
          <w:szCs w:val="24"/>
        </w:rPr>
        <w:t xml:space="preserve"> </w:t>
      </w:r>
    </w:p>
    <w:p w14:paraId="668777CD" w14:textId="77777777" w:rsidR="00002F4F" w:rsidRPr="00002F4F" w:rsidRDefault="00002F4F" w:rsidP="00002F4F">
      <w:pPr>
        <w:numPr>
          <w:ilvl w:val="0"/>
          <w:numId w:val="10"/>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Intermediary must act within prescribed time after notice </w:t>
      </w:r>
    </w:p>
    <w:p w14:paraId="760BD421"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3C68C7C8">
          <v:rect id="_x0000_i1114" style="width:0;height:1.5pt" o:hralign="center" o:hrstd="t" o:hr="t" fillcolor="#a0a0a0" stroked="f"/>
        </w:pict>
      </w:r>
    </w:p>
    <w:p w14:paraId="3ED5DBF7"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Segoe UI Emoji" w:hAnsi="Segoe UI Emoji" w:cs="Segoe UI Emoji"/>
          <w:b/>
          <w:bCs/>
          <w:sz w:val="24"/>
          <w:szCs w:val="24"/>
        </w:rPr>
        <w:t>⚖️</w:t>
      </w:r>
      <w:r w:rsidRPr="00002F4F">
        <w:rPr>
          <w:rFonts w:ascii="Times New Roman" w:hAnsi="Times New Roman" w:cs="Times New Roman"/>
          <w:b/>
          <w:bCs/>
          <w:sz w:val="24"/>
          <w:szCs w:val="24"/>
        </w:rPr>
        <w:t xml:space="preserve"> 3. Google LLC v. Visaka Industries</w:t>
      </w:r>
    </w:p>
    <w:p w14:paraId="2D6474D0" w14:textId="77777777" w:rsidR="00002F4F" w:rsidRPr="00002F4F" w:rsidRDefault="00002F4F" w:rsidP="00002F4F">
      <w:pPr>
        <w:spacing w:line="360" w:lineRule="auto"/>
        <w:rPr>
          <w:rFonts w:ascii="Times New Roman" w:hAnsi="Times New Roman" w:cs="Times New Roman"/>
          <w:sz w:val="24"/>
          <w:szCs w:val="24"/>
        </w:rPr>
      </w:pPr>
      <w:r w:rsidRPr="00002F4F">
        <w:rPr>
          <w:rFonts w:ascii="Segoe UI Emoji" w:hAnsi="Segoe UI Emoji" w:cs="Segoe UI Emoji"/>
          <w:sz w:val="24"/>
          <w:szCs w:val="24"/>
        </w:rPr>
        <w:t>👉</w:t>
      </w:r>
      <w:r w:rsidRPr="00002F4F">
        <w:rPr>
          <w:rFonts w:ascii="Times New Roman" w:hAnsi="Times New Roman" w:cs="Times New Roman"/>
          <w:sz w:val="24"/>
          <w:szCs w:val="24"/>
        </w:rPr>
        <w:t xml:space="preserve"> </w:t>
      </w:r>
      <w:r w:rsidRPr="00002F4F">
        <w:rPr>
          <w:rFonts w:ascii="Times New Roman" w:hAnsi="Times New Roman" w:cs="Times New Roman"/>
          <w:b/>
          <w:bCs/>
          <w:sz w:val="24"/>
          <w:szCs w:val="24"/>
        </w:rPr>
        <w:t>Primarily supports: Respondent</w:t>
      </w:r>
    </w:p>
    <w:p w14:paraId="01E2207D"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1AC5236B">
          <v:rect id="_x0000_i1115" style="width:0;height:1.5pt" o:hralign="center" o:hrstd="t" o:hr="t" fillcolor="#a0a0a0" stroked="f"/>
        </w:pict>
      </w:r>
    </w:p>
    <w:p w14:paraId="5B05157A"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6D15E0C2"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intermediaries cannot be treated as publishers of third-party content and are liable only upon failure to act after receiving </w:t>
      </w:r>
      <w:r w:rsidRPr="00002F4F">
        <w:rPr>
          <w:rFonts w:ascii="Times New Roman" w:hAnsi="Times New Roman" w:cs="Times New Roman"/>
          <w:b/>
          <w:bCs/>
          <w:sz w:val="24"/>
          <w:szCs w:val="24"/>
        </w:rPr>
        <w:t>legally recognized actual knowledge</w:t>
      </w:r>
      <w:r w:rsidRPr="00002F4F">
        <w:rPr>
          <w:rFonts w:ascii="Times New Roman" w:hAnsi="Times New Roman" w:cs="Times New Roman"/>
          <w:sz w:val="24"/>
          <w:szCs w:val="24"/>
        </w:rPr>
        <w:t xml:space="preserve">. In </w:t>
      </w:r>
      <w:r w:rsidRPr="00002F4F">
        <w:rPr>
          <w:rFonts w:ascii="Times New Roman" w:hAnsi="Times New Roman" w:cs="Times New Roman"/>
          <w:sz w:val="24"/>
          <w:szCs w:val="24"/>
        </w:rPr>
        <w:lastRenderedPageBreak/>
        <w:t xml:space="preserve">the Google case, the Court clearly distinguished between the </w:t>
      </w:r>
      <w:r w:rsidRPr="00002F4F">
        <w:rPr>
          <w:rFonts w:ascii="Times New Roman" w:hAnsi="Times New Roman" w:cs="Times New Roman"/>
          <w:b/>
          <w:bCs/>
          <w:sz w:val="24"/>
          <w:szCs w:val="24"/>
        </w:rPr>
        <w:t>originator of content and the intermediary</w:t>
      </w:r>
      <w:r w:rsidRPr="00002F4F">
        <w:rPr>
          <w:rFonts w:ascii="Times New Roman" w:hAnsi="Times New Roman" w:cs="Times New Roman"/>
          <w:sz w:val="24"/>
          <w:szCs w:val="24"/>
        </w:rPr>
        <w:t xml:space="preserve">, observing that there was “no case… that the Appellant is the author or publisher” of the impugned material. The Court further clarified that “actual knowledge” must arise through a </w:t>
      </w:r>
      <w:r w:rsidRPr="00002F4F">
        <w:rPr>
          <w:rFonts w:ascii="Times New Roman" w:hAnsi="Times New Roman" w:cs="Times New Roman"/>
          <w:b/>
          <w:bCs/>
          <w:sz w:val="24"/>
          <w:szCs w:val="24"/>
        </w:rPr>
        <w:t>court order or appropriate government notification</w:t>
      </w:r>
      <w:r w:rsidRPr="00002F4F">
        <w:rPr>
          <w:rFonts w:ascii="Times New Roman" w:hAnsi="Times New Roman" w:cs="Times New Roman"/>
          <w:sz w:val="24"/>
          <w:szCs w:val="24"/>
        </w:rPr>
        <w:t xml:space="preserve">, thereby protecting intermediaries from liability based on informal or generalized complaints. Additionally, the Court cautioned against imposing proactive monitoring obligations, noting that such expectations would convert intermediaries into “private censors.” This principle is directly applicable to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which operates as a technological platform responding to user prompts and does not independently originate content. In the absence of formal notice and demonstrable authorship or control,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xml:space="preserve"> retains its intermediary protection and cannot be held liable for user-generated outputs.</w:t>
      </w:r>
    </w:p>
    <w:p w14:paraId="7B5C517B"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17EC7898">
          <v:rect id="_x0000_i1116" style="width:0;height:1.5pt" o:hralign="center" o:hrstd="t" o:hr="t" fillcolor="#a0a0a0" stroked="f"/>
        </w:pict>
      </w:r>
    </w:p>
    <w:p w14:paraId="1FAEE82D"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140DD001" w14:textId="77777777" w:rsidR="00002F4F" w:rsidRPr="00002F4F" w:rsidRDefault="00002F4F" w:rsidP="00002F4F">
      <w:pPr>
        <w:numPr>
          <w:ilvl w:val="0"/>
          <w:numId w:val="11"/>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“There is no case… that the Appellant is the author or publisher…” </w:t>
      </w:r>
    </w:p>
    <w:p w14:paraId="70F17F0B" w14:textId="77777777" w:rsidR="00002F4F" w:rsidRPr="00002F4F" w:rsidRDefault="00002F4F" w:rsidP="00002F4F">
      <w:pPr>
        <w:numPr>
          <w:ilvl w:val="0"/>
          <w:numId w:val="11"/>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“Actual knowledge must be… through a court order or Government agency.” </w:t>
      </w:r>
    </w:p>
    <w:p w14:paraId="7BA3AA2D" w14:textId="77777777" w:rsidR="00002F4F" w:rsidRPr="00002F4F" w:rsidRDefault="00002F4F" w:rsidP="00002F4F">
      <w:pPr>
        <w:numPr>
          <w:ilvl w:val="0"/>
          <w:numId w:val="11"/>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Intermediaries cannot be turned into </w:t>
      </w:r>
      <w:r w:rsidRPr="00002F4F">
        <w:rPr>
          <w:rFonts w:ascii="Times New Roman" w:hAnsi="Times New Roman" w:cs="Times New Roman"/>
          <w:b/>
          <w:bCs/>
          <w:sz w:val="24"/>
          <w:szCs w:val="24"/>
        </w:rPr>
        <w:t>private censors</w:t>
      </w:r>
      <w:r w:rsidRPr="00002F4F">
        <w:rPr>
          <w:rFonts w:ascii="Times New Roman" w:hAnsi="Times New Roman" w:cs="Times New Roman"/>
          <w:sz w:val="24"/>
          <w:szCs w:val="24"/>
        </w:rPr>
        <w:t xml:space="preserve"> </w:t>
      </w:r>
    </w:p>
    <w:p w14:paraId="50C470D0" w14:textId="77777777" w:rsidR="00002F4F" w:rsidRPr="00002F4F" w:rsidRDefault="00002F4F" w:rsidP="00002F4F">
      <w:pPr>
        <w:numPr>
          <w:ilvl w:val="0"/>
          <w:numId w:val="11"/>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Liability arises only upon </w:t>
      </w:r>
      <w:r w:rsidRPr="00002F4F">
        <w:rPr>
          <w:rFonts w:ascii="Times New Roman" w:hAnsi="Times New Roman" w:cs="Times New Roman"/>
          <w:b/>
          <w:bCs/>
          <w:sz w:val="24"/>
          <w:szCs w:val="24"/>
        </w:rPr>
        <w:t>failure to act after knowledge</w:t>
      </w:r>
      <w:r w:rsidRPr="00002F4F">
        <w:rPr>
          <w:rFonts w:ascii="Times New Roman" w:hAnsi="Times New Roman" w:cs="Times New Roman"/>
          <w:sz w:val="24"/>
          <w:szCs w:val="24"/>
        </w:rPr>
        <w:t xml:space="preserve"> </w:t>
      </w:r>
    </w:p>
    <w:p w14:paraId="1B28CE21"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65DB25F3">
          <v:rect id="_x0000_i1117" style="width:0;height:1.5pt" o:hralign="center" o:hrstd="t" o:hr="t" fillcolor="#a0a0a0" stroked="f"/>
        </w:pict>
      </w:r>
    </w:p>
    <w:p w14:paraId="0778976B"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Segoe UI Emoji" w:hAnsi="Segoe UI Emoji" w:cs="Segoe UI Emoji"/>
          <w:b/>
          <w:bCs/>
          <w:sz w:val="24"/>
          <w:szCs w:val="24"/>
        </w:rPr>
        <w:t>⚖️</w:t>
      </w:r>
      <w:r w:rsidRPr="00002F4F">
        <w:rPr>
          <w:rFonts w:ascii="Times New Roman" w:hAnsi="Times New Roman" w:cs="Times New Roman"/>
          <w:b/>
          <w:bCs/>
          <w:sz w:val="24"/>
          <w:szCs w:val="24"/>
        </w:rPr>
        <w:t xml:space="preserve"> 4. Kent RO Systems Ltd. v. Amit Kotak</w:t>
      </w:r>
    </w:p>
    <w:p w14:paraId="385585AA" w14:textId="77777777" w:rsidR="00002F4F" w:rsidRPr="00002F4F" w:rsidRDefault="00002F4F" w:rsidP="00002F4F">
      <w:pPr>
        <w:spacing w:line="360" w:lineRule="auto"/>
        <w:rPr>
          <w:rFonts w:ascii="Times New Roman" w:hAnsi="Times New Roman" w:cs="Times New Roman"/>
          <w:sz w:val="24"/>
          <w:szCs w:val="24"/>
        </w:rPr>
      </w:pPr>
      <w:r w:rsidRPr="00002F4F">
        <w:rPr>
          <w:rFonts w:ascii="Segoe UI Emoji" w:hAnsi="Segoe UI Emoji" w:cs="Segoe UI Emoji"/>
          <w:sz w:val="24"/>
          <w:szCs w:val="24"/>
        </w:rPr>
        <w:t>👉</w:t>
      </w:r>
      <w:r w:rsidRPr="00002F4F">
        <w:rPr>
          <w:rFonts w:ascii="Times New Roman" w:hAnsi="Times New Roman" w:cs="Times New Roman"/>
          <w:sz w:val="24"/>
          <w:szCs w:val="24"/>
        </w:rPr>
        <w:t xml:space="preserve"> </w:t>
      </w:r>
      <w:r w:rsidRPr="00002F4F">
        <w:rPr>
          <w:rFonts w:ascii="Times New Roman" w:hAnsi="Times New Roman" w:cs="Times New Roman"/>
          <w:b/>
          <w:bCs/>
          <w:sz w:val="24"/>
          <w:szCs w:val="24"/>
        </w:rPr>
        <w:t>Primarily supports: Respondent</w:t>
      </w:r>
    </w:p>
    <w:p w14:paraId="43F5A186"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234BC71A">
          <v:rect id="_x0000_i1118" style="width:0;height:1.5pt" o:hralign="center" o:hrstd="t" o:hr="t" fillcolor="#a0a0a0" stroked="f"/>
        </w:pict>
      </w:r>
    </w:p>
    <w:p w14:paraId="4142788E"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Explanatory Paragraph</w:t>
      </w:r>
    </w:p>
    <w:p w14:paraId="2E17C87D"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It is submitted that the law does not impose any obligation on intermediaries to proactively monitor, screen, or prevent the hosting of potentially unlawful content, and that liability arises only upon </w:t>
      </w:r>
      <w:r w:rsidRPr="00002F4F">
        <w:rPr>
          <w:rFonts w:ascii="Times New Roman" w:hAnsi="Times New Roman" w:cs="Times New Roman"/>
          <w:b/>
          <w:bCs/>
          <w:sz w:val="24"/>
          <w:szCs w:val="24"/>
        </w:rPr>
        <w:t>specific notice and demonstrable intent or participation</w:t>
      </w:r>
      <w:r w:rsidRPr="00002F4F">
        <w:rPr>
          <w:rFonts w:ascii="Times New Roman" w:hAnsi="Times New Roman" w:cs="Times New Roman"/>
          <w:sz w:val="24"/>
          <w:szCs w:val="24"/>
        </w:rPr>
        <w:t xml:space="preserve">. In </w:t>
      </w:r>
      <w:r w:rsidRPr="00002F4F">
        <w:rPr>
          <w:rFonts w:ascii="Times New Roman" w:hAnsi="Times New Roman" w:cs="Times New Roman"/>
          <w:i/>
          <w:iCs/>
          <w:sz w:val="24"/>
          <w:szCs w:val="24"/>
        </w:rPr>
        <w:t>Kent RO Systems Ltd. v. Amit Kotak</w:t>
      </w:r>
      <w:r w:rsidRPr="00002F4F">
        <w:rPr>
          <w:rFonts w:ascii="Times New Roman" w:hAnsi="Times New Roman" w:cs="Times New Roman"/>
          <w:sz w:val="24"/>
          <w:szCs w:val="24"/>
        </w:rPr>
        <w:t xml:space="preserve">, the Hon’ble Delhi High Court held that the IT Rules “do not oblige the intermediary to… screen all information being hosted,” and that imposing such a duty would effectively convert the intermediary into a body responsible for adjudicating complex legal questions. The Court further recognized that content hosting occurs </w:t>
      </w:r>
      <w:r w:rsidRPr="00002F4F">
        <w:rPr>
          <w:rFonts w:ascii="Times New Roman" w:hAnsi="Times New Roman" w:cs="Times New Roman"/>
          <w:sz w:val="24"/>
          <w:szCs w:val="24"/>
        </w:rPr>
        <w:lastRenderedPageBreak/>
        <w:t xml:space="preserve">“automatically, without human intervention,” and that requiring prior screening would “bring the business… to a halt.” Additionally, the Court clarified that liability under Section 79(3) arises only in cases of </w:t>
      </w:r>
      <w:r w:rsidRPr="00002F4F">
        <w:rPr>
          <w:rFonts w:ascii="Times New Roman" w:hAnsi="Times New Roman" w:cs="Times New Roman"/>
          <w:b/>
          <w:bCs/>
          <w:sz w:val="24"/>
          <w:szCs w:val="24"/>
        </w:rPr>
        <w:t>conspiracy, abetment, or aiding</w:t>
      </w:r>
      <w:r w:rsidRPr="00002F4F">
        <w:rPr>
          <w:rFonts w:ascii="Times New Roman" w:hAnsi="Times New Roman" w:cs="Times New Roman"/>
          <w:sz w:val="24"/>
          <w:szCs w:val="24"/>
        </w:rPr>
        <w:t xml:space="preserve">, which require proof of </w:t>
      </w:r>
      <w:r w:rsidRPr="00002F4F">
        <w:rPr>
          <w:rFonts w:ascii="Times New Roman" w:hAnsi="Times New Roman" w:cs="Times New Roman"/>
          <w:b/>
          <w:bCs/>
          <w:sz w:val="24"/>
          <w:szCs w:val="24"/>
        </w:rPr>
        <w:t>common intention and active participation</w:t>
      </w:r>
      <w:r w:rsidRPr="00002F4F">
        <w:rPr>
          <w:rFonts w:ascii="Times New Roman" w:hAnsi="Times New Roman" w:cs="Times New Roman"/>
          <w:sz w:val="24"/>
          <w:szCs w:val="24"/>
        </w:rPr>
        <w:t xml:space="preserve">. This principle strongly supports the Respondent’s position that </w:t>
      </w:r>
      <w:proofErr w:type="spellStart"/>
      <w:r w:rsidRPr="00002F4F">
        <w:rPr>
          <w:rFonts w:ascii="Times New Roman" w:hAnsi="Times New Roman" w:cs="Times New Roman"/>
          <w:sz w:val="24"/>
          <w:szCs w:val="24"/>
        </w:rPr>
        <w:t>DeepSearch</w:t>
      </w:r>
      <w:proofErr w:type="spellEnd"/>
      <w:r w:rsidRPr="00002F4F">
        <w:rPr>
          <w:rFonts w:ascii="Times New Roman" w:hAnsi="Times New Roman" w:cs="Times New Roman"/>
          <w:sz w:val="24"/>
          <w:szCs w:val="24"/>
        </w:rPr>
        <w:t>, as an automated generative system, cannot be expected to pre-emptively evaluate or restrict all possible outputs, and in the absence of intentional facilitation or failure to act upon notice, safe harbour protection remains intact.</w:t>
      </w:r>
    </w:p>
    <w:p w14:paraId="61732246" w14:textId="77777777" w:rsidR="00002F4F" w:rsidRPr="00002F4F" w:rsidRDefault="00002F4F" w:rsidP="00002F4F">
      <w:pPr>
        <w:spacing w:line="360" w:lineRule="auto"/>
        <w:rPr>
          <w:rFonts w:ascii="Times New Roman" w:hAnsi="Times New Roman" w:cs="Times New Roman"/>
          <w:sz w:val="24"/>
          <w:szCs w:val="24"/>
        </w:rPr>
      </w:pPr>
      <w:r w:rsidRPr="00002F4F">
        <w:rPr>
          <w:rFonts w:ascii="Times New Roman" w:hAnsi="Times New Roman" w:cs="Times New Roman"/>
          <w:sz w:val="24"/>
          <w:szCs w:val="24"/>
        </w:rPr>
        <w:pict w14:anchorId="2D21F289">
          <v:rect id="_x0000_i1119" style="width:0;height:1.5pt" o:hralign="center" o:hrstd="t" o:hr="t" fillcolor="#a0a0a0" stroked="f"/>
        </w:pict>
      </w:r>
    </w:p>
    <w:p w14:paraId="18F6C07B" w14:textId="77777777" w:rsidR="00002F4F" w:rsidRPr="00002F4F" w:rsidRDefault="00002F4F" w:rsidP="00002F4F">
      <w:pPr>
        <w:spacing w:line="360" w:lineRule="auto"/>
        <w:rPr>
          <w:rFonts w:ascii="Times New Roman" w:hAnsi="Times New Roman" w:cs="Times New Roman"/>
          <w:b/>
          <w:bCs/>
          <w:sz w:val="24"/>
          <w:szCs w:val="24"/>
        </w:rPr>
      </w:pPr>
      <w:r w:rsidRPr="00002F4F">
        <w:rPr>
          <w:rFonts w:ascii="Times New Roman" w:hAnsi="Times New Roman" w:cs="Times New Roman"/>
          <w:b/>
          <w:bCs/>
          <w:sz w:val="24"/>
          <w:szCs w:val="24"/>
        </w:rPr>
        <w:t>Key Extracts (Use in Memorial)</w:t>
      </w:r>
    </w:p>
    <w:p w14:paraId="4D42FB7C" w14:textId="77777777" w:rsidR="00002F4F" w:rsidRPr="00002F4F" w:rsidRDefault="00002F4F" w:rsidP="00002F4F">
      <w:pPr>
        <w:numPr>
          <w:ilvl w:val="0"/>
          <w:numId w:val="12"/>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“IT Rules… do not oblige the intermediary to… screen all information…” </w:t>
      </w:r>
    </w:p>
    <w:p w14:paraId="1DB6A4DB" w14:textId="77777777" w:rsidR="00002F4F" w:rsidRPr="00002F4F" w:rsidRDefault="00002F4F" w:rsidP="00002F4F">
      <w:pPr>
        <w:numPr>
          <w:ilvl w:val="0"/>
          <w:numId w:val="12"/>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“Would amount to converting the intermediary into a body to determine whether there is any infringement.” </w:t>
      </w:r>
    </w:p>
    <w:p w14:paraId="02DF331D" w14:textId="77777777" w:rsidR="00002F4F" w:rsidRPr="00002F4F" w:rsidRDefault="00002F4F" w:rsidP="00002F4F">
      <w:pPr>
        <w:numPr>
          <w:ilvl w:val="0"/>
          <w:numId w:val="12"/>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Hosting is “automatic, without human intervention.” </w:t>
      </w:r>
    </w:p>
    <w:p w14:paraId="47B892F0" w14:textId="77777777" w:rsidR="00002F4F" w:rsidRPr="00002F4F" w:rsidRDefault="00002F4F" w:rsidP="00002F4F">
      <w:pPr>
        <w:numPr>
          <w:ilvl w:val="0"/>
          <w:numId w:val="12"/>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Screening would “bring the business… to a halt.” </w:t>
      </w:r>
    </w:p>
    <w:p w14:paraId="0EE9CBE6" w14:textId="77777777" w:rsidR="00002F4F" w:rsidRPr="00002F4F" w:rsidRDefault="00002F4F" w:rsidP="00002F4F">
      <w:pPr>
        <w:numPr>
          <w:ilvl w:val="0"/>
          <w:numId w:val="12"/>
        </w:numPr>
        <w:spacing w:line="360" w:lineRule="auto"/>
        <w:rPr>
          <w:rFonts w:ascii="Times New Roman" w:hAnsi="Times New Roman" w:cs="Times New Roman"/>
          <w:sz w:val="24"/>
          <w:szCs w:val="24"/>
        </w:rPr>
      </w:pPr>
      <w:r w:rsidRPr="00002F4F">
        <w:rPr>
          <w:rFonts w:ascii="Times New Roman" w:hAnsi="Times New Roman" w:cs="Times New Roman"/>
          <w:sz w:val="24"/>
          <w:szCs w:val="24"/>
        </w:rPr>
        <w:t xml:space="preserve">Liability requires </w:t>
      </w:r>
      <w:r w:rsidRPr="00002F4F">
        <w:rPr>
          <w:rFonts w:ascii="Times New Roman" w:hAnsi="Times New Roman" w:cs="Times New Roman"/>
          <w:b/>
          <w:bCs/>
          <w:sz w:val="24"/>
          <w:szCs w:val="24"/>
        </w:rPr>
        <w:t>“conspiracy, abetment, aiding… proof of common intention.”</w:t>
      </w:r>
    </w:p>
    <w:p w14:paraId="60DFD620" w14:textId="77777777" w:rsidR="00002F4F" w:rsidRPr="001149F1" w:rsidRDefault="00002F4F" w:rsidP="001149F1">
      <w:pPr>
        <w:spacing w:line="360" w:lineRule="auto"/>
        <w:rPr>
          <w:rFonts w:ascii="Times New Roman" w:hAnsi="Times New Roman" w:cs="Times New Roman"/>
          <w:sz w:val="24"/>
          <w:szCs w:val="24"/>
        </w:rPr>
      </w:pPr>
    </w:p>
    <w:sectPr w:rsidR="00002F4F" w:rsidRPr="00114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5A6"/>
    <w:multiLevelType w:val="multilevel"/>
    <w:tmpl w:val="F0C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86AA7"/>
    <w:multiLevelType w:val="multilevel"/>
    <w:tmpl w:val="CDE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9734A"/>
    <w:multiLevelType w:val="multilevel"/>
    <w:tmpl w:val="4EC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2EF3"/>
    <w:multiLevelType w:val="multilevel"/>
    <w:tmpl w:val="DE0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93003"/>
    <w:multiLevelType w:val="multilevel"/>
    <w:tmpl w:val="57B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82000"/>
    <w:multiLevelType w:val="multilevel"/>
    <w:tmpl w:val="CB90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47DBA"/>
    <w:multiLevelType w:val="multilevel"/>
    <w:tmpl w:val="511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A1BFC"/>
    <w:multiLevelType w:val="multilevel"/>
    <w:tmpl w:val="B6D6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D4BDD"/>
    <w:multiLevelType w:val="multilevel"/>
    <w:tmpl w:val="594E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B3514"/>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84B17"/>
    <w:multiLevelType w:val="multilevel"/>
    <w:tmpl w:val="EA3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5452C"/>
    <w:multiLevelType w:val="multilevel"/>
    <w:tmpl w:val="BDD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50411">
    <w:abstractNumId w:val="1"/>
  </w:num>
  <w:num w:numId="2" w16cid:durableId="1386563364">
    <w:abstractNumId w:val="8"/>
  </w:num>
  <w:num w:numId="3" w16cid:durableId="941256834">
    <w:abstractNumId w:val="11"/>
  </w:num>
  <w:num w:numId="4" w16cid:durableId="1208176298">
    <w:abstractNumId w:val="10"/>
  </w:num>
  <w:num w:numId="5" w16cid:durableId="1377317097">
    <w:abstractNumId w:val="0"/>
  </w:num>
  <w:num w:numId="6" w16cid:durableId="246967248">
    <w:abstractNumId w:val="4"/>
  </w:num>
  <w:num w:numId="7" w16cid:durableId="1408770944">
    <w:abstractNumId w:val="7"/>
  </w:num>
  <w:num w:numId="8" w16cid:durableId="1667905257">
    <w:abstractNumId w:val="3"/>
  </w:num>
  <w:num w:numId="9" w16cid:durableId="1077938950">
    <w:abstractNumId w:val="2"/>
  </w:num>
  <w:num w:numId="10" w16cid:durableId="1188716192">
    <w:abstractNumId w:val="5"/>
  </w:num>
  <w:num w:numId="11" w16cid:durableId="484127184">
    <w:abstractNumId w:val="9"/>
  </w:num>
  <w:num w:numId="12" w16cid:durableId="17358836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F1"/>
    <w:rsid w:val="00002F4F"/>
    <w:rsid w:val="00091D34"/>
    <w:rsid w:val="001149F1"/>
    <w:rsid w:val="001E1E86"/>
    <w:rsid w:val="009C7696"/>
    <w:rsid w:val="00C2493D"/>
    <w:rsid w:val="00E315A4"/>
    <w:rsid w:val="00FB3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9D66"/>
  <w15:chartTrackingRefBased/>
  <w15:docId w15:val="{FCB2B804-CEDF-492F-AC28-62BA9CE1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F1"/>
    <w:rPr>
      <w:rFonts w:eastAsiaTheme="majorEastAsia" w:cstheme="majorBidi"/>
      <w:color w:val="272727" w:themeColor="text1" w:themeTint="D8"/>
    </w:rPr>
  </w:style>
  <w:style w:type="paragraph" w:styleId="Title">
    <w:name w:val="Title"/>
    <w:basedOn w:val="Normal"/>
    <w:next w:val="Normal"/>
    <w:link w:val="TitleChar"/>
    <w:uiPriority w:val="10"/>
    <w:qFormat/>
    <w:rsid w:val="00114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F1"/>
    <w:pPr>
      <w:spacing w:before="160"/>
      <w:jc w:val="center"/>
    </w:pPr>
    <w:rPr>
      <w:i/>
      <w:iCs/>
      <w:color w:val="404040" w:themeColor="text1" w:themeTint="BF"/>
    </w:rPr>
  </w:style>
  <w:style w:type="character" w:customStyle="1" w:styleId="QuoteChar">
    <w:name w:val="Quote Char"/>
    <w:basedOn w:val="DefaultParagraphFont"/>
    <w:link w:val="Quote"/>
    <w:uiPriority w:val="29"/>
    <w:rsid w:val="001149F1"/>
    <w:rPr>
      <w:i/>
      <w:iCs/>
      <w:color w:val="404040" w:themeColor="text1" w:themeTint="BF"/>
    </w:rPr>
  </w:style>
  <w:style w:type="paragraph" w:styleId="ListParagraph">
    <w:name w:val="List Paragraph"/>
    <w:basedOn w:val="Normal"/>
    <w:uiPriority w:val="34"/>
    <w:qFormat/>
    <w:rsid w:val="001149F1"/>
    <w:pPr>
      <w:ind w:left="720"/>
      <w:contextualSpacing/>
    </w:pPr>
  </w:style>
  <w:style w:type="character" w:styleId="IntenseEmphasis">
    <w:name w:val="Intense Emphasis"/>
    <w:basedOn w:val="DefaultParagraphFont"/>
    <w:uiPriority w:val="21"/>
    <w:qFormat/>
    <w:rsid w:val="001149F1"/>
    <w:rPr>
      <w:i/>
      <w:iCs/>
      <w:color w:val="2F5496" w:themeColor="accent1" w:themeShade="BF"/>
    </w:rPr>
  </w:style>
  <w:style w:type="paragraph" w:styleId="IntenseQuote">
    <w:name w:val="Intense Quote"/>
    <w:basedOn w:val="Normal"/>
    <w:next w:val="Normal"/>
    <w:link w:val="IntenseQuoteChar"/>
    <w:uiPriority w:val="30"/>
    <w:qFormat/>
    <w:rsid w:val="00114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9F1"/>
    <w:rPr>
      <w:i/>
      <w:iCs/>
      <w:color w:val="2F5496" w:themeColor="accent1" w:themeShade="BF"/>
    </w:rPr>
  </w:style>
  <w:style w:type="character" w:styleId="IntenseReference">
    <w:name w:val="Intense Reference"/>
    <w:basedOn w:val="DefaultParagraphFont"/>
    <w:uiPriority w:val="32"/>
    <w:qFormat/>
    <w:rsid w:val="00114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1309</TotalTime>
  <Pages>20</Pages>
  <Words>5963</Words>
  <Characters>33992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Bhandary</dc:creator>
  <cp:keywords/>
  <dc:description/>
  <cp:lastModifiedBy>Veer Bhandary</cp:lastModifiedBy>
  <cp:revision>3</cp:revision>
  <dcterms:created xsi:type="dcterms:W3CDTF">2026-04-11T15:06:00Z</dcterms:created>
  <dcterms:modified xsi:type="dcterms:W3CDTF">2026-04-13T07:50:00Z</dcterms:modified>
</cp:coreProperties>
</file>