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Digital Demand Signals and Territorial Mobility Patterns to Support Airline Seat Allocation</w:t>
      </w:r>
    </w:p>
    <w:p>
      <w:r>
        <w:t>Final Revised Report – Aligned with Final Project Results (June 2026)</w:t>
      </w:r>
    </w:p>
    <w:p>
      <w:pPr>
        <w:pStyle w:val="Heading1"/>
      </w:pPr>
      <w:r>
        <w:t>Abstract</w:t>
      </w:r>
    </w:p>
    <w:p>
      <w:r>
        <w:t>This project evaluates whether digital demand signals can support airline seat allocation and outbound tourism planning decisions in Spain. The original objective was to test whether online search behaviour could anticipate future tourism demand. As the analysis progressed, the project evolved into a broader tourism intelligence framework integrating digital demand signals, territorial mobility patterns, seasonality analysis and post-pandemic recovery dynamics.</w:t>
        <w:br/>
        <w:br/>
        <w:t>Observed demand was measured using the INE experimental outbound tourism mobility dataset, while digital demand signals were extracted from DataForSEO monthly search volumes and Google Trends. Results show that monthly search volumes consistently outperform Google Trends, largely because Google Trends suffers from structural sparsity caused by relative normalization. However, neither signal demonstrates sufficient standalone forecasting capability at the eleven‑month planning horizon relevant for airline allotment decisions. Only six of forty‑five strategic destinations maintained moderate correlations at that horizon. The project therefore concludes that digital demand signals are better understood as complementary intelligence indicators than as universal forecasting variables.</w:t>
      </w:r>
    </w:p>
    <w:p>
      <w:pPr>
        <w:pStyle w:val="Heading1"/>
      </w:pPr>
      <w:r>
        <w:t>Business Context and Research Questions</w:t>
      </w:r>
    </w:p>
    <w:p>
      <w:r>
        <w:t>Travel agencies and tour operators frequently negotiate airline seat allotments almost one year before departure. These commitments involve financial exposure, inventory risk and uncertainty regarding future demand. This project addresses four questions:</w:t>
        <w:br/>
        <w:br/>
        <w:t>• Can digital demand signals anticipate outbound tourism demand?</w:t>
        <w:br/>
        <w:t>• Which digital source performs best?</w:t>
        <w:br/>
        <w:t>• How do territorial and seasonal patterns shape outbound tourism?</w:t>
        <w:br/>
        <w:t>• Can these datasets support practical tourism intelligence decisions?</w:t>
      </w:r>
    </w:p>
    <w:p>
      <w:pPr>
        <w:pStyle w:val="Heading1"/>
      </w:pPr>
      <w:r>
        <w:t>Data Sources</w:t>
      </w:r>
    </w:p>
    <w:p>
      <w:r>
        <w:t>The analytical framework combines four data pillars:</w:t>
        <w:br/>
        <w:br/>
        <w:t>1. INE experimental outbound mobility statistics (observed tourism demand).</w:t>
        <w:br/>
        <w:t>2. DataForSEO monthly search volumes (absolute search demand).</w:t>
        <w:br/>
        <w:t>3. Google Trends indices (relative search demand).</w:t>
        <w:br/>
        <w:t>4. Semantic destination mapping created through tourism web scraping and manual curation.</w:t>
        <w:br/>
        <w:br/>
        <w:t>The mobility dataset provides observed behaviour, while search datasets provide potential leading indicators of future demand.</w:t>
      </w:r>
    </w:p>
    <w:p>
      <w:pPr>
        <w:pStyle w:val="Heading1"/>
      </w:pPr>
      <w:r>
        <w:t>Methodological Framework</w:t>
      </w:r>
    </w:p>
    <w:p>
      <w:r>
        <w:t>A semantic keyword mapping layer was developed to transform tourism search queries into country-level destination demand indicators. Multi-country regions such as the Balkans, Baltics, Caucasus and Indochina were manually curated using tourism domain expertise.</w:t>
        <w:br/>
        <w:br/>
        <w:t>The analytical workflow included:</w:t>
        <w:br/>
        <w:t>• Data cleaning and harmonization.</w:t>
        <w:br/>
        <w:t>• Semantic destination aggregation.</w:t>
        <w:br/>
        <w:t>• Correlation analysis using Spearman coefficients.</w:t>
        <w:br/>
        <w:t>• Lag analysis between search activity and future travel demand.</w:t>
        <w:br/>
        <w:t>• Territorial concentration analysis.</w:t>
        <w:br/>
        <w:t>• Seasonality analysis.</w:t>
        <w:br/>
        <w:t>• COVID recovery analysis.</w:t>
        <w:br/>
        <w:t>• Behavioral adjustment factors derived from INE tourism-purpose statistics.</w:t>
        <w:br/>
        <w:br/>
        <w:t>Spearman correlation was selected because Shapiro–Wilk tests confirmed strong departures from normality across all key variables.</w:t>
      </w:r>
    </w:p>
    <w:p>
      <w:pPr>
        <w:pStyle w:val="Heading1"/>
      </w:pPr>
      <w:r>
        <w:t>Digital Demand Signal Evaluation</w:t>
      </w:r>
    </w:p>
    <w:p>
      <w:r>
        <w:t>Monthly search volumes consistently outperformed Google Trends across all analytical dimensions. Search volume data exhibited lower sparsity, more stable distributions and stronger destination-level relationships.</w:t>
        <w:br/>
        <w:br/>
        <w:t>Google Trends suffered from approximately 60% structural zero values after destination aggregation. This compression effect reduced its ability to differentiate demand intensity across destinations.</w:t>
        <w:br/>
        <w:br/>
        <w:t>The analysis demonstrates that monthly search volumes preserve market differentiation more effectively than normalized trend indices and therefore constitute the more reliable signal source for tourism intelligence applications.</w:t>
      </w:r>
    </w:p>
    <w:p>
      <w:pPr>
        <w:pStyle w:val="Heading1"/>
      </w:pPr>
      <w:r>
        <w:t>Lag Analysis and Forecasting Potential</w:t>
      </w:r>
    </w:p>
    <w:p>
      <w:r>
        <w:t>The most important business question concerned the eleven‑month planning horizon used for airline seat allocation decisions.</w:t>
        <w:br/>
        <w:br/>
        <w:t>Results show that universal forecasting is not supported. Only six of forty‑five commercial destinations maintained correlations above 0.30 at the eleven‑month horizon. Most destinations exhibited stronger relationships at shorter lags, typically between zero and three months.</w:t>
        <w:br/>
        <w:br/>
        <w:t>This suggests that search behaviour functions primarily as a monitoring signal rather than as a long-term forecasting mechanism. Destination-specific opportunities exist, but a universal predictive model could not be validated.</w:t>
      </w:r>
    </w:p>
    <w:p>
      <w:pPr>
        <w:pStyle w:val="Heading1"/>
      </w:pPr>
      <w:r>
        <w:t>Territorial Mobility Intelligence</w:t>
      </w:r>
    </w:p>
    <w:p>
      <w:r>
        <w:t>The territorial component generated some of the strongest business insights in the project.</w:t>
        <w:br/>
        <w:br/>
        <w:t>Outbound tourism outside Europe is highly concentrated geographically. Madrid alone accounts for more than 40% of commercial long-haul outbound demand, while seven provinces generate approximately 80% of total volume.</w:t>
        <w:br/>
        <w:br/>
        <w:t>These findings have direct implications for route planning, airport expansion strategies, airline negotiations and commercial resource allocation. Demand signals originating from major generating territories are structurally more relevant than signals from low-volume regions.</w:t>
      </w:r>
    </w:p>
    <w:p>
      <w:pPr>
        <w:pStyle w:val="Heading1"/>
      </w:pPr>
      <w:r>
        <w:t>Seasonality and Recovery Dynamics</w:t>
      </w:r>
    </w:p>
    <w:p>
      <w:r>
        <w:t>Seasonality patterns differ substantially across Spanish territories. Interior regions show stronger summer concentration, metropolitan areas display flatter demand profiles and island territories exhibit more winter activity.</w:t>
        <w:br/>
        <w:br/>
        <w:t>COVID-19 recovery analysis revealed that agency-oriented long-haul destinations experienced a deeper collapse and slower recovery than the broader outbound tourism market. Recovery dynamics varied significantly by destination and segment, highlighting the importance of contextual interpretation when evaluating demand signals.</w:t>
      </w:r>
    </w:p>
    <w:p>
      <w:pPr>
        <w:pStyle w:val="Heading1"/>
      </w:pPr>
      <w:r>
        <w:t>Discussion</w:t>
      </w:r>
    </w:p>
    <w:p>
      <w:r>
        <w:t>Several factors may contribute to the weak correlations observed throughout the analysis:</w:t>
        <w:br/>
        <w:br/>
        <w:t>• Experimental nature of the mobility dataset.</w:t>
        <w:br/>
        <w:t>• Simplified keyword architecture.</w:t>
        <w:br/>
        <w:t>• Multilingual search behaviour.</w:t>
        <w:br/>
        <w:t>• Destination-specific planning horizons.</w:t>
        <w:br/>
        <w:t>• Heterogeneous travel motivations.</w:t>
        <w:br/>
        <w:t>• Search behaviour that does not always translate into bookings.</w:t>
        <w:br/>
        <w:br/>
        <w:t>Consequently, weak correlations should not be interpreted as evidence that digital demand signals lack value. Rather, they indicate that the relationship between search behaviour and tourism demand is more complex than originally hypothesised.</w:t>
        <w:br/>
        <w:br/>
        <w:t>The project's central contribution is therefore methodological: demonstrating how digital demand indicators can be integrated into a broader tourism intelligence framework.</w:t>
      </w:r>
    </w:p>
    <w:p>
      <w:pPr>
        <w:pStyle w:val="Heading1"/>
      </w:pPr>
      <w:r>
        <w:t>Conclusions</w:t>
      </w:r>
    </w:p>
    <w:p>
      <w:r>
        <w:t>1. Monthly search volumes outperform Google Trends as tourism demand indicators.</w:t>
        <w:br/>
        <w:br/>
        <w:t>2. Universal destination forecasting is not supported at the eleven‑month planning horizon.</w:t>
        <w:br/>
        <w:br/>
        <w:t>3. A limited number of destinations exhibit useful destination-specific predictive signals.</w:t>
        <w:br/>
        <w:br/>
        <w:t>4. Outbound tourism behaviour is strongly territorial and seasonal.</w:t>
        <w:br/>
        <w:br/>
        <w:t>5. The most valuable outcome of the project is the development of a tourism intelligence framework rather than a universal forecasting model.</w:t>
        <w:br/>
        <w:br/>
        <w:t>Digital demand signals should be treated as complementary behavioural indicators that support decision-making when combined with mobility, territorial and contextual information.</w:t>
      </w:r>
    </w:p>
    <w:p>
      <w:pPr>
        <w:pStyle w:val="Heading1"/>
      </w:pPr>
      <w:r>
        <w:t>Future Development</w:t>
      </w:r>
    </w:p>
    <w:p>
      <w:r>
        <w:t>Future development should focus on three priorities:</w:t>
        <w:br/>
        <w:br/>
        <w:t>Improve signal quality:</w:t>
        <w:br/>
        <w:t>• Better mobility segmentation.</w:t>
        <w:br/>
        <w:t>• Alternative search-query architectures.</w:t>
        <w:br/>
        <w:t>• Additional explanatory variables.</w:t>
        <w:br/>
        <w:br/>
        <w:t>Build operational forecasting models:</w:t>
        <w:br/>
        <w:t>• Autoregressive features.</w:t>
        <w:br/>
        <w:t>• Macroeconomic indicators.</w:t>
        <w:br/>
        <w:t>• Transport connectivity variables.</w:t>
        <w:br/>
        <w:br/>
        <w:t>Improve agency intelligence tools:</w:t>
        <w:br/>
        <w:t>• Interactive dashboards.</w:t>
        <w:br/>
        <w:t>• Airline capacity integration.</w:t>
        <w:br/>
        <w:t>• Commercial monitoring KPIs.</w:t>
        <w:br/>
        <w:t>• Route-development decision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