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C200C4" w14:paraId="0DDEDBBE" w14:textId="77777777">
        <w:trPr>
          <w:jc w:val="center"/>
        </w:trPr>
        <w:tc>
          <w:tcPr>
            <w:tcW w:w="9936" w:type="dxa"/>
            <w:shd w:val="clear" w:color="auto" w:fill="1A365D"/>
            <w:tcMar>
              <w:top w:w="200" w:type="dxa"/>
              <w:left w:w="200" w:type="dxa"/>
              <w:bottom w:w="100" w:type="dxa"/>
              <w:right w:w="200" w:type="dxa"/>
            </w:tcMar>
          </w:tcPr>
          <w:p w14:paraId="53924FA2" w14:textId="77777777" w:rsidR="00C200C4" w:rsidRDefault="00D506B9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32"/>
              </w:rPr>
              <w:t>PROJECT QUALITY GATEKEEPER PROTOCOL (PQGP)</w:t>
            </w:r>
          </w:p>
          <w:p w14:paraId="2F05D591" w14:textId="77777777" w:rsidR="00C200C4" w:rsidRDefault="00D506B9">
            <w:pPr>
              <w:spacing w:after="80"/>
            </w:pPr>
            <w:r>
              <w:rPr>
                <w:rFonts w:ascii="Calibri" w:hAnsi="Calibri"/>
                <w:color w:val="E2E8F0"/>
                <w:sz w:val="20"/>
              </w:rPr>
              <w:t>Standard Operating Procedure for Commercial &amp; Multi-Story Building Construction</w:t>
            </w:r>
          </w:p>
        </w:tc>
      </w:tr>
      <w:tr w:rsidR="00C200C4" w14:paraId="68037B20" w14:textId="77777777">
        <w:trPr>
          <w:jc w:val="center"/>
        </w:trPr>
        <w:tc>
          <w:tcPr>
            <w:tcW w:w="9936" w:type="dxa"/>
            <w:shd w:val="clear" w:color="auto" w:fill="2B6CB0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39A0C71D" w14:textId="13DACDA9" w:rsidR="00C200C4" w:rsidRDefault="00D506B9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DOC REF: SOP-QAQC-</w:t>
            </w:r>
            <w:r w:rsidR="00F02559">
              <w:rPr>
                <w:rFonts w:ascii="Calibri" w:hAnsi="Calibri"/>
                <w:b/>
                <w:color w:val="FFFFFF"/>
                <w:sz w:val="17"/>
              </w:rPr>
              <w:t>0</w:t>
            </w:r>
            <w:r w:rsidR="00296BD2">
              <w:rPr>
                <w:rFonts w:ascii="Calibri" w:hAnsi="Calibri"/>
                <w:b/>
                <w:color w:val="FFFFFF"/>
                <w:sz w:val="17"/>
              </w:rPr>
              <w:t>2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  |   APPLICABILITY: General Contracting &amp; Project Delivery   |   GOVERNANCE: Tier-1</w:t>
            </w:r>
          </w:p>
        </w:tc>
      </w:tr>
    </w:tbl>
    <w:p w14:paraId="6897616D" w14:textId="77777777" w:rsidR="00C200C4" w:rsidRDefault="00C200C4">
      <w:pPr>
        <w:spacing w:after="120"/>
      </w:pPr>
    </w:p>
    <w:p w14:paraId="12817488" w14:textId="77777777" w:rsidR="00C200C4" w:rsidRDefault="00D506B9"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 xml:space="preserve">1. </w:t>
      </w:r>
      <w:r>
        <w:rPr>
          <w:rFonts w:ascii="Calibri" w:hAnsi="Calibri"/>
          <w:b/>
          <w:color w:val="1A365D"/>
          <w:sz w:val="28"/>
        </w:rPr>
        <w:t>Protocol Mandate &amp; Governance Architecture</w:t>
      </w:r>
    </w:p>
    <w:p w14:paraId="0B604865" w14:textId="77777777" w:rsidR="00C200C4" w:rsidRDefault="00D506B9">
      <w:pPr>
        <w:spacing w:after="120"/>
      </w:pPr>
      <w:r>
        <w:rPr>
          <w:rFonts w:ascii="Calibri" w:hAnsi="Calibri"/>
          <w:color w:val="2D3748"/>
          <w:sz w:val="19"/>
        </w:rPr>
        <w:t>The 5-Stage Project Quality Gatekeeper Protocol (PQGP) provides a non-negotiable governance and quality verification mechanism tailored for high-complexity building construction (commercial, residential, instituti</w:t>
      </w:r>
      <w:r>
        <w:rPr>
          <w:rFonts w:ascii="Calibri" w:hAnsi="Calibri"/>
          <w:color w:val="2D3748"/>
          <w:sz w:val="19"/>
        </w:rPr>
        <w:t>onal, and mixed-use). Construction projects face substantial latent risks across structural integrity, architectural fit-out, statutory compliance, MEP integration, and commercial liability.</w:t>
      </w:r>
    </w:p>
    <w:p w14:paraId="07C60D02" w14:textId="77777777" w:rsidR="00C200C4" w:rsidRDefault="00D506B9">
      <w:pPr>
        <w:spacing w:after="120"/>
      </w:pPr>
      <w:r>
        <w:rPr>
          <w:rFonts w:ascii="Calibri" w:hAnsi="Calibri"/>
          <w:color w:val="2D3748"/>
          <w:sz w:val="19"/>
        </w:rPr>
        <w:t>This protocol operates on the principle of Hard Gating: No projec</w:t>
      </w:r>
      <w:r>
        <w:rPr>
          <w:rFonts w:ascii="Calibri" w:hAnsi="Calibri"/>
          <w:color w:val="2D3748"/>
          <w:sz w:val="19"/>
        </w:rPr>
        <w:t>t stage may mobilize, procure substantial works, or execute physical site installations until the designated Gatekeeper Committee conducts a formal review and issues a verified Gate Certificate.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00C4" w14:paraId="21A1964A" w14:textId="77777777" w:rsidTr="0089636E">
        <w:trPr>
          <w:jc w:val="center"/>
        </w:trPr>
        <w:tc>
          <w:tcPr>
            <w:tcW w:w="2484" w:type="dxa"/>
            <w:shd w:val="clear" w:color="auto" w:fill="DEF7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AFAF" w14:textId="77777777" w:rsidR="00C200C4" w:rsidRDefault="00D506B9">
            <w:pPr>
              <w:jc w:val="center"/>
            </w:pPr>
            <w:r>
              <w:rPr>
                <w:rFonts w:ascii="Calibri" w:hAnsi="Calibri"/>
                <w:b/>
                <w:color w:val="03543F"/>
                <w:sz w:val="17"/>
              </w:rPr>
              <w:t>PASSED (GO)</w:t>
            </w:r>
            <w:r>
              <w:rPr>
                <w:rFonts w:ascii="Calibri" w:hAnsi="Calibri"/>
                <w:b/>
                <w:color w:val="03543F"/>
                <w:sz w:val="17"/>
              </w:rPr>
              <w:br/>
            </w:r>
            <w:r>
              <w:rPr>
                <w:rFonts w:ascii="Calibri" w:hAnsi="Calibri"/>
                <w:color w:val="03543F"/>
                <w:sz w:val="15"/>
              </w:rPr>
              <w:t xml:space="preserve">Unrestricted release to subsequent phase; budget </w:t>
            </w:r>
            <w:r>
              <w:rPr>
                <w:rFonts w:ascii="Calibri" w:hAnsi="Calibri"/>
                <w:color w:val="03543F"/>
                <w:sz w:val="15"/>
              </w:rPr>
              <w:t>and procurement unblocked.</w:t>
            </w:r>
          </w:p>
        </w:tc>
        <w:tc>
          <w:tcPr>
            <w:tcW w:w="2484" w:type="dxa"/>
            <w:shd w:val="clear" w:color="auto" w:fill="FEF0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C1FC" w14:textId="77777777" w:rsidR="00C200C4" w:rsidRDefault="00D506B9">
            <w:pPr>
              <w:jc w:val="center"/>
            </w:pPr>
            <w:r>
              <w:rPr>
                <w:rFonts w:ascii="Calibri" w:hAnsi="Calibri"/>
                <w:b/>
                <w:color w:val="713F12"/>
                <w:sz w:val="17"/>
              </w:rPr>
              <w:t>CONDITIONAL PASS</w:t>
            </w:r>
            <w:r>
              <w:rPr>
                <w:rFonts w:ascii="Calibri" w:hAnsi="Calibri"/>
                <w:b/>
                <w:color w:val="713F12"/>
                <w:sz w:val="17"/>
              </w:rPr>
              <w:br/>
            </w:r>
            <w:r>
              <w:rPr>
                <w:rFonts w:ascii="Calibri" w:hAnsi="Calibri"/>
                <w:color w:val="713F12"/>
                <w:sz w:val="15"/>
              </w:rPr>
              <w:t>Phase mobilized with minor Punch-List actions resolved in &lt;=14 days.</w:t>
            </w:r>
          </w:p>
        </w:tc>
        <w:tc>
          <w:tcPr>
            <w:tcW w:w="2484" w:type="dxa"/>
            <w:shd w:val="clear" w:color="auto" w:fill="FEEC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D297" w14:textId="77777777" w:rsidR="00C200C4" w:rsidRDefault="00D506B9">
            <w:pPr>
              <w:jc w:val="center"/>
            </w:pPr>
            <w:r>
              <w:rPr>
                <w:rFonts w:ascii="Calibri" w:hAnsi="Calibri"/>
                <w:b/>
                <w:color w:val="9B1C1C"/>
                <w:sz w:val="17"/>
              </w:rPr>
              <w:t>HOLD / REWORK</w:t>
            </w:r>
            <w:r>
              <w:rPr>
                <w:rFonts w:ascii="Calibri" w:hAnsi="Calibri"/>
                <w:b/>
                <w:color w:val="9B1C1C"/>
                <w:sz w:val="17"/>
              </w:rPr>
              <w:br/>
            </w:r>
            <w:r>
              <w:rPr>
                <w:rFonts w:ascii="Calibri" w:hAnsi="Calibri"/>
                <w:color w:val="9B1C1C"/>
                <w:sz w:val="15"/>
              </w:rPr>
              <w:t>Substandard deliverables. Rectification and mandatory re-audit required.</w:t>
            </w:r>
          </w:p>
        </w:tc>
        <w:tc>
          <w:tcPr>
            <w:tcW w:w="2484" w:type="dxa"/>
            <w:shd w:val="clear" w:color="auto" w:fill="FDE8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AFDE" w14:textId="77777777" w:rsidR="00C200C4" w:rsidRDefault="00D506B9">
            <w:pPr>
              <w:jc w:val="center"/>
            </w:pPr>
            <w:r>
              <w:rPr>
                <w:rFonts w:ascii="Calibri" w:hAnsi="Calibri"/>
                <w:b/>
                <w:color w:val="9B1C1C"/>
                <w:sz w:val="17"/>
              </w:rPr>
              <w:t>TERMINATE / KILL</w:t>
            </w:r>
            <w:r>
              <w:rPr>
                <w:rFonts w:ascii="Calibri" w:hAnsi="Calibri"/>
                <w:b/>
                <w:color w:val="9B1C1C"/>
                <w:sz w:val="17"/>
              </w:rPr>
              <w:br/>
            </w:r>
            <w:r>
              <w:rPr>
                <w:rFonts w:ascii="Calibri" w:hAnsi="Calibri"/>
                <w:color w:val="9B1C1C"/>
                <w:sz w:val="15"/>
              </w:rPr>
              <w:t xml:space="preserve">Critical structural defect, </w:t>
            </w:r>
            <w:r>
              <w:rPr>
                <w:rFonts w:ascii="Calibri" w:hAnsi="Calibri"/>
                <w:color w:val="9B1C1C"/>
                <w:sz w:val="15"/>
              </w:rPr>
              <w:t>non-compliance, or commercially unviable overrun.</w:t>
            </w:r>
          </w:p>
        </w:tc>
      </w:tr>
    </w:tbl>
    <w:p w14:paraId="4F0F6907" w14:textId="77777777" w:rsidR="00C200C4" w:rsidRDefault="00C200C4" w:rsidP="0089636E">
      <w:pPr>
        <w:spacing w:after="120"/>
        <w:ind w:left="360"/>
      </w:pPr>
    </w:p>
    <w:p w14:paraId="1D3D0AB6" w14:textId="77777777" w:rsidR="00C200C4" w:rsidRDefault="00D506B9" w:rsidP="0089636E">
      <w:pPr>
        <w:keepNext/>
        <w:spacing w:before="280" w:after="80"/>
        <w:ind w:left="360"/>
      </w:pPr>
      <w:r>
        <w:rPr>
          <w:rFonts w:ascii="Calibri" w:hAnsi="Calibri"/>
          <w:b/>
          <w:color w:val="1A365D"/>
          <w:sz w:val="28"/>
        </w:rPr>
        <w:t>2. Five-Stage Quality Gate Matrix</w:t>
      </w:r>
    </w:p>
    <w:tbl>
      <w:tblPr>
        <w:tblW w:w="0" w:type="auto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200C4" w14:paraId="4E3DC32B" w14:textId="77777777" w:rsidTr="0089636E">
        <w:tc>
          <w:tcPr>
            <w:tcW w:w="1987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A170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Gate</w:t>
            </w:r>
          </w:p>
        </w:tc>
        <w:tc>
          <w:tcPr>
            <w:tcW w:w="1987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1DCD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Phase Scope</w:t>
            </w:r>
          </w:p>
        </w:tc>
        <w:tc>
          <w:tcPr>
            <w:tcW w:w="1987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32B0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Primary Gatekeepers</w:t>
            </w:r>
          </w:p>
        </w:tc>
        <w:tc>
          <w:tcPr>
            <w:tcW w:w="1987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7563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Mandatory Deliverables</w:t>
            </w:r>
          </w:p>
        </w:tc>
        <w:tc>
          <w:tcPr>
            <w:tcW w:w="1987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F1CB9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Kill / Hold Triggers</w:t>
            </w:r>
          </w:p>
        </w:tc>
      </w:tr>
      <w:tr w:rsidR="00C200C4" w14:paraId="3DC5B8EA" w14:textId="77777777" w:rsidTr="0089636E"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519EB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Gate 1 (G1)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02948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Pre-Construction &amp; Design Verification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C91FC" w14:textId="3DCF20B2" w:rsidR="00C200C4" w:rsidRDefault="00F02559">
            <w:r>
              <w:rPr>
                <w:rFonts w:ascii="Calibri" w:hAnsi="Calibri"/>
                <w:color w:val="2D3748"/>
                <w:sz w:val="16"/>
              </w:rPr>
              <w:t>Project Manager</w:t>
            </w:r>
            <w:r w:rsidR="00D506B9">
              <w:rPr>
                <w:rFonts w:ascii="Calibri" w:hAnsi="Calibri"/>
                <w:color w:val="2D3748"/>
                <w:sz w:val="16"/>
              </w:rPr>
              <w:t xml:space="preserve">, Principal </w:t>
            </w:r>
            <w:r w:rsidR="00D506B9">
              <w:rPr>
                <w:rFonts w:ascii="Calibri" w:hAnsi="Calibri"/>
                <w:color w:val="2D3748"/>
                <w:sz w:val="16"/>
              </w:rPr>
              <w:t>Architect, Structural Lead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960CA" w14:textId="74C85E4F" w:rsidR="00C200C4" w:rsidRDefault="00D506B9">
            <w:r>
              <w:rPr>
                <w:rFonts w:ascii="Calibri" w:hAnsi="Calibri"/>
                <w:color w:val="2D3748"/>
                <w:sz w:val="16"/>
              </w:rPr>
              <w:t xml:space="preserve">100% IFC Drawings, </w:t>
            </w:r>
            <w:proofErr w:type="gramStart"/>
            <w:r>
              <w:rPr>
                <w:rFonts w:ascii="Calibri" w:hAnsi="Calibri"/>
                <w:color w:val="2D3748"/>
                <w:sz w:val="16"/>
              </w:rPr>
              <w:t xml:space="preserve">BIM </w:t>
            </w:r>
            <w:r>
              <w:rPr>
                <w:rFonts w:ascii="Calibri" w:hAnsi="Calibri"/>
                <w:color w:val="2D3748"/>
                <w:sz w:val="16"/>
              </w:rPr>
              <w:t xml:space="preserve"> Clash</w:t>
            </w:r>
            <w:proofErr w:type="gramEnd"/>
            <w:r>
              <w:rPr>
                <w:rFonts w:ascii="Calibri" w:hAnsi="Calibri"/>
                <w:color w:val="2D3748"/>
                <w:sz w:val="16"/>
              </w:rPr>
              <w:t xml:space="preserve"> Resolution, Geotechnical Sign-Off, Full Building Permits.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302F9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Unresolved spatial clashes; Missing foundational permits.</w:t>
            </w:r>
          </w:p>
        </w:tc>
      </w:tr>
      <w:tr w:rsidR="00C200C4" w14:paraId="49317A50" w14:textId="77777777" w:rsidTr="0089636E"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3B429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Gate 2 (G2)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369DA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Substructure &amp; Foundation Sign-Off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0ABAE" w14:textId="50346C12" w:rsidR="00C200C4" w:rsidRDefault="00D506B9">
            <w:r>
              <w:rPr>
                <w:rFonts w:ascii="Calibri" w:hAnsi="Calibri"/>
                <w:color w:val="2D3748"/>
                <w:sz w:val="16"/>
              </w:rPr>
              <w:t>Structural Engineer, Geotech Consultant, QA/QC Lead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72A18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Pile Load Test Reports (Static/Dynamic), Excavation As-Builts, Waterproofing Spark/Flood Tests, Rebar &amp; Pour Log.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6CC8A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Pile settlement failure; Water ingress; Honeycombing &gt; tolerance.</w:t>
            </w:r>
          </w:p>
        </w:tc>
      </w:tr>
      <w:tr w:rsidR="00C200C4" w14:paraId="723205AE" w14:textId="77777777" w:rsidTr="0089636E"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E210A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Gate 3 (G3)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6252C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Superstruct</w:t>
            </w:r>
            <w:r>
              <w:rPr>
                <w:rFonts w:ascii="Calibri" w:hAnsi="Calibri"/>
                <w:color w:val="2D3748"/>
                <w:sz w:val="16"/>
              </w:rPr>
              <w:t>ure &amp; Building Envelope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CC6BA" w14:textId="5EAD34D4" w:rsidR="00C200C4" w:rsidRDefault="00D506B9">
            <w:r>
              <w:rPr>
                <w:rFonts w:ascii="Calibri" w:hAnsi="Calibri"/>
                <w:color w:val="2D3748"/>
                <w:sz w:val="16"/>
              </w:rPr>
              <w:t xml:space="preserve">Structural </w:t>
            </w:r>
            <w:r w:rsidR="00F02559">
              <w:rPr>
                <w:rFonts w:ascii="Calibri" w:hAnsi="Calibri"/>
                <w:color w:val="2D3748"/>
                <w:sz w:val="16"/>
              </w:rPr>
              <w:t>Engineer</w:t>
            </w:r>
            <w:r>
              <w:rPr>
                <w:rFonts w:ascii="Calibri" w:hAnsi="Calibri"/>
                <w:color w:val="2D3748"/>
                <w:sz w:val="16"/>
              </w:rPr>
              <w:t xml:space="preserve">, </w:t>
            </w:r>
            <w:r w:rsidR="00F02559">
              <w:rPr>
                <w:rFonts w:ascii="Calibri" w:hAnsi="Calibri"/>
                <w:color w:val="2D3748"/>
                <w:sz w:val="16"/>
              </w:rPr>
              <w:t>Project Manager</w:t>
            </w:r>
            <w:r>
              <w:rPr>
                <w:rFonts w:ascii="Calibri" w:hAnsi="Calibri"/>
                <w:color w:val="2D3748"/>
                <w:sz w:val="16"/>
              </w:rPr>
              <w:t>, MEP Coordinator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09AD2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28-day Concrete Core Strength, Post-Tensioning Elongation Logs, AAMA Field Water Test, Formwork Scan Reports.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04E8C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Concrete strength failure; Envelope water leakage.</w:t>
            </w:r>
          </w:p>
        </w:tc>
      </w:tr>
      <w:tr w:rsidR="00C200C4" w14:paraId="5FE4D4F2" w14:textId="77777777" w:rsidTr="0089636E"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0E698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 xml:space="preserve">Gate 4 </w:t>
            </w:r>
            <w:r>
              <w:rPr>
                <w:rFonts w:ascii="Calibri" w:hAnsi="Calibri"/>
                <w:b/>
                <w:color w:val="2D3748"/>
                <w:sz w:val="16"/>
              </w:rPr>
              <w:t>(G4)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AFB83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MEP Rough-in &amp; Fit-Out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F7D18" w14:textId="7B4674AB" w:rsidR="00C200C4" w:rsidRDefault="00D506B9">
            <w:r>
              <w:rPr>
                <w:rFonts w:ascii="Calibri" w:hAnsi="Calibri"/>
                <w:color w:val="2D3748"/>
                <w:sz w:val="16"/>
              </w:rPr>
              <w:t xml:space="preserve">MEP </w:t>
            </w:r>
            <w:r w:rsidR="00F02559">
              <w:rPr>
                <w:rFonts w:ascii="Calibri" w:hAnsi="Calibri"/>
                <w:color w:val="2D3748"/>
                <w:sz w:val="16"/>
              </w:rPr>
              <w:t>Project in-charge</w:t>
            </w:r>
            <w:r>
              <w:rPr>
                <w:rFonts w:ascii="Calibri" w:hAnsi="Calibri"/>
                <w:color w:val="2D3748"/>
                <w:sz w:val="16"/>
              </w:rPr>
              <w:t xml:space="preserve">, </w:t>
            </w:r>
            <w:r>
              <w:rPr>
                <w:rFonts w:ascii="Calibri" w:hAnsi="Calibri"/>
                <w:color w:val="2D3748"/>
                <w:sz w:val="16"/>
              </w:rPr>
              <w:t>QA/QC Manager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EFDDF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Hydrostatic Pressure Tests (1.5x working), Duct Leakage (SMACNA), Firestopping Certifications, Above-Ceiling Sign-Off.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E5377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Unsealed fire dampers/shafts; Hydrostatic drop; Defecti</w:t>
            </w:r>
            <w:r>
              <w:rPr>
                <w:rFonts w:ascii="Calibri" w:hAnsi="Calibri"/>
                <w:color w:val="2D3748"/>
                <w:sz w:val="16"/>
              </w:rPr>
              <w:t>ve acoustic ratings.</w:t>
            </w:r>
          </w:p>
        </w:tc>
      </w:tr>
      <w:tr w:rsidR="00C200C4" w14:paraId="503D4DB0" w14:textId="77777777" w:rsidTr="0089636E"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A2426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lastRenderedPageBreak/>
              <w:t>Gate 5 (G5)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9B6A6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Commissioning &amp; Closeout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0C6EA" w14:textId="5DE85C88" w:rsidR="00C200C4" w:rsidRDefault="00F02559">
            <w:r>
              <w:rPr>
                <w:rFonts w:ascii="Calibri" w:hAnsi="Calibri"/>
                <w:color w:val="2D3748"/>
                <w:sz w:val="16"/>
              </w:rPr>
              <w:t>Operation Team, QAQC Team</w:t>
            </w:r>
            <w:r w:rsidR="00D506B9">
              <w:rPr>
                <w:rFonts w:ascii="Calibri" w:hAnsi="Calibri"/>
                <w:color w:val="2D3748"/>
                <w:sz w:val="16"/>
              </w:rPr>
              <w:t>, Client PM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BB2DC" w14:textId="4EB05985" w:rsidR="00C200C4" w:rsidRDefault="00D506B9">
            <w:r>
              <w:rPr>
                <w:rFonts w:ascii="Calibri" w:hAnsi="Calibri"/>
                <w:color w:val="2D3748"/>
                <w:sz w:val="16"/>
              </w:rPr>
              <w:t xml:space="preserve">Full Building TAB Report, Integrated Life-Safety Matrix Tripping, </w:t>
            </w:r>
            <w:r>
              <w:rPr>
                <w:rFonts w:ascii="Calibri" w:hAnsi="Calibri"/>
                <w:color w:val="2D3748"/>
                <w:sz w:val="16"/>
              </w:rPr>
              <w:t>Certificate of Occupancy (C of O), O&amp;M Manuals.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97013" w14:textId="0B5779E5" w:rsidR="00C200C4" w:rsidRDefault="00D506B9">
            <w:r>
              <w:rPr>
                <w:rFonts w:ascii="Calibri" w:hAnsi="Calibri"/>
                <w:color w:val="2D3748"/>
                <w:sz w:val="16"/>
              </w:rPr>
              <w:t xml:space="preserve">Fire Alarm / </w:t>
            </w:r>
            <w:r>
              <w:rPr>
                <w:rFonts w:ascii="Calibri" w:hAnsi="Calibri"/>
                <w:color w:val="2D3748"/>
                <w:sz w:val="16"/>
              </w:rPr>
              <w:t>Generator transfer failure; Failed AHJ inspection</w:t>
            </w:r>
            <w:r w:rsidR="0089636E">
              <w:rPr>
                <w:rFonts w:ascii="Calibri" w:hAnsi="Calibri"/>
                <w:color w:val="2D3748"/>
                <w:sz w:val="16"/>
              </w:rPr>
              <w:t>, Equipmennt Motors, Fire pumps, Domestic Pumps, STP</w:t>
            </w:r>
          </w:p>
        </w:tc>
      </w:tr>
    </w:tbl>
    <w:p w14:paraId="5ADA2909" w14:textId="77777777" w:rsidR="00C200C4" w:rsidRDefault="00C200C4" w:rsidP="0089636E">
      <w:pPr>
        <w:spacing w:after="120"/>
        <w:ind w:left="360"/>
      </w:pPr>
    </w:p>
    <w:p w14:paraId="7E651EC6" w14:textId="77777777" w:rsidR="00C200C4" w:rsidRDefault="00D506B9" w:rsidP="0089636E">
      <w:pPr>
        <w:keepNext/>
        <w:spacing w:before="280" w:after="80"/>
        <w:ind w:left="360"/>
      </w:pPr>
      <w:r>
        <w:rPr>
          <w:rFonts w:ascii="Calibri" w:hAnsi="Calibri"/>
          <w:b/>
          <w:color w:val="1A365D"/>
          <w:sz w:val="28"/>
        </w:rPr>
        <w:t>3. Detailed Stage Protocols &amp; Execution Criteria</w:t>
      </w:r>
    </w:p>
    <w:p w14:paraId="085A9056" w14:textId="77777777" w:rsidR="00C200C4" w:rsidRDefault="00D506B9" w:rsidP="0089636E">
      <w:pPr>
        <w:keepNext/>
        <w:spacing w:before="280" w:after="80"/>
        <w:ind w:left="360"/>
      </w:pPr>
      <w:r>
        <w:rPr>
          <w:rFonts w:ascii="Calibri" w:hAnsi="Calibri"/>
          <w:b/>
          <w:color w:val="2B6CB0"/>
          <w:sz w:val="24"/>
        </w:rPr>
        <w:t>Gate 1: Pre-Construction, Constructability &amp; Design Baseline</w:t>
      </w:r>
    </w:p>
    <w:p w14:paraId="155FF735" w14:textId="1F5A99AA" w:rsidR="00C200C4" w:rsidRPr="0089636E" w:rsidRDefault="00D506B9" w:rsidP="0089636E">
      <w:pPr>
        <w:pStyle w:val="ListBullet"/>
        <w:tabs>
          <w:tab w:val="num" w:pos="720"/>
        </w:tabs>
        <w:spacing w:before="20" w:after="40"/>
        <w:ind w:left="360"/>
        <w:rPr>
          <w:rFonts w:asciiTheme="majorHAnsi" w:hAnsiTheme="majorHAnsi" w:cstheme="majorHAnsi"/>
        </w:rPr>
      </w:pPr>
      <w:r w:rsidRPr="0089636E">
        <w:rPr>
          <w:rFonts w:asciiTheme="majorHAnsi" w:hAnsiTheme="majorHAnsi" w:cstheme="majorHAnsi"/>
          <w:b/>
          <w:color w:val="2D3748"/>
          <w:sz w:val="19"/>
        </w:rPr>
        <w:t>BIM Coordination:</w:t>
      </w:r>
      <w:r w:rsidRPr="0089636E">
        <w:rPr>
          <w:rFonts w:asciiTheme="majorHAnsi" w:hAnsiTheme="majorHAnsi" w:cstheme="majorHAnsi"/>
          <w:color w:val="2D3748"/>
          <w:sz w:val="19"/>
        </w:rPr>
        <w:t xml:space="preserve"> Zero 'Hard Clashes' between structural load-bearing elements and gravity drainage/HVAC mains (Navisworks Clash Log certified).</w:t>
      </w:r>
    </w:p>
    <w:p w14:paraId="49F7F05F" w14:textId="77777777" w:rsidR="0089636E" w:rsidRPr="0002790C" w:rsidRDefault="0089636E" w:rsidP="0002790C">
      <w:pPr>
        <w:pStyle w:val="ListBullet"/>
        <w:numPr>
          <w:ilvl w:val="1"/>
          <w:numId w:val="12"/>
        </w:numPr>
        <w:spacing w:before="20" w:after="40"/>
        <w:ind w:left="1080" w:firstLine="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>BIM Coordination:</w:t>
      </w:r>
    </w:p>
    <w:p w14:paraId="47CD3D6F" w14:textId="14B9D675" w:rsidR="0089636E" w:rsidRPr="0002790C" w:rsidRDefault="0089636E" w:rsidP="0089636E">
      <w:pPr>
        <w:pStyle w:val="ListBullet"/>
        <w:spacing w:before="20" w:after="40"/>
        <w:ind w:left="108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ab/>
      </w:r>
      <w:r w:rsidRPr="0002790C">
        <w:rPr>
          <w:rFonts w:asciiTheme="majorHAnsi" w:hAnsiTheme="majorHAnsi" w:cstheme="majorHAnsi"/>
          <w:sz w:val="19"/>
          <w:szCs w:val="19"/>
        </w:rPr>
        <w:t xml:space="preserve">The process of combining 3D digital blueprints from the architect, structural engineer, and </w:t>
      </w:r>
      <w:r w:rsidRPr="0002790C">
        <w:rPr>
          <w:rFonts w:asciiTheme="majorHAnsi" w:hAnsiTheme="majorHAnsi" w:cstheme="majorHAnsi"/>
          <w:sz w:val="19"/>
          <w:szCs w:val="19"/>
        </w:rPr>
        <w:tab/>
      </w:r>
      <w:r w:rsidRPr="0002790C">
        <w:rPr>
          <w:rFonts w:asciiTheme="majorHAnsi" w:hAnsiTheme="majorHAnsi" w:cstheme="majorHAnsi"/>
          <w:sz w:val="19"/>
          <w:szCs w:val="19"/>
        </w:rPr>
        <w:t>mechanical/plumbing trades into one master computer model to make sure everything fits together.</w:t>
      </w:r>
    </w:p>
    <w:p w14:paraId="27BAABC2" w14:textId="77777777" w:rsidR="0089636E" w:rsidRPr="0002790C" w:rsidRDefault="0089636E" w:rsidP="0089636E">
      <w:pPr>
        <w:pStyle w:val="ListBullet"/>
        <w:spacing w:before="20" w:after="40"/>
        <w:ind w:left="720"/>
        <w:rPr>
          <w:rFonts w:asciiTheme="majorHAnsi" w:hAnsiTheme="majorHAnsi" w:cstheme="majorHAnsi"/>
          <w:sz w:val="19"/>
          <w:szCs w:val="19"/>
        </w:rPr>
      </w:pPr>
    </w:p>
    <w:p w14:paraId="3F5C028D" w14:textId="77777777" w:rsidR="0089636E" w:rsidRPr="0002790C" w:rsidRDefault="0089636E" w:rsidP="0089636E">
      <w:pPr>
        <w:pStyle w:val="ListBullet"/>
        <w:numPr>
          <w:ilvl w:val="1"/>
          <w:numId w:val="12"/>
        </w:numPr>
        <w:spacing w:before="20" w:after="4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>Zero 'Hard Clashes':</w:t>
      </w:r>
    </w:p>
    <w:p w14:paraId="47DAA33B" w14:textId="3864F808" w:rsidR="0089636E" w:rsidRPr="0002790C" w:rsidRDefault="0089636E" w:rsidP="0089636E">
      <w:pPr>
        <w:pStyle w:val="ListBullet"/>
        <w:spacing w:before="20" w:after="40"/>
        <w:ind w:left="108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ab/>
      </w:r>
      <w:r w:rsidRPr="0002790C">
        <w:rPr>
          <w:rFonts w:asciiTheme="majorHAnsi" w:hAnsiTheme="majorHAnsi" w:cstheme="majorHAnsi"/>
          <w:sz w:val="19"/>
          <w:szCs w:val="19"/>
        </w:rPr>
        <w:t>No two physical solid objects occupy the exact same space in the computer model (for example, a large pipe isn't drawn directly through the middle of a solid steel column).</w:t>
      </w:r>
    </w:p>
    <w:p w14:paraId="29B4D744" w14:textId="77777777" w:rsidR="0089636E" w:rsidRPr="0002790C" w:rsidRDefault="0089636E" w:rsidP="0089636E">
      <w:pPr>
        <w:pStyle w:val="ListBullet"/>
        <w:spacing w:before="20" w:after="40"/>
        <w:ind w:left="720"/>
        <w:rPr>
          <w:rFonts w:asciiTheme="majorHAnsi" w:hAnsiTheme="majorHAnsi" w:cstheme="majorHAnsi"/>
          <w:sz w:val="19"/>
          <w:szCs w:val="19"/>
        </w:rPr>
      </w:pPr>
    </w:p>
    <w:p w14:paraId="19B31476" w14:textId="77777777" w:rsidR="0089636E" w:rsidRPr="0002790C" w:rsidRDefault="0089636E" w:rsidP="0089636E">
      <w:pPr>
        <w:pStyle w:val="ListBullet"/>
        <w:numPr>
          <w:ilvl w:val="1"/>
          <w:numId w:val="12"/>
        </w:numPr>
        <w:spacing w:before="20" w:after="4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>Structural load-bearing elements:</w:t>
      </w:r>
    </w:p>
    <w:p w14:paraId="0624B4A8" w14:textId="148C2739" w:rsidR="0089636E" w:rsidRPr="0002790C" w:rsidRDefault="0089636E" w:rsidP="0089636E">
      <w:pPr>
        <w:pStyle w:val="ListBullet"/>
        <w:spacing w:before="20" w:after="40"/>
        <w:ind w:left="108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ab/>
      </w:r>
      <w:r w:rsidRPr="0002790C">
        <w:rPr>
          <w:rFonts w:asciiTheme="majorHAnsi" w:hAnsiTheme="majorHAnsi" w:cstheme="majorHAnsi"/>
          <w:sz w:val="19"/>
          <w:szCs w:val="19"/>
        </w:rPr>
        <w:t>The critical "bones" that hold the building up and keep it standing—such as concrete columns, load-bearing walls, structural slabs, and steel beams.</w:t>
      </w:r>
    </w:p>
    <w:p w14:paraId="493356F0" w14:textId="77777777" w:rsidR="0089636E" w:rsidRPr="0002790C" w:rsidRDefault="0089636E" w:rsidP="0089636E">
      <w:pPr>
        <w:pStyle w:val="ListBullet"/>
        <w:spacing w:before="20" w:after="40"/>
        <w:ind w:left="720"/>
        <w:rPr>
          <w:rFonts w:asciiTheme="majorHAnsi" w:hAnsiTheme="majorHAnsi" w:cstheme="majorHAnsi"/>
          <w:sz w:val="19"/>
          <w:szCs w:val="19"/>
        </w:rPr>
      </w:pPr>
    </w:p>
    <w:p w14:paraId="519B2115" w14:textId="77777777" w:rsidR="0089636E" w:rsidRPr="0002790C" w:rsidRDefault="0089636E" w:rsidP="0089636E">
      <w:pPr>
        <w:pStyle w:val="ListBullet"/>
        <w:numPr>
          <w:ilvl w:val="1"/>
          <w:numId w:val="12"/>
        </w:numPr>
        <w:spacing w:before="20" w:after="4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>Gravity drainage / HVAC mains:</w:t>
      </w:r>
    </w:p>
    <w:p w14:paraId="4751120C" w14:textId="5DCEFF62" w:rsidR="0089636E" w:rsidRPr="0002790C" w:rsidRDefault="0089636E" w:rsidP="0089636E">
      <w:pPr>
        <w:pStyle w:val="ListBullet"/>
        <w:spacing w:before="20" w:after="40"/>
        <w:ind w:left="108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ab/>
      </w:r>
      <w:r w:rsidRPr="0002790C">
        <w:rPr>
          <w:rFonts w:asciiTheme="majorHAnsi" w:hAnsiTheme="majorHAnsi" w:cstheme="majorHAnsi"/>
          <w:sz w:val="19"/>
          <w:szCs w:val="19"/>
        </w:rPr>
        <w:t>The largest and most rigid utilities in a building:</w:t>
      </w:r>
    </w:p>
    <w:p w14:paraId="0C2E3406" w14:textId="77777777" w:rsidR="0089636E" w:rsidRPr="0002790C" w:rsidRDefault="0089636E" w:rsidP="0089636E">
      <w:pPr>
        <w:pStyle w:val="ListBullet"/>
        <w:spacing w:before="20" w:after="40"/>
        <w:ind w:left="720"/>
        <w:rPr>
          <w:rFonts w:asciiTheme="majorHAnsi" w:hAnsiTheme="majorHAnsi" w:cstheme="majorHAnsi"/>
          <w:sz w:val="19"/>
          <w:szCs w:val="19"/>
        </w:rPr>
      </w:pPr>
    </w:p>
    <w:p w14:paraId="638E7F9A" w14:textId="77777777" w:rsidR="0089636E" w:rsidRPr="0002790C" w:rsidRDefault="0089636E" w:rsidP="0089636E">
      <w:pPr>
        <w:pStyle w:val="ListBullet"/>
        <w:numPr>
          <w:ilvl w:val="1"/>
          <w:numId w:val="12"/>
        </w:numPr>
        <w:spacing w:before="20" w:after="4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 xml:space="preserve">Gravity drainage: Waste and sewer pipes that must slant downward at a strict </w:t>
      </w:r>
      <w:proofErr w:type="gramStart"/>
      <w:r w:rsidRPr="0002790C">
        <w:rPr>
          <w:rFonts w:asciiTheme="majorHAnsi" w:hAnsiTheme="majorHAnsi" w:cstheme="majorHAnsi"/>
          <w:sz w:val="19"/>
          <w:szCs w:val="19"/>
        </w:rPr>
        <w:t>angle</w:t>
      </w:r>
      <w:proofErr w:type="gramEnd"/>
      <w:r w:rsidRPr="0002790C">
        <w:rPr>
          <w:rFonts w:asciiTheme="majorHAnsi" w:hAnsiTheme="majorHAnsi" w:cstheme="majorHAnsi"/>
          <w:sz w:val="19"/>
          <w:szCs w:val="19"/>
        </w:rPr>
        <w:t xml:space="preserve"> so wastewater flows naturally. Because they need a constant slope, you cannot easily bend them around obstacles on-site.</w:t>
      </w:r>
    </w:p>
    <w:p w14:paraId="6CC22457" w14:textId="77777777" w:rsidR="0089636E" w:rsidRPr="0002790C" w:rsidRDefault="0089636E" w:rsidP="0089636E">
      <w:pPr>
        <w:pStyle w:val="ListBullet"/>
        <w:spacing w:before="20" w:after="40"/>
        <w:ind w:left="720"/>
        <w:rPr>
          <w:rFonts w:asciiTheme="majorHAnsi" w:hAnsiTheme="majorHAnsi" w:cstheme="majorHAnsi"/>
          <w:sz w:val="19"/>
          <w:szCs w:val="19"/>
        </w:rPr>
      </w:pPr>
    </w:p>
    <w:p w14:paraId="71C5CD8C" w14:textId="6EF8FEEF" w:rsidR="0089636E" w:rsidRPr="0002790C" w:rsidRDefault="0089636E" w:rsidP="0089636E">
      <w:pPr>
        <w:pStyle w:val="ListBullet"/>
        <w:numPr>
          <w:ilvl w:val="1"/>
          <w:numId w:val="12"/>
        </w:numPr>
        <w:spacing w:before="20" w:after="40"/>
        <w:rPr>
          <w:rFonts w:asciiTheme="majorHAnsi" w:hAnsiTheme="majorHAnsi" w:cstheme="majorHAnsi"/>
          <w:sz w:val="19"/>
          <w:szCs w:val="19"/>
        </w:rPr>
      </w:pPr>
      <w:r w:rsidRPr="0002790C">
        <w:rPr>
          <w:rFonts w:asciiTheme="majorHAnsi" w:hAnsiTheme="majorHAnsi" w:cstheme="majorHAnsi"/>
          <w:sz w:val="19"/>
          <w:szCs w:val="19"/>
        </w:rPr>
        <w:t>HVAC mains: The largest central air ducts and chilled water pipes that heat, cool, and ventilate the building.</w:t>
      </w:r>
    </w:p>
    <w:p w14:paraId="1D9B5611" w14:textId="77777777" w:rsidR="00C200C4" w:rsidRDefault="00D506B9">
      <w:pPr>
        <w:pStyle w:val="ListBullet"/>
        <w:spacing w:before="20" w:after="40"/>
      </w:pPr>
      <w:r w:rsidRPr="0089636E">
        <w:rPr>
          <w:rFonts w:asciiTheme="majorHAnsi" w:hAnsiTheme="majorHAnsi" w:cstheme="majorHAnsi"/>
          <w:b/>
          <w:color w:val="2D3748"/>
          <w:sz w:val="19"/>
        </w:rPr>
        <w:t>Geotechnical Validation:</w:t>
      </w:r>
      <w:r w:rsidRPr="0089636E">
        <w:rPr>
          <w:rFonts w:asciiTheme="majorHAnsi" w:hAnsiTheme="majorHAnsi" w:cstheme="majorHAnsi"/>
          <w:color w:val="2D3748"/>
          <w:sz w:val="19"/>
        </w:rPr>
        <w:t xml:space="preserve"> Bearing capacity and soil stabilization confirmed against</w:t>
      </w:r>
      <w:r>
        <w:rPr>
          <w:rFonts w:ascii="Calibri" w:hAnsi="Calibri"/>
          <w:color w:val="2D3748"/>
          <w:sz w:val="19"/>
        </w:rPr>
        <w:t xml:space="preserve"> foundation structural design parameters.</w:t>
      </w:r>
    </w:p>
    <w:p w14:paraId="6B418B49" w14:textId="246E50D1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Perm</w:t>
      </w:r>
      <w:r>
        <w:rPr>
          <w:rFonts w:ascii="Calibri" w:hAnsi="Calibri"/>
          <w:b/>
          <w:color w:val="2D3748"/>
          <w:sz w:val="19"/>
        </w:rPr>
        <w:t>it Approvals:</w:t>
      </w:r>
      <w:r>
        <w:rPr>
          <w:rFonts w:ascii="Calibri" w:hAnsi="Calibri"/>
          <w:color w:val="2D3748"/>
          <w:sz w:val="19"/>
        </w:rPr>
        <w:t xml:space="preserve"> </w:t>
      </w:r>
      <w:r w:rsidR="0002790C">
        <w:rPr>
          <w:rFonts w:ascii="Calibri" w:hAnsi="Calibri"/>
          <w:color w:val="2D3748"/>
          <w:sz w:val="19"/>
        </w:rPr>
        <w:t>Brangay Clearance</w:t>
      </w:r>
      <w:r>
        <w:rPr>
          <w:rFonts w:ascii="Calibri" w:hAnsi="Calibri"/>
          <w:color w:val="2D3748"/>
          <w:sz w:val="19"/>
        </w:rPr>
        <w:t>, environmental clearance, and city municipal building permits fully acquired.</w:t>
      </w:r>
    </w:p>
    <w:p w14:paraId="4C8969CD" w14:textId="00F5687D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Quality Baseline:</w:t>
      </w:r>
      <w:r w:rsidR="0002790C">
        <w:rPr>
          <w:rFonts w:ascii="Calibri" w:hAnsi="Calibri"/>
          <w:b/>
          <w:color w:val="2D3748"/>
          <w:sz w:val="19"/>
        </w:rPr>
        <w:t xml:space="preserve"> </w:t>
      </w:r>
      <w:r w:rsidR="0002790C" w:rsidRPr="0002790C">
        <w:rPr>
          <w:rFonts w:ascii="Calibri" w:hAnsi="Calibri"/>
          <w:bCs/>
          <w:color w:val="2D3748"/>
          <w:sz w:val="19"/>
        </w:rPr>
        <w:t>Project schedule</w:t>
      </w:r>
      <w:r>
        <w:rPr>
          <w:rFonts w:ascii="Calibri" w:hAnsi="Calibri"/>
          <w:color w:val="2D3748"/>
          <w:sz w:val="19"/>
        </w:rPr>
        <w:t xml:space="preserve">, </w:t>
      </w:r>
      <w:r w:rsidR="0002790C">
        <w:rPr>
          <w:rFonts w:ascii="Calibri" w:hAnsi="Calibri"/>
          <w:color w:val="2D3748"/>
          <w:sz w:val="19"/>
        </w:rPr>
        <w:t xml:space="preserve">3d Construction Methodologies, </w:t>
      </w:r>
      <w:r>
        <w:rPr>
          <w:rFonts w:ascii="Calibri" w:hAnsi="Calibri"/>
          <w:color w:val="2D3748"/>
          <w:sz w:val="19"/>
        </w:rPr>
        <w:t>Material Submittal Schedule (MSS), and Site Safety/Excavation Shoring Plans.</w:t>
      </w:r>
    </w:p>
    <w:p w14:paraId="4EACC818" w14:textId="77777777" w:rsidR="00C200C4" w:rsidRDefault="00D506B9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t>Gate 2: Substructure</w:t>
      </w:r>
      <w:r>
        <w:rPr>
          <w:rFonts w:ascii="Calibri" w:hAnsi="Calibri"/>
          <w:b/>
          <w:color w:val="2B6CB0"/>
          <w:sz w:val="24"/>
        </w:rPr>
        <w:t>, Groundworks &amp; Foundation Release</w:t>
      </w:r>
    </w:p>
    <w:p w14:paraId="55852CC4" w14:textId="738B4820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Pile Integrity &amp; Load Tests:</w:t>
      </w:r>
      <w:r>
        <w:rPr>
          <w:rFonts w:ascii="Calibri" w:hAnsi="Calibri"/>
          <w:color w:val="2D3748"/>
          <w:sz w:val="19"/>
        </w:rPr>
        <w:t xml:space="preserve"> </w:t>
      </w:r>
      <w:r w:rsidR="0002790C">
        <w:rPr>
          <w:rFonts w:ascii="Calibri" w:hAnsi="Calibri"/>
          <w:color w:val="2D3748"/>
          <w:sz w:val="19"/>
        </w:rPr>
        <w:t>Geo Technical Analysis recommended by third party (BIP Steadfast)</w:t>
      </w:r>
    </w:p>
    <w:p w14:paraId="71133231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Sub-Slab Barrier:</w:t>
      </w:r>
      <w:r>
        <w:rPr>
          <w:rFonts w:ascii="Calibri" w:hAnsi="Calibri"/>
          <w:color w:val="2D3748"/>
          <w:sz w:val="19"/>
        </w:rPr>
        <w:t xml:space="preserve"> Continuous blindside waterproofing inspe</w:t>
      </w:r>
      <w:r>
        <w:rPr>
          <w:rFonts w:ascii="Calibri" w:hAnsi="Calibri"/>
          <w:color w:val="2D3748"/>
          <w:sz w:val="19"/>
        </w:rPr>
        <w:t>ction with spark testing / flood testing verified prior to slab casting.</w:t>
      </w:r>
    </w:p>
    <w:p w14:paraId="0AA5EA37" w14:textId="77777777" w:rsidR="0002790C" w:rsidRPr="0002790C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Raft Mass Concreting:</w:t>
      </w:r>
      <w:r>
        <w:rPr>
          <w:rFonts w:ascii="Calibri" w:hAnsi="Calibri"/>
          <w:color w:val="2D3748"/>
          <w:sz w:val="19"/>
        </w:rPr>
        <w:t xml:space="preserve"> Thermal monitoring log for mass concrete pours (maximum core-to-surface temperature differential &lt;= 20°C).</w:t>
      </w:r>
      <w:r w:rsidR="0002790C">
        <w:rPr>
          <w:rFonts w:ascii="Calibri" w:hAnsi="Calibri"/>
          <w:color w:val="2D3748"/>
          <w:sz w:val="19"/>
        </w:rPr>
        <w:t xml:space="preserve"> </w:t>
      </w:r>
    </w:p>
    <w:p w14:paraId="7EC892B0" w14:textId="7DEA0CE2" w:rsidR="0002790C" w:rsidRDefault="0002790C" w:rsidP="0002790C">
      <w:pPr>
        <w:pStyle w:val="ListBullet"/>
        <w:numPr>
          <w:ilvl w:val="0"/>
          <w:numId w:val="13"/>
        </w:numPr>
      </w:pPr>
      <w:r>
        <w:t>Moisture Management (Curing)</w:t>
      </w:r>
    </w:p>
    <w:p w14:paraId="2F489F37" w14:textId="5B0856A6" w:rsidR="0024666B" w:rsidRDefault="0024666B" w:rsidP="0024666B">
      <w:pPr>
        <w:pStyle w:val="ListBullet"/>
        <w:numPr>
          <w:ilvl w:val="0"/>
          <w:numId w:val="14"/>
        </w:numPr>
      </w:pPr>
      <w:r>
        <w:t>Start Immediately: Begin curing as soon as the concrete surface is hard enough to resist damage from the method used (usually right after the bleed water evaporates and final finishing is complete).</w:t>
      </w:r>
    </w:p>
    <w:p w14:paraId="1010D893" w14:textId="77777777" w:rsidR="0024666B" w:rsidRDefault="0024666B" w:rsidP="0024666B">
      <w:pPr>
        <w:pStyle w:val="ListBullet"/>
      </w:pPr>
    </w:p>
    <w:p w14:paraId="71513FD7" w14:textId="77777777" w:rsidR="0024666B" w:rsidRDefault="0024666B" w:rsidP="0024666B">
      <w:pPr>
        <w:pStyle w:val="ListBullet"/>
        <w:numPr>
          <w:ilvl w:val="0"/>
          <w:numId w:val="15"/>
        </w:numPr>
        <w:ind w:left="1440"/>
      </w:pPr>
      <w:r>
        <w:lastRenderedPageBreak/>
        <w:t>Wet Methods: Keep the surface constantly wet using continuous water misting/sprinkling, ponding (for flat slabs), or covering with wet burlap/hessian blankets covered by polyethylene plastic sheeting to prevent evaporation.</w:t>
      </w:r>
    </w:p>
    <w:p w14:paraId="550AFD09" w14:textId="77777777" w:rsidR="0024666B" w:rsidRDefault="0024666B" w:rsidP="0024666B">
      <w:pPr>
        <w:pStyle w:val="ListBullet"/>
        <w:ind w:left="720"/>
      </w:pPr>
    </w:p>
    <w:p w14:paraId="219A2BB2" w14:textId="77777777" w:rsidR="0024666B" w:rsidRDefault="0024666B" w:rsidP="0024666B">
      <w:pPr>
        <w:pStyle w:val="ListBullet"/>
        <w:numPr>
          <w:ilvl w:val="0"/>
          <w:numId w:val="15"/>
        </w:numPr>
        <w:ind w:left="1440"/>
      </w:pPr>
      <w:r>
        <w:t>Chemical Curing Compounds: Spray an approved liquid membrane-forming curing compound that seals moisture inside the slab if wet curing is impractical.</w:t>
      </w:r>
    </w:p>
    <w:p w14:paraId="328B14F2" w14:textId="77777777" w:rsidR="0024666B" w:rsidRDefault="0024666B" w:rsidP="0024666B">
      <w:pPr>
        <w:pStyle w:val="ListBullet"/>
        <w:ind w:left="720"/>
      </w:pPr>
    </w:p>
    <w:p w14:paraId="16FD4519" w14:textId="1CAF541E" w:rsidR="0002790C" w:rsidRDefault="0024666B" w:rsidP="0024666B">
      <w:pPr>
        <w:pStyle w:val="ListBullet"/>
        <w:numPr>
          <w:ilvl w:val="0"/>
          <w:numId w:val="15"/>
        </w:numPr>
        <w:ind w:left="1440"/>
      </w:pPr>
      <w:r>
        <w:t>Duration: Maintain moisture continuously for a minimum of 7 days (or at least 3 days for high-early-strength concrete; 14 days for slow-curing/mass pours).</w:t>
      </w:r>
    </w:p>
    <w:p w14:paraId="28F1D39B" w14:textId="77777777" w:rsidR="0002790C" w:rsidRDefault="0002790C" w:rsidP="0002790C">
      <w:pPr>
        <w:pStyle w:val="ListBullet"/>
        <w:spacing w:before="20" w:after="40"/>
        <w:ind w:left="360"/>
      </w:pPr>
    </w:p>
    <w:p w14:paraId="08797D96" w14:textId="7ED8C2A0" w:rsidR="00C200C4" w:rsidRDefault="0002790C" w:rsidP="0024666B">
      <w:pPr>
        <w:pStyle w:val="ListBullet"/>
        <w:numPr>
          <w:ilvl w:val="0"/>
          <w:numId w:val="13"/>
        </w:numPr>
        <w:spacing w:before="20" w:after="40"/>
      </w:pPr>
      <w:r>
        <w:t>Physical &amp; Load Protection</w:t>
      </w:r>
    </w:p>
    <w:p w14:paraId="5CAF79B9" w14:textId="52DD82F3" w:rsidR="0024666B" w:rsidRDefault="0024666B" w:rsidP="0024666B">
      <w:pPr>
        <w:pStyle w:val="ListBullet"/>
        <w:spacing w:before="20" w:after="40"/>
      </w:pPr>
    </w:p>
    <w:p w14:paraId="24F01E5F" w14:textId="77777777" w:rsidR="0024666B" w:rsidRDefault="0024666B" w:rsidP="0024666B">
      <w:pPr>
        <w:pStyle w:val="ListBullet"/>
        <w:numPr>
          <w:ilvl w:val="0"/>
          <w:numId w:val="16"/>
        </w:numPr>
        <w:spacing w:before="20" w:after="40"/>
      </w:pPr>
      <w:r>
        <w:t>Foot Traffic: Keep all foot traffic off the slab for at least 24 to 48 hours.</w:t>
      </w:r>
    </w:p>
    <w:p w14:paraId="2AC9DF94" w14:textId="77777777" w:rsidR="0024666B" w:rsidRDefault="0024666B" w:rsidP="0024666B">
      <w:pPr>
        <w:pStyle w:val="ListBullet"/>
        <w:spacing w:before="20" w:after="40"/>
        <w:ind w:left="720"/>
      </w:pPr>
    </w:p>
    <w:p w14:paraId="1D930C08" w14:textId="77777777" w:rsidR="0024666B" w:rsidRDefault="0024666B" w:rsidP="0024666B">
      <w:pPr>
        <w:pStyle w:val="ListBullet"/>
        <w:numPr>
          <w:ilvl w:val="0"/>
          <w:numId w:val="16"/>
        </w:numPr>
        <w:spacing w:before="20" w:after="40"/>
      </w:pPr>
      <w:r>
        <w:t>Heavy Equipment &amp; Vehicles: Prohibit construction vehicles, machinery, and concentrated material loads for at least 7 to 28 days (until verified by test cylinder breaks).</w:t>
      </w:r>
    </w:p>
    <w:p w14:paraId="2D414B86" w14:textId="77777777" w:rsidR="0024666B" w:rsidRDefault="0024666B" w:rsidP="0024666B">
      <w:pPr>
        <w:pStyle w:val="ListBullet"/>
        <w:spacing w:before="20" w:after="40"/>
        <w:ind w:left="720"/>
      </w:pPr>
    </w:p>
    <w:p w14:paraId="132752E2" w14:textId="257DBAEA" w:rsidR="0024666B" w:rsidRDefault="0024666B" w:rsidP="0024666B">
      <w:pPr>
        <w:pStyle w:val="ListBullet"/>
        <w:numPr>
          <w:ilvl w:val="0"/>
          <w:numId w:val="16"/>
        </w:numPr>
        <w:spacing w:before="20" w:after="40"/>
      </w:pPr>
      <w:r>
        <w:t>Formwork Striking Times: Do not strip side forms, vertical supports, or reshores prematurely; adhere to structural engineering schedules based on field-cured compressive strength.</w:t>
      </w:r>
    </w:p>
    <w:p w14:paraId="1AB1A3B0" w14:textId="77777777" w:rsidR="0024666B" w:rsidRDefault="0024666B" w:rsidP="0024666B">
      <w:pPr>
        <w:pStyle w:val="ListParagraph"/>
      </w:pPr>
    </w:p>
    <w:p w14:paraId="63785715" w14:textId="0E0A1752" w:rsidR="0024666B" w:rsidRDefault="0024666B" w:rsidP="0024666B">
      <w:pPr>
        <w:pStyle w:val="ListBullet"/>
        <w:numPr>
          <w:ilvl w:val="0"/>
          <w:numId w:val="13"/>
        </w:numPr>
        <w:spacing w:before="20" w:after="40"/>
      </w:pPr>
      <w:r>
        <w:t>Early Contraction Joint Cutting</w:t>
      </w:r>
    </w:p>
    <w:p w14:paraId="641BFF65" w14:textId="0B97A0EC" w:rsidR="0024666B" w:rsidRDefault="0024666B" w:rsidP="0024666B">
      <w:pPr>
        <w:pStyle w:val="NormalWeb"/>
        <w:numPr>
          <w:ilvl w:val="0"/>
          <w:numId w:val="17"/>
        </w:numPr>
        <w:ind w:left="1170" w:hanging="90"/>
      </w:pPr>
      <w:r>
        <w:t xml:space="preserve">Saw-cut control/contraction joints early—typically within </w:t>
      </w:r>
      <w:r>
        <w:rPr>
          <w:b/>
          <w:bCs/>
        </w:rPr>
        <w:t>6 to 18 hours</w:t>
      </w:r>
      <w:r>
        <w:t xml:space="preserve"> after pouring </w:t>
      </w:r>
      <w:r>
        <w:tab/>
      </w:r>
      <w:r>
        <w:t xml:space="preserve">in warm weather (or 12 to 24 hours in cool weather)—before internal shrinkage stresses </w:t>
      </w:r>
      <w:r>
        <w:tab/>
      </w:r>
      <w:r>
        <w:t>create random diagonal cracking.</w:t>
      </w:r>
    </w:p>
    <w:p w14:paraId="42636F44" w14:textId="77777777" w:rsidR="0024666B" w:rsidRDefault="0024666B" w:rsidP="0024666B">
      <w:pPr>
        <w:pStyle w:val="NormalWeb"/>
        <w:numPr>
          <w:ilvl w:val="0"/>
          <w:numId w:val="17"/>
        </w:numPr>
        <w:ind w:left="1170" w:hanging="90"/>
      </w:pPr>
      <w:r>
        <w:t xml:space="preserve">Cut joints to a depth of </w:t>
      </w:r>
      <w:r>
        <w:rPr>
          <w:b/>
          <w:bCs/>
        </w:rPr>
        <w:t>1/4 the slab thickness</w:t>
      </w:r>
      <w:r>
        <w:t>.</w:t>
      </w:r>
    </w:p>
    <w:p w14:paraId="325B5BAE" w14:textId="6F08DF17" w:rsidR="0024666B" w:rsidRPr="0024666B" w:rsidRDefault="0024666B" w:rsidP="0024666B">
      <w:pPr>
        <w:pStyle w:val="NormalWeb"/>
        <w:ind w:left="1170" w:hanging="1350"/>
      </w:pPr>
      <w:r w:rsidRPr="0024666B">
        <w:rPr>
          <w:b/>
          <w:bCs/>
        </w:rPr>
        <w:t>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5339"/>
        <w:gridCol w:w="3334"/>
      </w:tblGrid>
      <w:tr w:rsidR="0024666B" w:rsidRPr="0024666B" w14:paraId="2E915A24" w14:textId="77777777" w:rsidTr="0024666B">
        <w:trPr>
          <w:trHeight w:hRule="exact" w:val="73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8FFF1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FC9AC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Action</w:t>
            </w:r>
          </w:p>
        </w:tc>
        <w:tc>
          <w:tcPr>
            <w:tcW w:w="32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88E8C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Minimum Timeframe</w:t>
            </w:r>
          </w:p>
        </w:tc>
      </w:tr>
      <w:tr w:rsidR="0024666B" w:rsidRPr="0024666B" w14:paraId="66008349" w14:textId="77777777" w:rsidTr="0024666B">
        <w:trPr>
          <w:trHeight w:hRule="exact" w:val="67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BE348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Immediate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1095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sz w:val="24"/>
                <w:szCs w:val="24"/>
              </w:rPr>
              <w:t>Apply water mist, wet burlap, or curing compound</w:t>
            </w:r>
          </w:p>
        </w:tc>
        <w:tc>
          <w:tcPr>
            <w:tcW w:w="32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7EC49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sz w:val="24"/>
                <w:szCs w:val="24"/>
              </w:rPr>
              <w:t>Hour 0 – Day 7</w:t>
            </w:r>
          </w:p>
        </w:tc>
      </w:tr>
      <w:tr w:rsidR="0024666B" w:rsidRPr="0024666B" w14:paraId="268E85AE" w14:textId="77777777" w:rsidTr="0024666B">
        <w:trPr>
          <w:trHeight w:hRule="exact" w:val="73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96E66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D0198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sz w:val="24"/>
                <w:szCs w:val="24"/>
              </w:rPr>
              <w:t>Saw-cut control joints</w:t>
            </w:r>
          </w:p>
        </w:tc>
        <w:tc>
          <w:tcPr>
            <w:tcW w:w="32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2E315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sz w:val="24"/>
                <w:szCs w:val="24"/>
              </w:rPr>
              <w:t>6 – 18 Hours</w:t>
            </w:r>
          </w:p>
        </w:tc>
      </w:tr>
      <w:tr w:rsidR="0024666B" w:rsidRPr="0024666B" w14:paraId="78D816A5" w14:textId="77777777" w:rsidTr="0024666B">
        <w:trPr>
          <w:trHeight w:hRule="exact" w:val="51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B3103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20E5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sz w:val="24"/>
                <w:szCs w:val="24"/>
              </w:rPr>
              <w:t>Restrict all personnel foot traffic</w:t>
            </w:r>
          </w:p>
        </w:tc>
        <w:tc>
          <w:tcPr>
            <w:tcW w:w="32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EE51B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sz w:val="24"/>
                <w:szCs w:val="24"/>
              </w:rPr>
              <w:t>24 – 48 Hours</w:t>
            </w:r>
          </w:p>
        </w:tc>
      </w:tr>
      <w:tr w:rsidR="0024666B" w:rsidRPr="0024666B" w14:paraId="4E286A01" w14:textId="77777777" w:rsidTr="0024666B">
        <w:trPr>
          <w:trHeight w:val="53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9AFFB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E35C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sz w:val="24"/>
                <w:szCs w:val="24"/>
              </w:rPr>
              <w:t>Keep heavy vehicles and construction materials off</w:t>
            </w:r>
          </w:p>
        </w:tc>
        <w:tc>
          <w:tcPr>
            <w:tcW w:w="32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F1C95" w14:textId="77777777" w:rsidR="0024666B" w:rsidRPr="0024666B" w:rsidRDefault="0024666B" w:rsidP="00246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666B">
              <w:rPr>
                <w:rFonts w:ascii="Times New Roman" w:eastAsia="Times New Roman" w:hAnsi="Times New Roman" w:cs="Times New Roman"/>
                <w:sz w:val="24"/>
                <w:szCs w:val="24"/>
              </w:rPr>
              <w:t>7 – 28 Days</w:t>
            </w:r>
          </w:p>
        </w:tc>
      </w:tr>
    </w:tbl>
    <w:p w14:paraId="37D399AB" w14:textId="062089E4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lastRenderedPageBreak/>
        <w:t>Deliverables:</w:t>
      </w:r>
      <w:r>
        <w:rPr>
          <w:rFonts w:ascii="Calibri" w:hAnsi="Calibri"/>
          <w:color w:val="2D3748"/>
          <w:sz w:val="19"/>
        </w:rPr>
        <w:t xml:space="preserve"> Concrete plant calibration certs, 7/28-day break logs, surveyor coordinate map, and ground resistance (&lt;= 5 Ohms)</w:t>
      </w:r>
      <w:r w:rsidR="0024666B">
        <w:rPr>
          <w:rFonts w:ascii="Calibri" w:hAnsi="Calibri"/>
          <w:color w:val="2D3748"/>
          <w:sz w:val="19"/>
        </w:rPr>
        <w:t>, Certificate from supplier.</w:t>
      </w:r>
    </w:p>
    <w:p w14:paraId="4BBAF51C" w14:textId="77777777" w:rsidR="00C200C4" w:rsidRDefault="00D506B9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t>Gate 3: Superstruct</w:t>
      </w:r>
      <w:r>
        <w:rPr>
          <w:rFonts w:ascii="Calibri" w:hAnsi="Calibri"/>
          <w:b/>
          <w:color w:val="2B6CB0"/>
          <w:sz w:val="24"/>
        </w:rPr>
        <w:t>ure Framing &amp; Building Envelope Integrity</w:t>
      </w:r>
    </w:p>
    <w:p w14:paraId="5E5A11A8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Framing &amp; Tolerances:</w:t>
      </w:r>
      <w:r>
        <w:rPr>
          <w:rFonts w:ascii="Calibri" w:hAnsi="Calibri"/>
          <w:color w:val="2D3748"/>
          <w:sz w:val="19"/>
        </w:rPr>
        <w:t xml:space="preserve"> Laser scanning for slab deflection and verticality of columns/cores within ACI 117 / BS 5606 tolerances.</w:t>
      </w:r>
    </w:p>
    <w:p w14:paraId="406435BE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Envelope Field Tests:</w:t>
      </w:r>
      <w:r>
        <w:rPr>
          <w:rFonts w:ascii="Calibri" w:hAnsi="Calibri"/>
          <w:color w:val="2D3748"/>
          <w:sz w:val="19"/>
        </w:rPr>
        <w:t xml:space="preserve"> AAMA 501.2 hose testing and ASTM E1105 field water penetration te</w:t>
      </w:r>
      <w:r>
        <w:rPr>
          <w:rFonts w:ascii="Calibri" w:hAnsi="Calibri"/>
          <w:color w:val="2D3748"/>
          <w:sz w:val="19"/>
        </w:rPr>
        <w:t>sting for unitized curtain wall assemblies.</w:t>
      </w:r>
    </w:p>
    <w:p w14:paraId="5F6EA073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Roof Waterproofing:</w:t>
      </w:r>
      <w:r>
        <w:rPr>
          <w:rFonts w:ascii="Calibri" w:hAnsi="Calibri"/>
          <w:color w:val="2D3748"/>
          <w:sz w:val="19"/>
        </w:rPr>
        <w:t xml:space="preserve"> 48-hour hydrostatic flood test or electronic vector mapping (EVM) for green roofs and podium slabs.</w:t>
      </w:r>
    </w:p>
    <w:p w14:paraId="320E413B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Structural Sign-Off:</w:t>
      </w:r>
      <w:r>
        <w:rPr>
          <w:rFonts w:ascii="Calibri" w:hAnsi="Calibri"/>
          <w:color w:val="2D3748"/>
          <w:sz w:val="19"/>
        </w:rPr>
        <w:t xml:space="preserve"> Concrete cylinder compressive logs (28-day), NDT steel weld testing, and facade anchor pull-out test reports.</w:t>
      </w:r>
    </w:p>
    <w:p w14:paraId="67E94C06" w14:textId="77777777" w:rsidR="00C200C4" w:rsidRDefault="00D506B9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t>Gate 4: MEP Rough-in, Li</w:t>
      </w:r>
      <w:r>
        <w:rPr>
          <w:rFonts w:ascii="Calibri" w:hAnsi="Calibri"/>
          <w:b/>
          <w:color w:val="2B6CB0"/>
          <w:sz w:val="24"/>
        </w:rPr>
        <w:t>fe Safety &amp; Architectural Fit-Out</w:t>
      </w:r>
    </w:p>
    <w:p w14:paraId="7C1668FA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Pressure &amp; Containment:</w:t>
      </w:r>
      <w:r>
        <w:rPr>
          <w:rFonts w:ascii="Calibri" w:hAnsi="Calibri"/>
          <w:color w:val="2D3748"/>
          <w:sz w:val="19"/>
        </w:rPr>
        <w:t xml:space="preserve"> Hydrostatic pressure testing of chilled water, domestic water, and sprinkler piping held at 150 psi for 24h with zero loss.</w:t>
      </w:r>
    </w:p>
    <w:p w14:paraId="02C6471E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Firestopping Certification:</w:t>
      </w:r>
      <w:r>
        <w:rPr>
          <w:rFonts w:ascii="Calibri" w:hAnsi="Calibri"/>
          <w:color w:val="2D3748"/>
          <w:sz w:val="19"/>
        </w:rPr>
        <w:t xml:space="preserve"> 100% visual and destructive audit of UL-listed</w:t>
      </w:r>
      <w:r>
        <w:rPr>
          <w:rFonts w:ascii="Calibri" w:hAnsi="Calibri"/>
          <w:color w:val="2D3748"/>
          <w:sz w:val="19"/>
        </w:rPr>
        <w:t xml:space="preserve"> firestop penetration seals across floor/wall fire separations.</w:t>
      </w:r>
    </w:p>
    <w:p w14:paraId="0BA30CF6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First-Off Mockups:</w:t>
      </w:r>
      <w:r>
        <w:rPr>
          <w:rFonts w:ascii="Calibri" w:hAnsi="Calibri"/>
          <w:color w:val="2D3748"/>
          <w:sz w:val="19"/>
        </w:rPr>
        <w:t xml:space="preserve"> Approved benchmark mockups for drywall finishes, tiling, joinery, and sanitary fixtures establishing tolerance baselines.</w:t>
      </w:r>
    </w:p>
    <w:p w14:paraId="093502A7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Above-Ceiling Sign-Off:</w:t>
      </w:r>
      <w:r>
        <w:rPr>
          <w:rFonts w:ascii="Calibri" w:hAnsi="Calibri"/>
          <w:color w:val="2D3748"/>
          <w:sz w:val="19"/>
        </w:rPr>
        <w:t xml:space="preserve"> Formal multi-disciplinary s</w:t>
      </w:r>
      <w:r>
        <w:rPr>
          <w:rFonts w:ascii="Calibri" w:hAnsi="Calibri"/>
          <w:color w:val="2D3748"/>
          <w:sz w:val="19"/>
        </w:rPr>
        <w:t>ign-off (HVAC, Electrical, Plumbing, Fire Alarm) prior to closing drywall ceilings.</w:t>
      </w:r>
    </w:p>
    <w:p w14:paraId="51B37D80" w14:textId="77777777" w:rsidR="00C200C4" w:rsidRDefault="00D506B9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t>Gate 5: Integrated Commissioning, Handover &amp; Practical Completion</w:t>
      </w:r>
    </w:p>
    <w:p w14:paraId="6DE274F6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Black Building Test:</w:t>
      </w:r>
      <w:r>
        <w:rPr>
          <w:rFonts w:ascii="Calibri" w:hAnsi="Calibri"/>
          <w:color w:val="2D3748"/>
          <w:sz w:val="19"/>
        </w:rPr>
        <w:t xml:space="preserve"> Total main utility power disconnection to prove emergency generator start, ATS transf</w:t>
      </w:r>
      <w:r>
        <w:rPr>
          <w:rFonts w:ascii="Calibri" w:hAnsi="Calibri"/>
          <w:color w:val="2D3748"/>
          <w:sz w:val="19"/>
        </w:rPr>
        <w:t>er, and life-safety operation &lt;= 10s.</w:t>
      </w:r>
    </w:p>
    <w:p w14:paraId="23ADF608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HVAC TAB Balancing:</w:t>
      </w:r>
      <w:r>
        <w:rPr>
          <w:rFonts w:ascii="Calibri" w:hAnsi="Calibri"/>
          <w:color w:val="2D3748"/>
          <w:sz w:val="19"/>
        </w:rPr>
        <w:t xml:space="preserve"> Airflow balance report, chilled water flow balancing, thermal comfort audit, and IAQ verification.</w:t>
      </w:r>
    </w:p>
    <w:p w14:paraId="63C463B3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Statutory Sign-Off:</w:t>
      </w:r>
      <w:r>
        <w:rPr>
          <w:rFonts w:ascii="Calibri" w:hAnsi="Calibri"/>
          <w:color w:val="2D3748"/>
          <w:sz w:val="19"/>
        </w:rPr>
        <w:t xml:space="preserve"> Civil Defense smoke extraction, stair pressurization, and emergency voice alarm</w:t>
      </w:r>
      <w:r>
        <w:rPr>
          <w:rFonts w:ascii="Calibri" w:hAnsi="Calibri"/>
          <w:color w:val="2D3748"/>
          <w:sz w:val="19"/>
        </w:rPr>
        <w:t xml:space="preserve"> communication (EVAC) sign-off.</w:t>
      </w:r>
    </w:p>
    <w:p w14:paraId="0031BF38" w14:textId="77777777" w:rsidR="00C200C4" w:rsidRDefault="00D506B9">
      <w:pPr>
        <w:pStyle w:val="ListBullet"/>
        <w:spacing w:before="20" w:after="40"/>
      </w:pPr>
      <w:r>
        <w:rPr>
          <w:rFonts w:ascii="Calibri" w:hAnsi="Calibri"/>
          <w:b/>
          <w:color w:val="2D3748"/>
          <w:sz w:val="19"/>
        </w:rPr>
        <w:t>Closeout Assets:</w:t>
      </w:r>
      <w:r>
        <w:rPr>
          <w:rFonts w:ascii="Calibri" w:hAnsi="Calibri"/>
          <w:color w:val="2D3748"/>
          <w:sz w:val="19"/>
        </w:rPr>
        <w:t xml:space="preserve"> Final Certificate of Occupancy (C of O), As-Built BIM LOD 500 / COBie data, and O&amp;M warranty dossiers.</w:t>
      </w:r>
    </w:p>
    <w:p w14:paraId="0F817E1F" w14:textId="77777777" w:rsidR="00C200C4" w:rsidRDefault="00C200C4">
      <w:pPr>
        <w:spacing w:after="120"/>
      </w:pPr>
    </w:p>
    <w:p w14:paraId="75D01645" w14:textId="77777777" w:rsidR="00C200C4" w:rsidRDefault="00D506B9"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4. Non-Conformance (NCR) &amp; Escalation Hierarchy</w:t>
      </w:r>
    </w:p>
    <w:tbl>
      <w:tblPr>
        <w:tblW w:w="0" w:type="auto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00C4" w14:paraId="09BA129C" w14:textId="77777777">
        <w:tc>
          <w:tcPr>
            <w:tcW w:w="2484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4750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Severity Class</w:t>
            </w:r>
          </w:p>
        </w:tc>
        <w:tc>
          <w:tcPr>
            <w:tcW w:w="2484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A9D7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Definition &amp; Construction Examples</w:t>
            </w:r>
          </w:p>
        </w:tc>
        <w:tc>
          <w:tcPr>
            <w:tcW w:w="2484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9EE2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Resol</w:t>
            </w:r>
            <w:r>
              <w:rPr>
                <w:rFonts w:ascii="Calibri" w:hAnsi="Calibri"/>
                <w:b/>
                <w:color w:val="FFFFFF"/>
                <w:sz w:val="17"/>
              </w:rPr>
              <w:t>ution Window</w:t>
            </w:r>
          </w:p>
        </w:tc>
        <w:tc>
          <w:tcPr>
            <w:tcW w:w="2484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0EA9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Gating Impact</w:t>
            </w:r>
          </w:p>
        </w:tc>
      </w:tr>
      <w:tr w:rsidR="00C200C4" w14:paraId="0ED38787" w14:textId="77777777"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89A67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Category 1 (Critical)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83B72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Structural deficiency, fire-life-safety non-compliance, failed load test, foundation compromise.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D5449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Immediate Stop-Work; Plan in 48h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7667B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Immediate Hard Stop / Gate Denied</w:t>
            </w:r>
          </w:p>
        </w:tc>
      </w:tr>
      <w:tr w:rsidR="00C200C4" w14:paraId="1B813B3E" w14:textId="77777777"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30FD8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Category 2 (Major)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3CE72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Waterproofing failure, MEP pressure loss, unapproved material substitution, out-of-tolerance facade.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3EAB8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7 Business Days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05F9F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No Gate Clearance until rectified</w:t>
            </w:r>
          </w:p>
        </w:tc>
      </w:tr>
      <w:tr w:rsidR="00C200C4" w14:paraId="7F0C2849" w14:textId="77777777"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A8341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Category 3 (Minor)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A2443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 xml:space="preserve">Surface finish imperfections, paint blemishes, missing labels, minor </w:t>
            </w:r>
            <w:r>
              <w:rPr>
                <w:rFonts w:ascii="Calibri" w:hAnsi="Calibri"/>
                <w:color w:val="2D3748"/>
                <w:sz w:val="16"/>
              </w:rPr>
              <w:t>alignment flaws.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DFB66" w14:textId="10EFC75A" w:rsidR="00C200C4" w:rsidRDefault="0024666B">
            <w:r>
              <w:rPr>
                <w:rFonts w:ascii="Calibri" w:hAnsi="Calibri"/>
                <w:color w:val="2D3748"/>
                <w:sz w:val="16"/>
              </w:rPr>
              <w:t>7</w:t>
            </w:r>
            <w:r w:rsidR="00D506B9">
              <w:rPr>
                <w:rFonts w:ascii="Calibri" w:hAnsi="Calibri"/>
                <w:color w:val="2D3748"/>
                <w:sz w:val="16"/>
              </w:rPr>
              <w:t xml:space="preserve"> Business Days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268D3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Conditional Pass permitted (Snag list)</w:t>
            </w:r>
          </w:p>
        </w:tc>
      </w:tr>
    </w:tbl>
    <w:p w14:paraId="10727D39" w14:textId="77777777" w:rsidR="00C200C4" w:rsidRDefault="00C200C4">
      <w:pPr>
        <w:spacing w:after="120"/>
      </w:pPr>
    </w:p>
    <w:p w14:paraId="133A9B33" w14:textId="77777777" w:rsidR="00C200C4" w:rsidRDefault="00D506B9"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5. Quality Gate Approval &amp; Certification Workflow</w:t>
      </w:r>
    </w:p>
    <w:p w14:paraId="4A609C70" w14:textId="0C107E7B" w:rsidR="00C200C4" w:rsidRDefault="00D506B9">
      <w:pPr>
        <w:spacing w:after="120"/>
      </w:pPr>
      <w:r>
        <w:rPr>
          <w:rFonts w:ascii="Calibri" w:hAnsi="Calibri"/>
          <w:color w:val="2D3748"/>
          <w:sz w:val="19"/>
        </w:rPr>
        <w:t>A Gate Review Meeting is convened at least 1</w:t>
      </w:r>
      <w:r w:rsidR="00F252BF">
        <w:rPr>
          <w:rFonts w:ascii="Calibri" w:hAnsi="Calibri"/>
          <w:color w:val="2D3748"/>
          <w:sz w:val="19"/>
        </w:rPr>
        <w:t>5</w:t>
      </w:r>
      <w:r>
        <w:rPr>
          <w:rFonts w:ascii="Calibri" w:hAnsi="Calibri"/>
          <w:color w:val="2D3748"/>
          <w:sz w:val="19"/>
        </w:rPr>
        <w:t xml:space="preserve"> working days prior to target phase completion. The Project Quality Manager </w:t>
      </w:r>
      <w:r>
        <w:rPr>
          <w:rFonts w:ascii="Calibri" w:hAnsi="Calibri"/>
          <w:color w:val="2D3748"/>
          <w:sz w:val="19"/>
        </w:rPr>
        <w:t>presents the Gate Review Dossier containing all ITP inspection records, lab test reports, as-built redlines, and third-party certifications. Sign-off requires unanimous assent from the voting committee:</w:t>
      </w:r>
    </w:p>
    <w:tbl>
      <w:tblPr>
        <w:tblW w:w="0" w:type="auto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00C4" w14:paraId="16D952FF" w14:textId="77777777">
        <w:tc>
          <w:tcPr>
            <w:tcW w:w="2484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5544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Stakeholder Role</w:t>
            </w:r>
          </w:p>
        </w:tc>
        <w:tc>
          <w:tcPr>
            <w:tcW w:w="2484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1713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Mandate &amp; Review Responsibility</w:t>
            </w:r>
          </w:p>
        </w:tc>
        <w:tc>
          <w:tcPr>
            <w:tcW w:w="2484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1A08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Auth</w:t>
            </w:r>
            <w:r>
              <w:rPr>
                <w:rFonts w:ascii="Calibri" w:hAnsi="Calibri"/>
                <w:b/>
                <w:color w:val="FFFFFF"/>
                <w:sz w:val="17"/>
              </w:rPr>
              <w:t>ority Type</w:t>
            </w:r>
          </w:p>
        </w:tc>
        <w:tc>
          <w:tcPr>
            <w:tcW w:w="2484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76E90" w14:textId="77777777" w:rsidR="00C200C4" w:rsidRDefault="00D506B9">
            <w:r>
              <w:rPr>
                <w:rFonts w:ascii="Calibri" w:hAnsi="Calibri"/>
                <w:b/>
                <w:color w:val="FFFFFF"/>
                <w:sz w:val="17"/>
              </w:rPr>
              <w:t>Sign-Off / Date</w:t>
            </w:r>
          </w:p>
        </w:tc>
      </w:tr>
      <w:tr w:rsidR="00C200C4" w14:paraId="60327789" w14:textId="77777777"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1BB75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Client Representative / PM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14189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Commercial alignment, schedule viability, and operational acceptance.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BE9EF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Voting Chair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A1C0A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[  ] Approved   ___/___/20__</w:t>
            </w:r>
          </w:p>
        </w:tc>
      </w:tr>
      <w:tr w:rsidR="00C200C4" w14:paraId="5D1D853E" w14:textId="77777777"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09CB0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Principal Structural / MEP Consultant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7BE36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 xml:space="preserve">Technical specification compliance, code </w:t>
            </w:r>
            <w:r>
              <w:rPr>
                <w:rFonts w:ascii="Calibri" w:hAnsi="Calibri"/>
                <w:color w:val="2D3748"/>
                <w:sz w:val="16"/>
              </w:rPr>
              <w:t>adherence, and design intent.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9193F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Technical Sign-Off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A7AFF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[  ] Approved   ___/___/20__</w:t>
            </w:r>
          </w:p>
        </w:tc>
      </w:tr>
      <w:tr w:rsidR="00C200C4" w14:paraId="4EC7D3E8" w14:textId="77777777"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D780F" w14:textId="7663ECE0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 xml:space="preserve">QA/QC </w:t>
            </w:r>
            <w:r w:rsidR="00F252BF">
              <w:rPr>
                <w:rFonts w:ascii="Calibri" w:hAnsi="Calibri"/>
                <w:b/>
                <w:color w:val="2D3748"/>
                <w:sz w:val="16"/>
              </w:rPr>
              <w:t>Manager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3BDCD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Subcontractor quality auditing, NCR closeout, and inspection dossier completeness.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53FF5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Executing Sign-Off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375B6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[  ] Approved   ___/___/20__</w:t>
            </w:r>
          </w:p>
        </w:tc>
      </w:tr>
      <w:tr w:rsidR="00C200C4" w14:paraId="58287392" w14:textId="77777777"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950CF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Independent CxA / Auditor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DF3C2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Special inspections, non-destructive testing, and building commissioning validation.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D3C29" w14:textId="77777777" w:rsidR="00C200C4" w:rsidRDefault="00D506B9">
            <w:r>
              <w:rPr>
                <w:rFonts w:ascii="Calibri" w:hAnsi="Calibri"/>
                <w:color w:val="2D3748"/>
                <w:sz w:val="16"/>
              </w:rPr>
              <w:t>Advisory &amp; Audit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9ACD6" w14:textId="77777777" w:rsidR="00C200C4" w:rsidRDefault="00D506B9">
            <w:r>
              <w:rPr>
                <w:rFonts w:ascii="Calibri" w:hAnsi="Calibri"/>
                <w:b/>
                <w:color w:val="2D3748"/>
                <w:sz w:val="16"/>
              </w:rPr>
              <w:t>[  ] Approved   ___/___/20__</w:t>
            </w:r>
          </w:p>
        </w:tc>
      </w:tr>
    </w:tbl>
    <w:p w14:paraId="22E67C30" w14:textId="77777777" w:rsidR="00D506B9" w:rsidRDefault="00D506B9"/>
    <w:sectPr w:rsidR="00D506B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26F12DB"/>
    <w:multiLevelType w:val="hybridMultilevel"/>
    <w:tmpl w:val="0A2486D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3647EA"/>
    <w:multiLevelType w:val="hybridMultilevel"/>
    <w:tmpl w:val="0B7CF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11179"/>
    <w:multiLevelType w:val="hybridMultilevel"/>
    <w:tmpl w:val="F872DC2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C103A50"/>
    <w:multiLevelType w:val="hybridMultilevel"/>
    <w:tmpl w:val="AFF84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232CB"/>
    <w:multiLevelType w:val="hybridMultilevel"/>
    <w:tmpl w:val="E95E37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D95EC1"/>
    <w:multiLevelType w:val="hybridMultilevel"/>
    <w:tmpl w:val="9386252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78E0F3F"/>
    <w:multiLevelType w:val="hybridMultilevel"/>
    <w:tmpl w:val="259AED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B960055"/>
    <w:multiLevelType w:val="hybridMultilevel"/>
    <w:tmpl w:val="B2BEA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10"/>
  </w:num>
  <w:num w:numId="13">
    <w:abstractNumId w:val="13"/>
  </w:num>
  <w:num w:numId="14">
    <w:abstractNumId w:val="15"/>
  </w:num>
  <w:num w:numId="15">
    <w:abstractNumId w:val="11"/>
  </w:num>
  <w:num w:numId="16">
    <w:abstractNumId w:val="9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90C"/>
    <w:rsid w:val="00034616"/>
    <w:rsid w:val="0006063C"/>
    <w:rsid w:val="0015074B"/>
    <w:rsid w:val="0024666B"/>
    <w:rsid w:val="0029639D"/>
    <w:rsid w:val="00296BD2"/>
    <w:rsid w:val="00326F90"/>
    <w:rsid w:val="007417FB"/>
    <w:rsid w:val="0089636E"/>
    <w:rsid w:val="00AA1D8D"/>
    <w:rsid w:val="00B47730"/>
    <w:rsid w:val="00C200C4"/>
    <w:rsid w:val="00CB0664"/>
    <w:rsid w:val="00D506B9"/>
    <w:rsid w:val="00F02559"/>
    <w:rsid w:val="00F252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B33D7"/>
  <w14:defaultImageDpi w14:val="300"/>
  <w15:docId w15:val="{241426A5-FF44-4FB9-9A26-00C713EF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4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3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virtron bumal-o</cp:lastModifiedBy>
  <cp:revision>4</cp:revision>
  <dcterms:created xsi:type="dcterms:W3CDTF">2013-12-23T23:15:00Z</dcterms:created>
  <dcterms:modified xsi:type="dcterms:W3CDTF">2026-08-27T06:09:00Z</dcterms:modified>
  <cp:category/>
</cp:coreProperties>
</file>