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605"/>
      </w:tblGrid>
      <w:tr w:rsidR="00F94BDA" w14:paraId="390244B4" w14:textId="77777777">
        <w:trPr>
          <w:jc w:val="center"/>
        </w:trPr>
        <w:tc>
          <w:tcPr>
            <w:tcW w:w="9605" w:type="dxa"/>
            <w:shd w:val="clear" w:color="auto" w:fill="182B49"/>
            <w:tcMar>
              <w:top w:w="200" w:type="dxa"/>
              <w:left w:w="200" w:type="dxa"/>
              <w:bottom w:w="200" w:type="dxa"/>
              <w:right w:w="200" w:type="dxa"/>
            </w:tcMar>
          </w:tcPr>
          <w:p w14:paraId="77E38C39" w14:textId="77777777" w:rsidR="00F94BDA" w:rsidRDefault="00735555">
            <w:r>
              <w:rPr>
                <w:rFonts w:ascii="Calibri" w:hAnsi="Calibri"/>
                <w:b/>
                <w:color w:val="FFFFFF"/>
                <w:sz w:val="40"/>
              </w:rPr>
              <w:t>CONSTRUCTION QA/QC GOVERNANCE FRAMEWORK</w:t>
            </w:r>
          </w:p>
          <w:p w14:paraId="6F876A34" w14:textId="77777777" w:rsidR="00F94BDA" w:rsidRDefault="00735555">
            <w:pPr>
              <w:spacing w:before="80"/>
            </w:pPr>
            <w:r>
              <w:rPr>
                <w:rFonts w:ascii="Calibri" w:hAnsi="Calibri"/>
                <w:i/>
                <w:color w:val="D2E1F0"/>
              </w:rPr>
              <w:t>Quality Management System, Organizational Structure, Control Gates &amp; Compliance Protocols</w:t>
            </w:r>
          </w:p>
        </w:tc>
      </w:tr>
    </w:tbl>
    <w:p w14:paraId="271271F4" w14:textId="77777777" w:rsidR="00F94BDA" w:rsidRDefault="00735555">
      <w:pPr>
        <w:keepNext/>
        <w:spacing w:before="320" w:after="120"/>
      </w:pPr>
      <w:r>
        <w:rPr>
          <w:rFonts w:ascii="Calibri" w:hAnsi="Calibri"/>
          <w:b/>
          <w:color w:val="182B49"/>
          <w:sz w:val="28"/>
        </w:rPr>
        <w:t>1. Executive Overview &amp; Purpose</w:t>
      </w:r>
    </w:p>
    <w:p w14:paraId="09AA58D6" w14:textId="77777777" w:rsidR="00F94BDA" w:rsidRDefault="00735555">
      <w:pPr>
        <w:spacing w:after="80"/>
      </w:pPr>
      <w:r>
        <w:rPr>
          <w:rFonts w:ascii="Calibri" w:hAnsi="Calibri"/>
          <w:color w:val="2C3E50"/>
          <w:sz w:val="20"/>
        </w:rPr>
        <w:t xml:space="preserve">This Quality Assurance and Quality Control (QA/QC) Governance Framework </w:t>
      </w:r>
      <w:r>
        <w:rPr>
          <w:rFonts w:ascii="Calibri" w:hAnsi="Calibri"/>
          <w:color w:val="2C3E50"/>
          <w:sz w:val="20"/>
        </w:rPr>
        <w:t>establishes the organizational structure, authority hierarchy, operational inspection protocols, and reporting mechanisms required across all project phases. The objective is to deliver built assets that strictly conform to approved designs, specifications</w:t>
      </w:r>
      <w:r>
        <w:rPr>
          <w:rFonts w:ascii="Calibri" w:hAnsi="Calibri"/>
          <w:color w:val="2C3E50"/>
          <w:sz w:val="20"/>
        </w:rPr>
        <w:t>, industry standards (ISO 9001:2015, ASTM, ACI, BS/EN), and statutory safety codes while minimizing rework and lifecycle operating costs.</w:t>
      </w:r>
    </w:p>
    <w:p w14:paraId="671ED03F" w14:textId="77777777" w:rsidR="00F94BDA" w:rsidRDefault="00735555">
      <w:pPr>
        <w:keepNext/>
        <w:spacing w:before="320" w:after="120"/>
      </w:pPr>
      <w:r>
        <w:rPr>
          <w:rFonts w:ascii="Calibri" w:hAnsi="Calibri"/>
          <w:b/>
          <w:color w:val="182B49"/>
          <w:sz w:val="28"/>
        </w:rPr>
        <w:t>2. Core Distinction: QA vs. QC</w:t>
      </w:r>
    </w:p>
    <w:p w14:paraId="2427FE2B" w14:textId="77777777" w:rsidR="00F94BDA" w:rsidRDefault="00735555">
      <w:pPr>
        <w:spacing w:after="80"/>
      </w:pPr>
      <w:r>
        <w:rPr>
          <w:rFonts w:ascii="Calibri" w:hAnsi="Calibri"/>
          <w:color w:val="2C3E50"/>
          <w:sz w:val="20"/>
        </w:rPr>
        <w:t>A fundamental requirement of construction quality governance is maintaining a clear ope</w:t>
      </w:r>
      <w:r>
        <w:rPr>
          <w:rFonts w:ascii="Calibri" w:hAnsi="Calibri"/>
          <w:color w:val="2C3E50"/>
          <w:sz w:val="20"/>
        </w:rPr>
        <w:t>rational separation between Quality Assurance (preventative processes) and Quality Control (execution inspection).</w:t>
      </w:r>
    </w:p>
    <w:tbl>
      <w:tblPr>
        <w:tblW w:w="0" w:type="auto"/>
        <w:jc w:val="center"/>
        <w:tblLayout w:type="fixed"/>
        <w:tblLook w:val="04A0" w:firstRow="1" w:lastRow="0" w:firstColumn="1" w:lastColumn="0" w:noHBand="0" w:noVBand="1"/>
      </w:tblPr>
      <w:tblGrid>
        <w:gridCol w:w="2592"/>
        <w:gridCol w:w="3456"/>
        <w:gridCol w:w="3456"/>
      </w:tblGrid>
      <w:tr w:rsidR="00F94BDA" w14:paraId="114CA416" w14:textId="77777777">
        <w:trPr>
          <w:jc w:val="center"/>
        </w:trPr>
        <w:tc>
          <w:tcPr>
            <w:tcW w:w="2592" w:type="dxa"/>
            <w:shd w:val="clear" w:color="auto" w:fill="182B49"/>
            <w:tcMar>
              <w:top w:w="120" w:type="dxa"/>
              <w:left w:w="140" w:type="dxa"/>
              <w:bottom w:w="120" w:type="dxa"/>
              <w:right w:w="140" w:type="dxa"/>
            </w:tcMar>
          </w:tcPr>
          <w:p w14:paraId="2D4E8613" w14:textId="77777777" w:rsidR="00F94BDA" w:rsidRDefault="00735555">
            <w:r>
              <w:rPr>
                <w:rFonts w:ascii="Calibri" w:hAnsi="Calibri"/>
                <w:b/>
                <w:color w:val="FFFFFF"/>
                <w:sz w:val="20"/>
              </w:rPr>
              <w:t>Governance Dimension</w:t>
            </w:r>
          </w:p>
        </w:tc>
        <w:tc>
          <w:tcPr>
            <w:tcW w:w="3456" w:type="dxa"/>
            <w:shd w:val="clear" w:color="auto" w:fill="182B49"/>
            <w:tcMar>
              <w:top w:w="120" w:type="dxa"/>
              <w:left w:w="140" w:type="dxa"/>
              <w:bottom w:w="120" w:type="dxa"/>
              <w:right w:w="140" w:type="dxa"/>
            </w:tcMar>
          </w:tcPr>
          <w:p w14:paraId="387A4133" w14:textId="77777777" w:rsidR="00F94BDA" w:rsidRDefault="00735555">
            <w:r>
              <w:rPr>
                <w:rFonts w:ascii="Calibri" w:hAnsi="Calibri"/>
                <w:b/>
                <w:color w:val="FFFFFF"/>
                <w:sz w:val="20"/>
              </w:rPr>
              <w:t>Quality Assurance (QA) — Process Focus</w:t>
            </w:r>
          </w:p>
        </w:tc>
        <w:tc>
          <w:tcPr>
            <w:tcW w:w="3456" w:type="dxa"/>
            <w:shd w:val="clear" w:color="auto" w:fill="182B49"/>
            <w:tcMar>
              <w:top w:w="120" w:type="dxa"/>
              <w:left w:w="140" w:type="dxa"/>
              <w:bottom w:w="120" w:type="dxa"/>
              <w:right w:w="140" w:type="dxa"/>
            </w:tcMar>
          </w:tcPr>
          <w:p w14:paraId="45240124" w14:textId="77777777" w:rsidR="00F94BDA" w:rsidRDefault="00735555">
            <w:r>
              <w:rPr>
                <w:rFonts w:ascii="Calibri" w:hAnsi="Calibri"/>
                <w:b/>
                <w:color w:val="FFFFFF"/>
                <w:sz w:val="20"/>
              </w:rPr>
              <w:t>Quality Control (QC) — Product Focus</w:t>
            </w:r>
          </w:p>
        </w:tc>
      </w:tr>
      <w:tr w:rsidR="00F94BDA" w14:paraId="5FF6D9C6" w14:textId="77777777">
        <w:trPr>
          <w:jc w:val="center"/>
        </w:trPr>
        <w:tc>
          <w:tcPr>
            <w:tcW w:w="2592" w:type="dxa"/>
            <w:shd w:val="clear" w:color="auto" w:fill="FFFFFF"/>
            <w:tcMar>
              <w:top w:w="100" w:type="dxa"/>
              <w:left w:w="140" w:type="dxa"/>
              <w:bottom w:w="100" w:type="dxa"/>
              <w:right w:w="140" w:type="dxa"/>
            </w:tcMar>
          </w:tcPr>
          <w:p w14:paraId="443FA9F2" w14:textId="77777777" w:rsidR="00F94BDA" w:rsidRDefault="00735555">
            <w:r>
              <w:rPr>
                <w:rFonts w:ascii="Calibri" w:hAnsi="Calibri"/>
                <w:color w:val="2C3E50"/>
                <w:sz w:val="19"/>
              </w:rPr>
              <w:t>Primary Objective</w:t>
            </w:r>
          </w:p>
        </w:tc>
        <w:tc>
          <w:tcPr>
            <w:tcW w:w="3456" w:type="dxa"/>
            <w:shd w:val="clear" w:color="auto" w:fill="FFFFFF"/>
            <w:tcMar>
              <w:top w:w="100" w:type="dxa"/>
              <w:left w:w="140" w:type="dxa"/>
              <w:bottom w:w="100" w:type="dxa"/>
              <w:right w:w="140" w:type="dxa"/>
            </w:tcMar>
          </w:tcPr>
          <w:p w14:paraId="59678D77" w14:textId="77777777" w:rsidR="00F94BDA" w:rsidRDefault="00735555">
            <w:r>
              <w:rPr>
                <w:rFonts w:ascii="Calibri" w:hAnsi="Calibri"/>
                <w:color w:val="2C3E50"/>
                <w:sz w:val="19"/>
              </w:rPr>
              <w:t>Prevent defects through s</w:t>
            </w:r>
            <w:r>
              <w:rPr>
                <w:rFonts w:ascii="Calibri" w:hAnsi="Calibri"/>
                <w:color w:val="2C3E50"/>
                <w:sz w:val="19"/>
              </w:rPr>
              <w:t>ystematic processes, planning, and audits.</w:t>
            </w:r>
          </w:p>
        </w:tc>
        <w:tc>
          <w:tcPr>
            <w:tcW w:w="3456" w:type="dxa"/>
            <w:shd w:val="clear" w:color="auto" w:fill="FFFFFF"/>
            <w:tcMar>
              <w:top w:w="100" w:type="dxa"/>
              <w:left w:w="140" w:type="dxa"/>
              <w:bottom w:w="100" w:type="dxa"/>
              <w:right w:w="140" w:type="dxa"/>
            </w:tcMar>
          </w:tcPr>
          <w:p w14:paraId="74AB054A" w14:textId="77777777" w:rsidR="00F94BDA" w:rsidRDefault="00735555">
            <w:r>
              <w:rPr>
                <w:rFonts w:ascii="Calibri" w:hAnsi="Calibri"/>
                <w:color w:val="2C3E50"/>
                <w:sz w:val="19"/>
              </w:rPr>
              <w:t>Identify and rectify defects during execution and assembly.</w:t>
            </w:r>
          </w:p>
        </w:tc>
      </w:tr>
      <w:tr w:rsidR="00F94BDA" w14:paraId="7C07F32D" w14:textId="77777777">
        <w:trPr>
          <w:jc w:val="center"/>
        </w:trPr>
        <w:tc>
          <w:tcPr>
            <w:tcW w:w="2592" w:type="dxa"/>
            <w:shd w:val="clear" w:color="auto" w:fill="F4F6F9"/>
            <w:tcMar>
              <w:top w:w="100" w:type="dxa"/>
              <w:left w:w="140" w:type="dxa"/>
              <w:bottom w:w="100" w:type="dxa"/>
              <w:right w:w="140" w:type="dxa"/>
            </w:tcMar>
          </w:tcPr>
          <w:p w14:paraId="1C0D5E5E" w14:textId="77777777" w:rsidR="00F94BDA" w:rsidRDefault="00735555">
            <w:r>
              <w:rPr>
                <w:rFonts w:ascii="Calibri" w:hAnsi="Calibri"/>
                <w:color w:val="2C3E50"/>
                <w:sz w:val="19"/>
              </w:rPr>
              <w:t>Operational Focus</w:t>
            </w:r>
          </w:p>
        </w:tc>
        <w:tc>
          <w:tcPr>
            <w:tcW w:w="3456" w:type="dxa"/>
            <w:shd w:val="clear" w:color="auto" w:fill="F4F6F9"/>
            <w:tcMar>
              <w:top w:w="100" w:type="dxa"/>
              <w:left w:w="140" w:type="dxa"/>
              <w:bottom w:w="100" w:type="dxa"/>
              <w:right w:w="140" w:type="dxa"/>
            </w:tcMar>
          </w:tcPr>
          <w:p w14:paraId="47EA0308" w14:textId="77777777" w:rsidR="00F94BDA" w:rsidRDefault="00735555">
            <w:r>
              <w:rPr>
                <w:rFonts w:ascii="Calibri" w:hAnsi="Calibri"/>
                <w:color w:val="2C3E50"/>
                <w:sz w:val="19"/>
              </w:rPr>
              <w:t>System-level: Policies, SOPs, ITP templates, qualification of vendors.</w:t>
            </w:r>
          </w:p>
        </w:tc>
        <w:tc>
          <w:tcPr>
            <w:tcW w:w="3456" w:type="dxa"/>
            <w:shd w:val="clear" w:color="auto" w:fill="F4F6F9"/>
            <w:tcMar>
              <w:top w:w="100" w:type="dxa"/>
              <w:left w:w="140" w:type="dxa"/>
              <w:bottom w:w="100" w:type="dxa"/>
              <w:right w:w="140" w:type="dxa"/>
            </w:tcMar>
          </w:tcPr>
          <w:p w14:paraId="77831D4C" w14:textId="77777777" w:rsidR="00F94BDA" w:rsidRDefault="00735555">
            <w:r>
              <w:rPr>
                <w:rFonts w:ascii="Calibri" w:hAnsi="Calibri"/>
                <w:color w:val="2C3E50"/>
                <w:sz w:val="19"/>
              </w:rPr>
              <w:t xml:space="preserve">Execution-level: On-site inspections, laboratory </w:t>
            </w:r>
            <w:r>
              <w:rPr>
                <w:rFonts w:ascii="Calibri" w:hAnsi="Calibri"/>
                <w:color w:val="2C3E50"/>
                <w:sz w:val="19"/>
              </w:rPr>
              <w:t>testing, punch lists.</w:t>
            </w:r>
          </w:p>
        </w:tc>
      </w:tr>
      <w:tr w:rsidR="00F94BDA" w14:paraId="36C240EB" w14:textId="77777777">
        <w:trPr>
          <w:jc w:val="center"/>
        </w:trPr>
        <w:tc>
          <w:tcPr>
            <w:tcW w:w="2592" w:type="dxa"/>
            <w:shd w:val="clear" w:color="auto" w:fill="FFFFFF"/>
            <w:tcMar>
              <w:top w:w="100" w:type="dxa"/>
              <w:left w:w="140" w:type="dxa"/>
              <w:bottom w:w="100" w:type="dxa"/>
              <w:right w:w="140" w:type="dxa"/>
            </w:tcMar>
          </w:tcPr>
          <w:p w14:paraId="58090E3E" w14:textId="77777777" w:rsidR="00F94BDA" w:rsidRDefault="00735555">
            <w:r>
              <w:rPr>
                <w:rFonts w:ascii="Calibri" w:hAnsi="Calibri"/>
                <w:color w:val="2C3E50"/>
                <w:sz w:val="19"/>
              </w:rPr>
              <w:t>Timing</w:t>
            </w:r>
          </w:p>
        </w:tc>
        <w:tc>
          <w:tcPr>
            <w:tcW w:w="3456" w:type="dxa"/>
            <w:shd w:val="clear" w:color="auto" w:fill="FFFFFF"/>
            <w:tcMar>
              <w:top w:w="100" w:type="dxa"/>
              <w:left w:w="140" w:type="dxa"/>
              <w:bottom w:w="100" w:type="dxa"/>
              <w:right w:w="140" w:type="dxa"/>
            </w:tcMar>
          </w:tcPr>
          <w:p w14:paraId="6E7434F7" w14:textId="77777777" w:rsidR="00F94BDA" w:rsidRDefault="00735555">
            <w:r>
              <w:rPr>
                <w:rFonts w:ascii="Calibri" w:hAnsi="Calibri"/>
                <w:color w:val="2C3E50"/>
                <w:sz w:val="19"/>
              </w:rPr>
              <w:t>Proactive: Pre-mobilization, procurement, method statement review.</w:t>
            </w:r>
          </w:p>
        </w:tc>
        <w:tc>
          <w:tcPr>
            <w:tcW w:w="3456" w:type="dxa"/>
            <w:shd w:val="clear" w:color="auto" w:fill="FFFFFF"/>
            <w:tcMar>
              <w:top w:w="100" w:type="dxa"/>
              <w:left w:w="140" w:type="dxa"/>
              <w:bottom w:w="100" w:type="dxa"/>
              <w:right w:w="140" w:type="dxa"/>
            </w:tcMar>
          </w:tcPr>
          <w:p w14:paraId="7B20DCC4" w14:textId="77777777" w:rsidR="00F94BDA" w:rsidRDefault="00735555">
            <w:r>
              <w:rPr>
                <w:rFonts w:ascii="Calibri" w:hAnsi="Calibri"/>
                <w:color w:val="2C3E50"/>
                <w:sz w:val="19"/>
              </w:rPr>
              <w:t>Active / Reactive: Real-time during fabrication, pours, and installation.</w:t>
            </w:r>
          </w:p>
        </w:tc>
      </w:tr>
      <w:tr w:rsidR="00F94BDA" w14:paraId="45A13F26" w14:textId="77777777">
        <w:trPr>
          <w:jc w:val="center"/>
        </w:trPr>
        <w:tc>
          <w:tcPr>
            <w:tcW w:w="2592" w:type="dxa"/>
            <w:shd w:val="clear" w:color="auto" w:fill="F4F6F9"/>
            <w:tcMar>
              <w:top w:w="100" w:type="dxa"/>
              <w:left w:w="140" w:type="dxa"/>
              <w:bottom w:w="100" w:type="dxa"/>
              <w:right w:w="140" w:type="dxa"/>
            </w:tcMar>
          </w:tcPr>
          <w:p w14:paraId="554138A2" w14:textId="77777777" w:rsidR="00F94BDA" w:rsidRDefault="00735555">
            <w:r>
              <w:rPr>
                <w:rFonts w:ascii="Calibri" w:hAnsi="Calibri"/>
                <w:color w:val="2C3E50"/>
                <w:sz w:val="19"/>
              </w:rPr>
              <w:t>Accountability</w:t>
            </w:r>
          </w:p>
        </w:tc>
        <w:tc>
          <w:tcPr>
            <w:tcW w:w="3456" w:type="dxa"/>
            <w:shd w:val="clear" w:color="auto" w:fill="F4F6F9"/>
            <w:tcMar>
              <w:top w:w="100" w:type="dxa"/>
              <w:left w:w="140" w:type="dxa"/>
              <w:bottom w:w="100" w:type="dxa"/>
              <w:right w:w="140" w:type="dxa"/>
            </w:tcMar>
          </w:tcPr>
          <w:p w14:paraId="422680B5" w14:textId="77777777" w:rsidR="00F94BDA" w:rsidRDefault="00735555">
            <w:r>
              <w:rPr>
                <w:rFonts w:ascii="Calibri" w:hAnsi="Calibri"/>
                <w:color w:val="2C3E50"/>
                <w:sz w:val="19"/>
              </w:rPr>
              <w:t>Corporate QA Director, Project QA Manager, Independent Auditor.</w:t>
            </w:r>
          </w:p>
        </w:tc>
        <w:tc>
          <w:tcPr>
            <w:tcW w:w="3456" w:type="dxa"/>
            <w:shd w:val="clear" w:color="auto" w:fill="F4F6F9"/>
            <w:tcMar>
              <w:top w:w="100" w:type="dxa"/>
              <w:left w:w="140" w:type="dxa"/>
              <w:bottom w:w="100" w:type="dxa"/>
              <w:right w:w="140" w:type="dxa"/>
            </w:tcMar>
          </w:tcPr>
          <w:p w14:paraId="5A248222" w14:textId="77777777" w:rsidR="00F94BDA" w:rsidRDefault="00735555">
            <w:r>
              <w:rPr>
                <w:rFonts w:ascii="Calibri" w:hAnsi="Calibri"/>
                <w:color w:val="2C3E50"/>
                <w:sz w:val="19"/>
              </w:rPr>
              <w:t>Disci</w:t>
            </w:r>
            <w:r>
              <w:rPr>
                <w:rFonts w:ascii="Calibri" w:hAnsi="Calibri"/>
                <w:color w:val="2C3E50"/>
                <w:sz w:val="19"/>
              </w:rPr>
              <w:t>pline QC Engineers, Site Inspectors, Subcontractor QC Leads.</w:t>
            </w:r>
          </w:p>
        </w:tc>
      </w:tr>
      <w:tr w:rsidR="00F94BDA" w14:paraId="1545F210" w14:textId="77777777">
        <w:trPr>
          <w:jc w:val="center"/>
        </w:trPr>
        <w:tc>
          <w:tcPr>
            <w:tcW w:w="2592" w:type="dxa"/>
            <w:shd w:val="clear" w:color="auto" w:fill="FFFFFF"/>
            <w:tcMar>
              <w:top w:w="100" w:type="dxa"/>
              <w:left w:w="140" w:type="dxa"/>
              <w:bottom w:w="100" w:type="dxa"/>
              <w:right w:w="140" w:type="dxa"/>
            </w:tcMar>
          </w:tcPr>
          <w:p w14:paraId="560064C1" w14:textId="77777777" w:rsidR="00F94BDA" w:rsidRDefault="00735555">
            <w:r>
              <w:rPr>
                <w:rFonts w:ascii="Calibri" w:hAnsi="Calibri"/>
                <w:color w:val="2C3E50"/>
                <w:sz w:val="19"/>
              </w:rPr>
              <w:t>Primary Deliverables</w:t>
            </w:r>
          </w:p>
        </w:tc>
        <w:tc>
          <w:tcPr>
            <w:tcW w:w="3456" w:type="dxa"/>
            <w:shd w:val="clear" w:color="auto" w:fill="FFFFFF"/>
            <w:tcMar>
              <w:top w:w="100" w:type="dxa"/>
              <w:left w:w="140" w:type="dxa"/>
              <w:bottom w:w="100" w:type="dxa"/>
              <w:right w:w="140" w:type="dxa"/>
            </w:tcMar>
          </w:tcPr>
          <w:p w14:paraId="682612AF" w14:textId="77777777" w:rsidR="00F94BDA" w:rsidRDefault="00735555">
            <w:r>
              <w:rPr>
                <w:rFonts w:ascii="Calibri" w:hAnsi="Calibri"/>
                <w:color w:val="2C3E50"/>
                <w:sz w:val="19"/>
              </w:rPr>
              <w:t>Project Quality Plan (PQP), Audit Reports, Risk Registers, SOPs.</w:t>
            </w:r>
          </w:p>
        </w:tc>
        <w:tc>
          <w:tcPr>
            <w:tcW w:w="3456" w:type="dxa"/>
            <w:shd w:val="clear" w:color="auto" w:fill="FFFFFF"/>
            <w:tcMar>
              <w:top w:w="100" w:type="dxa"/>
              <w:left w:w="140" w:type="dxa"/>
              <w:bottom w:w="100" w:type="dxa"/>
              <w:right w:w="140" w:type="dxa"/>
            </w:tcMar>
          </w:tcPr>
          <w:p w14:paraId="17A7A3DC" w14:textId="77777777" w:rsidR="00F94BDA" w:rsidRDefault="00735555">
            <w:r>
              <w:rPr>
                <w:rFonts w:ascii="Calibri" w:hAnsi="Calibri"/>
                <w:color w:val="2C3E50"/>
                <w:sz w:val="19"/>
              </w:rPr>
              <w:t>Inspection &amp; Test Plans (ITPs), Test Logs, NCRs, As-Built Verification.</w:t>
            </w:r>
          </w:p>
        </w:tc>
      </w:tr>
    </w:tbl>
    <w:p w14:paraId="3763F9B3" w14:textId="77777777" w:rsidR="00F94BDA" w:rsidRDefault="00F94BDA">
      <w:pPr>
        <w:spacing w:after="120"/>
      </w:pPr>
    </w:p>
    <w:p w14:paraId="116F101D" w14:textId="77777777" w:rsidR="00F94BDA" w:rsidRDefault="00735555">
      <w:pPr>
        <w:keepNext/>
        <w:spacing w:before="320" w:after="120"/>
      </w:pPr>
      <w:r>
        <w:rPr>
          <w:rFonts w:ascii="Calibri" w:hAnsi="Calibri"/>
          <w:b/>
          <w:color w:val="182B49"/>
          <w:sz w:val="28"/>
        </w:rPr>
        <w:t xml:space="preserve">3. Governance Hierarchy &amp; </w:t>
      </w:r>
      <w:r>
        <w:rPr>
          <w:rFonts w:ascii="Calibri" w:hAnsi="Calibri"/>
          <w:b/>
          <w:color w:val="182B49"/>
          <w:sz w:val="28"/>
        </w:rPr>
        <w:t>Reporting Independence</w:t>
      </w:r>
    </w:p>
    <w:p w14:paraId="6CC9D1F8" w14:textId="77777777" w:rsidR="00F94BDA" w:rsidRDefault="00735555">
      <w:pPr>
        <w:spacing w:after="80"/>
      </w:pPr>
      <w:r>
        <w:rPr>
          <w:rFonts w:ascii="Calibri" w:hAnsi="Calibri"/>
          <w:color w:val="2C3E50"/>
          <w:sz w:val="20"/>
        </w:rPr>
        <w:t>To ensure unbiased quality enforcement, site-level QA/QC personnel maintain an independent direct reporting line to Corporate Quality Leadership, granting them unconditional Stop-Work Authority.</w:t>
      </w:r>
    </w:p>
    <w:p w14:paraId="15890218" w14:textId="236B5A06" w:rsidR="00F94BDA" w:rsidRDefault="00735555">
      <w:pPr>
        <w:pStyle w:val="ListBullet"/>
        <w:spacing w:after="60"/>
      </w:pPr>
      <w:r>
        <w:rPr>
          <w:rFonts w:ascii="Calibri" w:hAnsi="Calibri"/>
          <w:b/>
          <w:color w:val="2C3E50"/>
          <w:sz w:val="20"/>
        </w:rPr>
        <w:t>QA/QC Manager</w:t>
      </w:r>
      <w:r>
        <w:rPr>
          <w:rFonts w:ascii="Calibri" w:hAnsi="Calibri"/>
          <w:b/>
          <w:color w:val="2C3E50"/>
          <w:sz w:val="20"/>
        </w:rPr>
        <w:t xml:space="preserve">: </w:t>
      </w:r>
      <w:r>
        <w:rPr>
          <w:rFonts w:ascii="Calibri" w:hAnsi="Calibri"/>
          <w:color w:val="2C3E50"/>
          <w:sz w:val="20"/>
        </w:rPr>
        <w:t>Defines corp</w:t>
      </w:r>
      <w:r>
        <w:rPr>
          <w:rFonts w:ascii="Calibri" w:hAnsi="Calibri"/>
          <w:color w:val="2C3E50"/>
          <w:sz w:val="20"/>
        </w:rPr>
        <w:t>orate standards, conducts third-party surveillance, and arbitrates complex quality deviations.</w:t>
      </w:r>
    </w:p>
    <w:p w14:paraId="442214E1" w14:textId="65A9A646" w:rsidR="00F94BDA" w:rsidRDefault="00735555">
      <w:pPr>
        <w:pStyle w:val="ListBullet"/>
        <w:spacing w:after="60"/>
      </w:pPr>
      <w:r>
        <w:rPr>
          <w:rFonts w:ascii="Calibri" w:hAnsi="Calibri"/>
          <w:b/>
          <w:color w:val="2C3E50"/>
          <w:sz w:val="20"/>
        </w:rPr>
        <w:t>QAQC Superintendent</w:t>
      </w:r>
      <w:r>
        <w:rPr>
          <w:rFonts w:ascii="Calibri" w:hAnsi="Calibri"/>
          <w:b/>
          <w:color w:val="2C3E50"/>
          <w:sz w:val="20"/>
        </w:rPr>
        <w:t xml:space="preserve">: </w:t>
      </w:r>
      <w:r>
        <w:rPr>
          <w:rFonts w:ascii="Calibri" w:hAnsi="Calibri"/>
          <w:color w:val="2C3E50"/>
          <w:sz w:val="20"/>
        </w:rPr>
        <w:t>Author of the Project Quality Plan (PQP), oversees independent testing laboratories, chairs weekly quality reviews, and exercises stop-wor</w:t>
      </w:r>
      <w:r>
        <w:rPr>
          <w:rFonts w:ascii="Calibri" w:hAnsi="Calibri"/>
          <w:color w:val="2C3E50"/>
          <w:sz w:val="20"/>
        </w:rPr>
        <w:t>k enforcement.</w:t>
      </w:r>
    </w:p>
    <w:p w14:paraId="6A87E47C" w14:textId="385CC723" w:rsidR="00F94BDA" w:rsidRDefault="00735555">
      <w:pPr>
        <w:pStyle w:val="ListBullet"/>
        <w:spacing w:after="60"/>
      </w:pPr>
      <w:r>
        <w:rPr>
          <w:rFonts w:ascii="Calibri" w:hAnsi="Calibri"/>
          <w:b/>
          <w:color w:val="2C3E50"/>
          <w:sz w:val="20"/>
        </w:rPr>
        <w:t xml:space="preserve">QC Engineers (Civil, Structural, MEP): </w:t>
      </w:r>
      <w:r>
        <w:rPr>
          <w:rFonts w:ascii="Calibri" w:hAnsi="Calibri"/>
          <w:color w:val="2C3E50"/>
          <w:sz w:val="20"/>
        </w:rPr>
        <w:t>Conduct daily inspections, witness field testing, enforce ITP criteria, and log non-conformances.</w:t>
      </w:r>
    </w:p>
    <w:p w14:paraId="7A5566B3" w14:textId="77777777" w:rsidR="00F94BDA" w:rsidRDefault="00735555">
      <w:pPr>
        <w:pStyle w:val="ListBullet"/>
        <w:spacing w:after="60"/>
      </w:pPr>
      <w:r>
        <w:rPr>
          <w:rFonts w:ascii="Calibri" w:hAnsi="Calibri"/>
          <w:b/>
          <w:color w:val="2C3E50"/>
          <w:sz w:val="20"/>
        </w:rPr>
        <w:lastRenderedPageBreak/>
        <w:t xml:space="preserve">Site Construction Team (PM / Superintendents): </w:t>
      </w:r>
      <w:r>
        <w:rPr>
          <w:rFonts w:ascii="Calibri" w:hAnsi="Calibri"/>
          <w:color w:val="2C3E50"/>
          <w:sz w:val="20"/>
        </w:rPr>
        <w:t xml:space="preserve">Responsible for production execution strictly </w:t>
      </w:r>
      <w:r>
        <w:rPr>
          <w:rFonts w:ascii="Calibri" w:hAnsi="Calibri"/>
          <w:color w:val="2C3E50"/>
          <w:sz w:val="20"/>
        </w:rPr>
        <w:t>within the approved method statements and engineering tolerances.</w:t>
      </w:r>
    </w:p>
    <w:p w14:paraId="3951D252" w14:textId="77777777" w:rsidR="00F94BDA" w:rsidRDefault="00735555">
      <w:pPr>
        <w:keepNext/>
        <w:spacing w:before="320" w:after="120"/>
      </w:pPr>
      <w:r>
        <w:rPr>
          <w:rFonts w:ascii="Calibri" w:hAnsi="Calibri"/>
          <w:b/>
          <w:color w:val="182B49"/>
          <w:sz w:val="28"/>
        </w:rPr>
        <w:t>4. Key Pillars of Quality Governance</w:t>
      </w:r>
    </w:p>
    <w:p w14:paraId="12FE5FD8" w14:textId="77777777" w:rsidR="00F94BDA" w:rsidRDefault="00735555">
      <w:pPr>
        <w:keepNext/>
        <w:spacing w:before="240" w:after="80"/>
      </w:pPr>
      <w:r>
        <w:rPr>
          <w:rFonts w:ascii="Calibri" w:hAnsi="Calibri"/>
          <w:b/>
          <w:color w:val="2980B9"/>
          <w:sz w:val="24"/>
        </w:rPr>
        <w:t>4.1 Project Quality Plan (PQP)</w:t>
      </w:r>
    </w:p>
    <w:p w14:paraId="43AFA2F5" w14:textId="77777777" w:rsidR="00F94BDA" w:rsidRDefault="00735555">
      <w:pPr>
        <w:spacing w:after="80"/>
      </w:pPr>
      <w:r>
        <w:rPr>
          <w:rFonts w:ascii="Calibri" w:hAnsi="Calibri"/>
          <w:color w:val="2C3E50"/>
          <w:sz w:val="20"/>
        </w:rPr>
        <w:t xml:space="preserve">The PQP is the primary governing instrument developed prior to mobilization. It defines contractual codes, key </w:t>
      </w:r>
      <w:r>
        <w:rPr>
          <w:rFonts w:ascii="Calibri" w:hAnsi="Calibri"/>
          <w:color w:val="2C3E50"/>
          <w:sz w:val="20"/>
        </w:rPr>
        <w:t>personnel credentials, document control workflows, laboratory accreditation parameters, and calibration regimes.</w:t>
      </w:r>
    </w:p>
    <w:p w14:paraId="440B6167" w14:textId="77777777" w:rsidR="00F94BDA" w:rsidRDefault="00735555">
      <w:pPr>
        <w:keepNext/>
        <w:spacing w:before="240" w:after="80"/>
      </w:pPr>
      <w:r>
        <w:rPr>
          <w:rFonts w:ascii="Calibri" w:hAnsi="Calibri"/>
          <w:b/>
          <w:color w:val="2980B9"/>
          <w:sz w:val="24"/>
        </w:rPr>
        <w:t>4.2 Inspection &amp; Test Plans (ITPs) and Quality Control Gates</w:t>
      </w:r>
    </w:p>
    <w:p w14:paraId="03A48271" w14:textId="77777777" w:rsidR="00F94BDA" w:rsidRDefault="00735555">
      <w:pPr>
        <w:spacing w:after="80"/>
      </w:pPr>
      <w:r>
        <w:rPr>
          <w:rFonts w:ascii="Calibri" w:hAnsi="Calibri"/>
          <w:color w:val="2C3E50"/>
          <w:sz w:val="20"/>
        </w:rPr>
        <w:t>Every major work package (e.g., Earthworks, Deep Foundations, Rebar, Concrete Plac</w:t>
      </w:r>
      <w:r>
        <w:rPr>
          <w:rFonts w:ascii="Calibri" w:hAnsi="Calibri"/>
          <w:color w:val="2C3E50"/>
          <w:sz w:val="20"/>
        </w:rPr>
        <w:t>ement, MEP Rough-Ins) must operate under an approved ITP with strict gatekeeper points:</w:t>
      </w:r>
    </w:p>
    <w:p w14:paraId="43A9C315" w14:textId="276A8D0C" w:rsidR="00F94BDA" w:rsidRDefault="00735555">
      <w:pPr>
        <w:spacing w:after="120"/>
      </w:pPr>
      <w:r>
        <w:t>See QITP plan</w:t>
      </w:r>
    </w:p>
    <w:p w14:paraId="62ADCD2D" w14:textId="77777777" w:rsidR="00F94BDA" w:rsidRDefault="00735555">
      <w:pPr>
        <w:keepNext/>
        <w:spacing w:before="240" w:after="80"/>
      </w:pPr>
      <w:r>
        <w:rPr>
          <w:rFonts w:ascii="Calibri" w:hAnsi="Calibri"/>
          <w:b/>
          <w:color w:val="2980B9"/>
          <w:sz w:val="24"/>
        </w:rPr>
        <w:t>4.3 Three-Phase Inspection System</w:t>
      </w:r>
    </w:p>
    <w:p w14:paraId="40A51B4D" w14:textId="77777777" w:rsidR="00F94BDA" w:rsidRDefault="00735555">
      <w:pPr>
        <w:pStyle w:val="ListBullet"/>
        <w:spacing w:after="60"/>
      </w:pPr>
      <w:r>
        <w:rPr>
          <w:rFonts w:ascii="Calibri" w:hAnsi="Calibri"/>
          <w:b/>
          <w:color w:val="2C3E50"/>
          <w:sz w:val="20"/>
        </w:rPr>
        <w:t xml:space="preserve">1. Preparatory Phase: </w:t>
      </w:r>
      <w:r>
        <w:rPr>
          <w:rFonts w:ascii="Calibri" w:hAnsi="Calibri"/>
          <w:color w:val="2C3E50"/>
          <w:sz w:val="20"/>
        </w:rPr>
        <w:t xml:space="preserve">Conducted prior to starting any new work activity. Validates approved shop drawings, material </w:t>
      </w:r>
      <w:r>
        <w:rPr>
          <w:rFonts w:ascii="Calibri" w:hAnsi="Calibri"/>
          <w:color w:val="2C3E50"/>
          <w:sz w:val="20"/>
        </w:rPr>
        <w:t>submittals, safety constraints, and prerequisite prerequisites.</w:t>
      </w:r>
    </w:p>
    <w:p w14:paraId="19153EA7" w14:textId="77777777" w:rsidR="00F94BDA" w:rsidRDefault="00735555">
      <w:pPr>
        <w:pStyle w:val="ListBullet"/>
        <w:spacing w:after="60"/>
      </w:pPr>
      <w:r>
        <w:rPr>
          <w:rFonts w:ascii="Calibri" w:hAnsi="Calibri"/>
          <w:b/>
          <w:color w:val="2C3E50"/>
          <w:sz w:val="20"/>
        </w:rPr>
        <w:t xml:space="preserve">2. Initial Phase: </w:t>
      </w:r>
      <w:r>
        <w:rPr>
          <w:rFonts w:ascii="Calibri" w:hAnsi="Calibri"/>
          <w:color w:val="2C3E50"/>
          <w:sz w:val="20"/>
        </w:rPr>
        <w:t>Performed on the first representative section of work (e.g., first concrete column, first MEP corridor) to establish acceptable workmanship benchmarks.</w:t>
      </w:r>
    </w:p>
    <w:p w14:paraId="5F1152CD" w14:textId="77777777" w:rsidR="00F94BDA" w:rsidRDefault="00735555">
      <w:pPr>
        <w:pStyle w:val="ListBullet"/>
        <w:spacing w:after="60"/>
      </w:pPr>
      <w:r>
        <w:rPr>
          <w:rFonts w:ascii="Calibri" w:hAnsi="Calibri"/>
          <w:b/>
          <w:color w:val="2C3E50"/>
          <w:sz w:val="20"/>
        </w:rPr>
        <w:t xml:space="preserve">3. Follow-Up Phase: </w:t>
      </w:r>
      <w:r>
        <w:rPr>
          <w:rFonts w:ascii="Calibri" w:hAnsi="Calibri"/>
          <w:color w:val="2C3E50"/>
          <w:sz w:val="20"/>
        </w:rPr>
        <w:t>Co</w:t>
      </w:r>
      <w:r>
        <w:rPr>
          <w:rFonts w:ascii="Calibri" w:hAnsi="Calibri"/>
          <w:color w:val="2C3E50"/>
          <w:sz w:val="20"/>
        </w:rPr>
        <w:t>ntinuous daily inspections verifying that subsequent production strictly matches the benchmark established in the initial phase.</w:t>
      </w:r>
    </w:p>
    <w:p w14:paraId="36A25CE9" w14:textId="77777777" w:rsidR="00F94BDA" w:rsidRDefault="00735555">
      <w:pPr>
        <w:keepNext/>
        <w:spacing w:before="320" w:after="120"/>
      </w:pPr>
      <w:r>
        <w:rPr>
          <w:rFonts w:ascii="Calibri" w:hAnsi="Calibri"/>
          <w:b/>
          <w:color w:val="182B49"/>
          <w:sz w:val="28"/>
        </w:rPr>
        <w:t>5. Non-Conformance Management (NCR) &amp; Root Cause Analysis</w:t>
      </w:r>
    </w:p>
    <w:p w14:paraId="0DD339B4" w14:textId="77777777" w:rsidR="00F94BDA" w:rsidRDefault="00735555">
      <w:pPr>
        <w:spacing w:after="80"/>
      </w:pPr>
      <w:r>
        <w:rPr>
          <w:rFonts w:ascii="Calibri" w:hAnsi="Calibri"/>
          <w:color w:val="2C3E50"/>
          <w:sz w:val="20"/>
        </w:rPr>
        <w:t>Non-conforming items must follow a strict governance cycle to prevent</w:t>
      </w:r>
      <w:r>
        <w:rPr>
          <w:rFonts w:ascii="Calibri" w:hAnsi="Calibri"/>
          <w:color w:val="2C3E50"/>
          <w:sz w:val="20"/>
        </w:rPr>
        <w:t xml:space="preserve"> recurrence and structural compromise:</w:t>
      </w:r>
    </w:p>
    <w:p w14:paraId="7B5966CF" w14:textId="77777777" w:rsidR="00F94BDA" w:rsidRDefault="00735555">
      <w:pPr>
        <w:pStyle w:val="ListBullet"/>
        <w:spacing w:after="60"/>
      </w:pPr>
      <w:r>
        <w:rPr>
          <w:rFonts w:ascii="Calibri" w:hAnsi="Calibri"/>
          <w:b/>
          <w:color w:val="2C3E50"/>
          <w:sz w:val="20"/>
        </w:rPr>
        <w:t xml:space="preserve">Step 1 - Identification &amp; Quarantine: </w:t>
      </w:r>
      <w:r>
        <w:rPr>
          <w:rFonts w:ascii="Calibri" w:hAnsi="Calibri"/>
          <w:color w:val="2C3E50"/>
          <w:sz w:val="20"/>
        </w:rPr>
        <w:t>Immediate physical tagging, isolation, and formal NCR issuance within 12 hours of discovery.</w:t>
      </w:r>
    </w:p>
    <w:p w14:paraId="2FCA0AC9" w14:textId="77777777" w:rsidR="00F94BDA" w:rsidRDefault="00735555">
      <w:pPr>
        <w:pStyle w:val="ListBullet"/>
        <w:spacing w:after="60"/>
      </w:pPr>
      <w:r>
        <w:rPr>
          <w:rFonts w:ascii="Calibri" w:hAnsi="Calibri"/>
          <w:b/>
          <w:color w:val="2C3E50"/>
          <w:sz w:val="20"/>
        </w:rPr>
        <w:t xml:space="preserve">Step 2 - Root Cause Analysis (RCA): </w:t>
      </w:r>
      <w:r>
        <w:rPr>
          <w:rFonts w:ascii="Calibri" w:hAnsi="Calibri"/>
          <w:color w:val="2C3E50"/>
          <w:sz w:val="20"/>
        </w:rPr>
        <w:t>Multi-disciplinary assessment using 5-Whys or Fish</w:t>
      </w:r>
      <w:r>
        <w:rPr>
          <w:rFonts w:ascii="Calibri" w:hAnsi="Calibri"/>
          <w:color w:val="2C3E50"/>
          <w:sz w:val="20"/>
        </w:rPr>
        <w:t>bone diagrams to identify systemic causes (e.g., operator skill, bad material, design defect).</w:t>
      </w:r>
    </w:p>
    <w:p w14:paraId="750C96F6" w14:textId="77777777" w:rsidR="00F94BDA" w:rsidRDefault="00735555">
      <w:pPr>
        <w:pStyle w:val="ListBullet"/>
        <w:spacing w:after="60"/>
      </w:pPr>
      <w:r>
        <w:rPr>
          <w:rFonts w:ascii="Calibri" w:hAnsi="Calibri"/>
          <w:b/>
          <w:color w:val="2C3E50"/>
          <w:sz w:val="20"/>
        </w:rPr>
        <w:t xml:space="preserve">Step 3 - Disposition Category: </w:t>
      </w:r>
      <w:r>
        <w:rPr>
          <w:rFonts w:ascii="Calibri" w:hAnsi="Calibri"/>
          <w:color w:val="2C3E50"/>
          <w:sz w:val="20"/>
        </w:rPr>
        <w:t>Classified under: (a) Rework to spec, (b) Repair via approved EOR procedure, (c) Scrap/Reject, or (d) Concession/Use-As-Is (requir</w:t>
      </w:r>
      <w:r>
        <w:rPr>
          <w:rFonts w:ascii="Calibri" w:hAnsi="Calibri"/>
          <w:color w:val="2C3E50"/>
          <w:sz w:val="20"/>
        </w:rPr>
        <w:t>es Engineer of Record formal sign-off).</w:t>
      </w:r>
    </w:p>
    <w:p w14:paraId="7F084251" w14:textId="77777777" w:rsidR="00F94BDA" w:rsidRDefault="00735555">
      <w:pPr>
        <w:pStyle w:val="ListBullet"/>
        <w:spacing w:after="60"/>
      </w:pPr>
      <w:r>
        <w:rPr>
          <w:rFonts w:ascii="Calibri" w:hAnsi="Calibri"/>
          <w:b/>
          <w:color w:val="2C3E50"/>
          <w:sz w:val="20"/>
        </w:rPr>
        <w:t xml:space="preserve">Step 4 - Verification &amp; Closeout: </w:t>
      </w:r>
      <w:r>
        <w:rPr>
          <w:rFonts w:ascii="Calibri" w:hAnsi="Calibri"/>
          <w:color w:val="2C3E50"/>
          <w:sz w:val="20"/>
        </w:rPr>
        <w:t>Re-inspection, destructive/non-destructive testing, and formal closure sign-off prior to releasing subsequent hold points.</w:t>
      </w:r>
    </w:p>
    <w:p w14:paraId="7AE50D71" w14:textId="77777777" w:rsidR="00F94BDA" w:rsidRDefault="00735555">
      <w:pPr>
        <w:keepNext/>
        <w:spacing w:before="320" w:after="120"/>
      </w:pPr>
      <w:r>
        <w:rPr>
          <w:rFonts w:ascii="Calibri" w:hAnsi="Calibri"/>
          <w:b/>
          <w:color w:val="182B49"/>
          <w:sz w:val="28"/>
        </w:rPr>
        <w:t>6. Key Performance Indicators (KPIs)</w:t>
      </w:r>
    </w:p>
    <w:p w14:paraId="4140EBBC" w14:textId="755EF5FC" w:rsidR="00F94BDA" w:rsidRDefault="00735555">
      <w:pPr>
        <w:spacing w:after="120"/>
      </w:pPr>
      <w:r>
        <w:t>SEE KPI FILE</w:t>
      </w:r>
    </w:p>
    <w:sectPr w:rsidR="00F94BDA"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5555"/>
    <w:rsid w:val="00AA1D8D"/>
    <w:rsid w:val="00B47730"/>
    <w:rsid w:val="00CB0664"/>
    <w:rsid w:val="00F94B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3E397"/>
  <w14:defaultImageDpi w14:val="300"/>
  <w15:docId w15:val="{282136E5-3019-4974-8523-422E1B20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virtron bumal-o</cp:lastModifiedBy>
  <cp:revision>2</cp:revision>
  <dcterms:created xsi:type="dcterms:W3CDTF">2013-12-23T23:15:00Z</dcterms:created>
  <dcterms:modified xsi:type="dcterms:W3CDTF">2026-08-26T08:49:00Z</dcterms:modified>
  <cp:category/>
</cp:coreProperties>
</file>