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57EB9" w14:textId="7D5FA783" w:rsidR="002A03E6" w:rsidRDefault="002A03E6">
      <w:pPr>
        <w:spacing w:after="80"/>
        <w:rPr>
          <w:b/>
          <w:color w:val="1B365D"/>
          <w:sz w:val="44"/>
        </w:rPr>
      </w:pPr>
      <w:r w:rsidRPr="00B62863">
        <w:rPr>
          <w:rFonts w:ascii="Trebuchet MS" w:hAnsi="Trebuchet MS"/>
          <w:noProof/>
        </w:rPr>
        <w:drawing>
          <wp:anchor distT="0" distB="0" distL="114300" distR="114300" simplePos="0" relativeHeight="251658240" behindDoc="1" locked="0" layoutInCell="1" allowOverlap="1" wp14:anchorId="59AA587B" wp14:editId="304FF5C2">
            <wp:simplePos x="0" y="0"/>
            <wp:positionH relativeFrom="column">
              <wp:posOffset>1525905</wp:posOffset>
            </wp:positionH>
            <wp:positionV relativeFrom="paragraph">
              <wp:posOffset>11430</wp:posOffset>
            </wp:positionV>
            <wp:extent cx="3244215" cy="631227"/>
            <wp:effectExtent l="0" t="0" r="0" b="0"/>
            <wp:wrapTight wrapText="bothSides">
              <wp:wrapPolygon edited="0">
                <wp:start x="0" y="0"/>
                <wp:lineTo x="0" y="20861"/>
                <wp:lineTo x="21435" y="20861"/>
                <wp:lineTo x="214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4215" cy="631227"/>
                    </a:xfrm>
                    <a:prstGeom prst="rect">
                      <a:avLst/>
                    </a:prstGeom>
                    <a:noFill/>
                    <a:ln>
                      <a:noFill/>
                    </a:ln>
                  </pic:spPr>
                </pic:pic>
              </a:graphicData>
            </a:graphic>
          </wp:anchor>
        </w:drawing>
      </w:r>
    </w:p>
    <w:p w14:paraId="707CE85D" w14:textId="77777777" w:rsidR="002A03E6" w:rsidRDefault="002A03E6">
      <w:pPr>
        <w:spacing w:after="80"/>
        <w:rPr>
          <w:b/>
          <w:color w:val="1B365D"/>
          <w:sz w:val="44"/>
        </w:rPr>
      </w:pPr>
    </w:p>
    <w:p w14:paraId="4B88B65A" w14:textId="49B644DF" w:rsidR="00E039C2" w:rsidRDefault="002A03E6">
      <w:pPr>
        <w:spacing w:after="80"/>
      </w:pPr>
      <w:r>
        <w:rPr>
          <w:b/>
          <w:color w:val="1B365D"/>
          <w:sz w:val="44"/>
        </w:rPr>
        <w:t>Construction QA/QC Key Performance Indicators</w:t>
      </w:r>
    </w:p>
    <w:p w14:paraId="0E602CC3" w14:textId="77777777" w:rsidR="00E039C2" w:rsidRDefault="002A03E6">
      <w:pPr>
        <w:pStyle w:val="Heading1"/>
        <w:spacing w:before="240" w:after="120"/>
      </w:pPr>
      <w:r>
        <w:rPr>
          <w:color w:val="1B365D"/>
          <w:sz w:val="30"/>
        </w:rPr>
        <w:t>1. Executive Summary &amp; Overview</w:t>
      </w:r>
    </w:p>
    <w:p w14:paraId="1AA1E1CD" w14:textId="77777777" w:rsidR="00E039C2" w:rsidRDefault="002A03E6">
      <w:pPr>
        <w:spacing w:after="240"/>
      </w:pPr>
      <w:r>
        <w:t>In construction Quality Assurance and Quality Control (QA/QC), Key Performance Indicators (KPIs) track whether a project is built right the first time, stays compliant with specifications, and prevents costly rework and schedule delays. Tracking these metrics enables site managers and directors to shift from reactive defect handling to proactive risk management.</w:t>
      </w:r>
    </w:p>
    <w:tbl>
      <w:tblPr>
        <w:tblW w:w="0" w:type="auto"/>
        <w:jc w:val="center"/>
        <w:tblLook w:val="04A0" w:firstRow="1" w:lastRow="0" w:firstColumn="1" w:lastColumn="0" w:noHBand="0" w:noVBand="1"/>
      </w:tblPr>
      <w:tblGrid>
        <w:gridCol w:w="9936"/>
      </w:tblGrid>
      <w:tr w:rsidR="00E039C2" w14:paraId="36F8C4FC" w14:textId="77777777">
        <w:trPr>
          <w:jc w:val="center"/>
        </w:trPr>
        <w:tc>
          <w:tcPr>
            <w:tcW w:w="9936" w:type="dxa"/>
            <w:tcBorders>
              <w:left w:val="single" w:sz="24" w:space="0" w:color="1B365D"/>
            </w:tcBorders>
            <w:shd w:val="clear" w:color="auto" w:fill="F1F5F9"/>
            <w:tcMar>
              <w:top w:w="140" w:type="dxa"/>
              <w:left w:w="200" w:type="dxa"/>
              <w:bottom w:w="140" w:type="dxa"/>
              <w:right w:w="200" w:type="dxa"/>
            </w:tcMar>
          </w:tcPr>
          <w:p w14:paraId="4F602859" w14:textId="77777777" w:rsidR="00E039C2" w:rsidRDefault="002A03E6">
            <w:pPr>
              <w:spacing w:after="0"/>
            </w:pPr>
            <w:r>
              <w:rPr>
                <w:b/>
                <w:color w:val="1B365D"/>
              </w:rPr>
              <w:t xml:space="preserve">Key Distinction: </w:t>
            </w:r>
            <w:r>
              <w:rPr>
                <w:i/>
              </w:rPr>
              <w:t>QA focuses on prevention &amp; system compliance (processes), while QC focuses on detection &amp; execution (inspecting the actual deliverable in the field).</w:t>
            </w:r>
          </w:p>
        </w:tc>
      </w:tr>
    </w:tbl>
    <w:p w14:paraId="00A9CB8C" w14:textId="77777777" w:rsidR="00E039C2" w:rsidRDefault="00E039C2">
      <w:pPr>
        <w:spacing w:after="240"/>
      </w:pPr>
    </w:p>
    <w:p w14:paraId="0CF25EBA" w14:textId="1BB2DA3A" w:rsidR="00E039C2" w:rsidRDefault="002A03E6">
      <w:pPr>
        <w:pStyle w:val="Heading1"/>
        <w:spacing w:before="320" w:after="160"/>
      </w:pPr>
      <w:r>
        <w:rPr>
          <w:color w:val="1B365D"/>
          <w:sz w:val="30"/>
        </w:rPr>
        <w:t>1. The QA/QC KPIs Breakdown</w:t>
      </w:r>
    </w:p>
    <w:p w14:paraId="35003291" w14:textId="1082BA7F" w:rsidR="00E039C2" w:rsidRDefault="002A03E6">
      <w:pPr>
        <w:spacing w:before="160" w:after="40"/>
      </w:pPr>
      <w:r>
        <w:rPr>
          <w:b/>
          <w:color w:val="1B365D"/>
          <w:sz w:val="24"/>
        </w:rPr>
        <w:t>KPI #1: First-Time Pass Rate (FTQ / Inspection Pass Rate)</w:t>
      </w:r>
      <w:r>
        <w:rPr>
          <w:b/>
          <w:color w:val="1B365D"/>
          <w:sz w:val="24"/>
        </w:rPr>
        <w:br/>
      </w:r>
    </w:p>
    <w:p w14:paraId="63A0A9E8" w14:textId="77777777" w:rsidR="00E039C2" w:rsidRDefault="002A03E6">
      <w:pPr>
        <w:spacing w:after="60"/>
        <w:ind w:left="288"/>
      </w:pPr>
      <w:r>
        <w:rPr>
          <w:b/>
        </w:rPr>
        <w:t xml:space="preserve">• What it Measures: </w:t>
      </w:r>
      <w:r>
        <w:t>The percentage of field inspections or laboratory tests that pass on the first attempt without requiring rework, re-testing, or structural modification.</w:t>
      </w:r>
    </w:p>
    <w:p w14:paraId="25A32331" w14:textId="77777777" w:rsidR="00E039C2" w:rsidRDefault="002A03E6">
      <w:pPr>
        <w:spacing w:after="60"/>
        <w:ind w:left="288"/>
      </w:pPr>
      <w:r>
        <w:rPr>
          <w:b/>
        </w:rPr>
        <w:t xml:space="preserve">• Formula: </w:t>
      </w:r>
      <w:r>
        <w:rPr>
          <w:i/>
        </w:rPr>
        <w:t>First-Time Pass Rate (%) = (Passed Inspections / Total Inspections Conducted) × 100</w:t>
      </w:r>
    </w:p>
    <w:p w14:paraId="7E89D694" w14:textId="77777777" w:rsidR="00E039C2" w:rsidRDefault="002A03E6">
      <w:pPr>
        <w:spacing w:after="60"/>
        <w:ind w:left="288"/>
      </w:pPr>
      <w:r>
        <w:rPr>
          <w:b/>
        </w:rPr>
        <w:t xml:space="preserve">• Why it Matters: </w:t>
      </w:r>
      <w:r>
        <w:t>Confirms whether trade contractors follow specifications correctly on their first attempt, preserving project pace and preventing latent defects.</w:t>
      </w:r>
    </w:p>
    <w:p w14:paraId="08F9EC6C" w14:textId="77777777" w:rsidR="00E039C2" w:rsidRDefault="002A03E6">
      <w:pPr>
        <w:spacing w:after="160"/>
        <w:ind w:left="288"/>
      </w:pPr>
      <w:r>
        <w:rPr>
          <w:b/>
        </w:rPr>
        <w:t xml:space="preserve">• Benchmark Target: </w:t>
      </w:r>
      <w:r>
        <w:rPr>
          <w:b/>
          <w:color w:val="D97706"/>
        </w:rPr>
        <w:t>≥ 90 – 95%</w:t>
      </w:r>
    </w:p>
    <w:p w14:paraId="76EF9A10" w14:textId="6F3A657A" w:rsidR="00E039C2" w:rsidRDefault="002A03E6">
      <w:pPr>
        <w:spacing w:before="160" w:after="40"/>
      </w:pPr>
      <w:r>
        <w:rPr>
          <w:b/>
          <w:color w:val="1B365D"/>
          <w:sz w:val="24"/>
        </w:rPr>
        <w:t>KPI #2: Rework Rate (Rework Cost Percentage)</w:t>
      </w:r>
      <w:r>
        <w:rPr>
          <w:b/>
          <w:color w:val="1B365D"/>
          <w:sz w:val="24"/>
        </w:rPr>
        <w:br/>
      </w:r>
    </w:p>
    <w:p w14:paraId="60F645CE" w14:textId="77777777" w:rsidR="00E039C2" w:rsidRDefault="002A03E6">
      <w:pPr>
        <w:spacing w:after="60"/>
        <w:ind w:left="288"/>
      </w:pPr>
      <w:r>
        <w:rPr>
          <w:b/>
        </w:rPr>
        <w:t xml:space="preserve">• What it Measures: </w:t>
      </w:r>
      <w:r>
        <w:t>The direct financial cost or direct labor hours expended correcting non-conforming work, expressed as a percentage of the total contract budget or monthly work value.</w:t>
      </w:r>
    </w:p>
    <w:p w14:paraId="62E0E28D" w14:textId="77777777" w:rsidR="00E039C2" w:rsidRDefault="002A03E6">
      <w:pPr>
        <w:spacing w:after="60"/>
        <w:ind w:left="288"/>
      </w:pPr>
      <w:r>
        <w:rPr>
          <w:b/>
        </w:rPr>
        <w:t xml:space="preserve">• Formula: </w:t>
      </w:r>
      <w:r>
        <w:rPr>
          <w:i/>
        </w:rPr>
        <w:t>Rework Rate (%) = (Total Direct Cost of Rework / Total Contract Budget) × 100</w:t>
      </w:r>
    </w:p>
    <w:p w14:paraId="68601895" w14:textId="77777777" w:rsidR="00E039C2" w:rsidRDefault="002A03E6">
      <w:pPr>
        <w:spacing w:after="60"/>
        <w:ind w:left="288"/>
      </w:pPr>
      <w:r>
        <w:rPr>
          <w:b/>
        </w:rPr>
        <w:t xml:space="preserve">• Why it Matters: </w:t>
      </w:r>
      <w:r>
        <w:t>Directly impacts gross profit margins and construction schedules. Industry averages sit at 4–5%, but world-class contractors keep rework under 1%.</w:t>
      </w:r>
    </w:p>
    <w:p w14:paraId="499BF268" w14:textId="77777777" w:rsidR="00E039C2" w:rsidRDefault="002A03E6">
      <w:pPr>
        <w:spacing w:after="160"/>
        <w:ind w:left="288"/>
      </w:pPr>
      <w:r>
        <w:rPr>
          <w:b/>
        </w:rPr>
        <w:t xml:space="preserve">• Benchmark Target: </w:t>
      </w:r>
      <w:r>
        <w:rPr>
          <w:b/>
          <w:color w:val="D97706"/>
        </w:rPr>
        <w:t>&lt; 1 – 2% of budget</w:t>
      </w:r>
    </w:p>
    <w:p w14:paraId="7EAF574B" w14:textId="6248A404" w:rsidR="00E039C2" w:rsidRDefault="002A03E6">
      <w:pPr>
        <w:spacing w:before="160" w:after="40"/>
      </w:pPr>
      <w:r>
        <w:rPr>
          <w:b/>
          <w:color w:val="1B365D"/>
          <w:sz w:val="24"/>
        </w:rPr>
        <w:t>KPI #3: Defect Density (Quality Non-Conformances per Volume/Area)</w:t>
      </w:r>
      <w:r>
        <w:rPr>
          <w:b/>
          <w:color w:val="1B365D"/>
          <w:sz w:val="24"/>
        </w:rPr>
        <w:br/>
      </w:r>
    </w:p>
    <w:p w14:paraId="27B4DE72" w14:textId="43E8BEC6" w:rsidR="00E039C2" w:rsidRDefault="002A03E6">
      <w:pPr>
        <w:spacing w:after="60"/>
        <w:ind w:left="288"/>
      </w:pPr>
      <w:r>
        <w:rPr>
          <w:b/>
        </w:rPr>
        <w:t xml:space="preserve">• What it Measures: </w:t>
      </w:r>
      <w:r>
        <w:t>The volume of quality non-conformances, minor defects, or field issues generated relative to project size (e.g., per 100 sq m or per trade package).</w:t>
      </w:r>
    </w:p>
    <w:p w14:paraId="60C67B2D" w14:textId="77777777" w:rsidR="00E039C2" w:rsidRDefault="002A03E6">
      <w:pPr>
        <w:spacing w:after="60"/>
        <w:ind w:left="288"/>
      </w:pPr>
      <w:r>
        <w:rPr>
          <w:b/>
        </w:rPr>
        <w:lastRenderedPageBreak/>
        <w:t xml:space="preserve">• Formula: </w:t>
      </w:r>
      <w:r>
        <w:rPr>
          <w:i/>
        </w:rPr>
        <w:t>Defect Density = Total Defects or NCRs Logged / Executed Square Footage or Volume</w:t>
      </w:r>
    </w:p>
    <w:p w14:paraId="39705D4B" w14:textId="77777777" w:rsidR="00E039C2" w:rsidRDefault="002A03E6">
      <w:pPr>
        <w:spacing w:after="60"/>
        <w:ind w:left="288"/>
      </w:pPr>
      <w:r>
        <w:rPr>
          <w:b/>
        </w:rPr>
        <w:t xml:space="preserve">• Why it Matters: </w:t>
      </w:r>
      <w:r>
        <w:t>Pinpoints systemic subcontractor execution errors, bad material batches, or inadequate oversight before minor bugs turn into structural failures.</w:t>
      </w:r>
    </w:p>
    <w:p w14:paraId="26B7C7F6" w14:textId="6A5034B2" w:rsidR="00E039C2" w:rsidRDefault="002A03E6">
      <w:pPr>
        <w:spacing w:after="160"/>
        <w:ind w:left="288"/>
      </w:pPr>
      <w:r>
        <w:rPr>
          <w:b/>
        </w:rPr>
        <w:t xml:space="preserve">• Benchmark Target: </w:t>
      </w:r>
      <w:r>
        <w:rPr>
          <w:b/>
          <w:color w:val="D97706"/>
        </w:rPr>
        <w:t>&lt; 2 per 100 sq m (Downward Trend)</w:t>
      </w:r>
    </w:p>
    <w:p w14:paraId="737EE74E" w14:textId="162C79CB" w:rsidR="00E039C2" w:rsidRDefault="002A03E6">
      <w:pPr>
        <w:spacing w:before="160" w:after="40"/>
      </w:pPr>
      <w:r>
        <w:rPr>
          <w:b/>
          <w:color w:val="1B365D"/>
          <w:sz w:val="24"/>
        </w:rPr>
        <w:t>KPI #4: Non-Conformance Report (NCR) Resolution Time</w:t>
      </w:r>
      <w:r>
        <w:rPr>
          <w:b/>
          <w:color w:val="1B365D"/>
          <w:sz w:val="24"/>
        </w:rPr>
        <w:br/>
      </w:r>
    </w:p>
    <w:p w14:paraId="667C8B5A" w14:textId="77777777" w:rsidR="00E039C2" w:rsidRDefault="002A03E6">
      <w:pPr>
        <w:spacing w:after="60"/>
        <w:ind w:left="288"/>
      </w:pPr>
      <w:r>
        <w:rPr>
          <w:b/>
        </w:rPr>
        <w:t xml:space="preserve">• What it Measures: </w:t>
      </w:r>
      <w:r>
        <w:t>The average number of days required from logging an official NCR to executing corrective action, re-inspecting, and securing formal engineering sign-off.</w:t>
      </w:r>
    </w:p>
    <w:p w14:paraId="52FAEAD0" w14:textId="77777777" w:rsidR="00E039C2" w:rsidRDefault="002A03E6">
      <w:pPr>
        <w:spacing w:after="60"/>
        <w:ind w:left="288"/>
      </w:pPr>
      <w:r>
        <w:rPr>
          <w:b/>
        </w:rPr>
        <w:t xml:space="preserve">• Formula: </w:t>
      </w:r>
      <w:r>
        <w:rPr>
          <w:i/>
        </w:rPr>
        <w:t>Avg. Resolution Time = Σ (NCR Closure Date - NCR Open Date) / Total Closed NCRs</w:t>
      </w:r>
    </w:p>
    <w:p w14:paraId="7F0F15B6" w14:textId="77777777" w:rsidR="00E039C2" w:rsidRDefault="002A03E6">
      <w:pPr>
        <w:spacing w:after="60"/>
        <w:ind w:left="288"/>
      </w:pPr>
      <w:r>
        <w:rPr>
          <w:b/>
        </w:rPr>
        <w:t xml:space="preserve">• Why it Matters: </w:t>
      </w:r>
      <w:r>
        <w:t>Prevents open quality issues from being buried, stalling downstream trades, or causing severe progress payment holdbacks.</w:t>
      </w:r>
    </w:p>
    <w:p w14:paraId="00C0D365" w14:textId="77777777" w:rsidR="00E039C2" w:rsidRDefault="002A03E6">
      <w:pPr>
        <w:spacing w:after="160"/>
        <w:ind w:left="288"/>
      </w:pPr>
      <w:r>
        <w:rPr>
          <w:b/>
        </w:rPr>
        <w:t xml:space="preserve">• Benchmark Target: </w:t>
      </w:r>
      <w:r>
        <w:rPr>
          <w:b/>
          <w:color w:val="D97706"/>
        </w:rPr>
        <w:t>≤ 5 – 7 Business Days</w:t>
      </w:r>
    </w:p>
    <w:p w14:paraId="007A68F1" w14:textId="64EA4844" w:rsidR="00E039C2" w:rsidRDefault="002A03E6">
      <w:pPr>
        <w:spacing w:before="160" w:after="40"/>
      </w:pPr>
      <w:r>
        <w:rPr>
          <w:b/>
          <w:color w:val="1B365D"/>
          <w:sz w:val="24"/>
        </w:rPr>
        <w:t>KPI #5: Punch List Item Count at Handover</w:t>
      </w:r>
      <w:r>
        <w:rPr>
          <w:b/>
          <w:color w:val="1B365D"/>
          <w:sz w:val="24"/>
        </w:rPr>
        <w:br/>
      </w:r>
    </w:p>
    <w:p w14:paraId="73188F36" w14:textId="77777777" w:rsidR="00E039C2" w:rsidRDefault="002A03E6">
      <w:pPr>
        <w:spacing w:after="60"/>
        <w:ind w:left="288"/>
      </w:pPr>
      <w:r>
        <w:rPr>
          <w:b/>
        </w:rPr>
        <w:t xml:space="preserve">• What it Measures: </w:t>
      </w:r>
      <w:r>
        <w:t>The total volume of active non-critical deficiencies or cosmetic errors remaining during pre-handover walkthroughs at Substantial Completion.</w:t>
      </w:r>
    </w:p>
    <w:p w14:paraId="103AEFA9" w14:textId="77777777" w:rsidR="00E039C2" w:rsidRDefault="002A03E6">
      <w:pPr>
        <w:spacing w:after="60"/>
        <w:ind w:left="288"/>
      </w:pPr>
      <w:r>
        <w:rPr>
          <w:b/>
        </w:rPr>
        <w:t xml:space="preserve">• Formula: </w:t>
      </w:r>
      <w:r>
        <w:rPr>
          <w:i/>
        </w:rPr>
        <w:t>Total active open punch list items logged during formal client walkthroughs.</w:t>
      </w:r>
    </w:p>
    <w:p w14:paraId="4008D3E0" w14:textId="77777777" w:rsidR="00E039C2" w:rsidRDefault="002A03E6">
      <w:pPr>
        <w:spacing w:after="60"/>
        <w:ind w:left="288"/>
      </w:pPr>
      <w:r>
        <w:rPr>
          <w:b/>
        </w:rPr>
        <w:t xml:space="preserve">• Why it Matters: </w:t>
      </w:r>
      <w:r>
        <w:t>Measures final deliverable craftsmanship and client satisfaction. A massive punch list indicates weak ongoing field quality control during active construction.</w:t>
      </w:r>
    </w:p>
    <w:p w14:paraId="2DB51C08" w14:textId="77777777" w:rsidR="00E039C2" w:rsidRDefault="002A03E6">
      <w:pPr>
        <w:spacing w:after="160"/>
        <w:ind w:left="288"/>
      </w:pPr>
      <w:r>
        <w:rPr>
          <w:b/>
        </w:rPr>
        <w:t xml:space="preserve">• Benchmark Target: </w:t>
      </w:r>
      <w:r>
        <w:rPr>
          <w:b/>
          <w:color w:val="D97706"/>
        </w:rPr>
        <w:t>Zero Critical Items; Minimal Cosmetic Items</w:t>
      </w:r>
    </w:p>
    <w:p w14:paraId="180128B7" w14:textId="77777777" w:rsidR="00E039C2" w:rsidRDefault="002A03E6">
      <w:pPr>
        <w:pStyle w:val="Heading1"/>
        <w:spacing w:before="320" w:after="160"/>
      </w:pPr>
      <w:r>
        <w:rPr>
          <w:color w:val="1B365D"/>
          <w:sz w:val="30"/>
        </w:rPr>
        <w:t>3. Core KPI Summary Matrix</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576"/>
        <w:gridCol w:w="3312"/>
        <w:gridCol w:w="2592"/>
        <w:gridCol w:w="3456"/>
      </w:tblGrid>
      <w:tr w:rsidR="00E039C2" w14:paraId="75C91D9C" w14:textId="77777777">
        <w:trPr>
          <w:jc w:val="center"/>
        </w:trPr>
        <w:tc>
          <w:tcPr>
            <w:tcW w:w="576" w:type="dxa"/>
            <w:shd w:val="clear" w:color="auto" w:fill="1B365D"/>
            <w:tcMar>
              <w:top w:w="100" w:type="dxa"/>
              <w:left w:w="100" w:type="dxa"/>
              <w:bottom w:w="100" w:type="dxa"/>
              <w:right w:w="100" w:type="dxa"/>
            </w:tcMar>
          </w:tcPr>
          <w:p w14:paraId="7F83A4BB" w14:textId="77777777" w:rsidR="00E039C2" w:rsidRDefault="002A03E6">
            <w:pPr>
              <w:jc w:val="center"/>
            </w:pPr>
            <w:r>
              <w:rPr>
                <w:b/>
                <w:color w:val="FFFFFF"/>
                <w:sz w:val="20"/>
              </w:rPr>
              <w:t>#</w:t>
            </w:r>
          </w:p>
        </w:tc>
        <w:tc>
          <w:tcPr>
            <w:tcW w:w="3312" w:type="dxa"/>
            <w:shd w:val="clear" w:color="auto" w:fill="1B365D"/>
            <w:tcMar>
              <w:top w:w="100" w:type="dxa"/>
              <w:left w:w="100" w:type="dxa"/>
              <w:bottom w:w="100" w:type="dxa"/>
              <w:right w:w="100" w:type="dxa"/>
            </w:tcMar>
          </w:tcPr>
          <w:p w14:paraId="7853993C" w14:textId="77777777" w:rsidR="00E039C2" w:rsidRDefault="002A03E6">
            <w:r>
              <w:rPr>
                <w:b/>
                <w:color w:val="FFFFFF"/>
                <w:sz w:val="20"/>
              </w:rPr>
              <w:t>KPI Metric</w:t>
            </w:r>
          </w:p>
        </w:tc>
        <w:tc>
          <w:tcPr>
            <w:tcW w:w="2592" w:type="dxa"/>
            <w:shd w:val="clear" w:color="auto" w:fill="1B365D"/>
            <w:tcMar>
              <w:top w:w="100" w:type="dxa"/>
              <w:left w:w="100" w:type="dxa"/>
              <w:bottom w:w="100" w:type="dxa"/>
              <w:right w:w="100" w:type="dxa"/>
            </w:tcMar>
          </w:tcPr>
          <w:p w14:paraId="3A2A8404" w14:textId="77777777" w:rsidR="00E039C2" w:rsidRDefault="002A03E6">
            <w:r>
              <w:rPr>
                <w:b/>
                <w:color w:val="FFFFFF"/>
                <w:sz w:val="20"/>
              </w:rPr>
              <w:t>Target Benchmark</w:t>
            </w:r>
          </w:p>
        </w:tc>
        <w:tc>
          <w:tcPr>
            <w:tcW w:w="3456" w:type="dxa"/>
            <w:shd w:val="clear" w:color="auto" w:fill="1B365D"/>
            <w:tcMar>
              <w:top w:w="100" w:type="dxa"/>
              <w:left w:w="100" w:type="dxa"/>
              <w:bottom w:w="100" w:type="dxa"/>
              <w:right w:w="100" w:type="dxa"/>
            </w:tcMar>
          </w:tcPr>
          <w:p w14:paraId="0C17529E" w14:textId="77777777" w:rsidR="00E039C2" w:rsidRDefault="002A03E6">
            <w:r>
              <w:rPr>
                <w:b/>
                <w:color w:val="FFFFFF"/>
                <w:sz w:val="20"/>
              </w:rPr>
              <w:t>Primary Focus Area</w:t>
            </w:r>
          </w:p>
        </w:tc>
      </w:tr>
      <w:tr w:rsidR="00E039C2" w14:paraId="32B4DC6C" w14:textId="77777777">
        <w:trPr>
          <w:jc w:val="center"/>
        </w:trPr>
        <w:tc>
          <w:tcPr>
            <w:tcW w:w="576" w:type="dxa"/>
            <w:shd w:val="clear" w:color="auto" w:fill="FFFFFF"/>
            <w:tcMar>
              <w:top w:w="80" w:type="dxa"/>
              <w:left w:w="100" w:type="dxa"/>
              <w:bottom w:w="80" w:type="dxa"/>
              <w:right w:w="100" w:type="dxa"/>
            </w:tcMar>
          </w:tcPr>
          <w:p w14:paraId="52F63426" w14:textId="4C330C58" w:rsidR="00E039C2" w:rsidRDefault="002A03E6">
            <w:pPr>
              <w:jc w:val="center"/>
            </w:pPr>
            <w:r>
              <w:rPr>
                <w:sz w:val="19"/>
              </w:rPr>
              <w:t>1</w:t>
            </w:r>
          </w:p>
        </w:tc>
        <w:tc>
          <w:tcPr>
            <w:tcW w:w="3312" w:type="dxa"/>
            <w:shd w:val="clear" w:color="auto" w:fill="FFFFFF"/>
            <w:tcMar>
              <w:top w:w="80" w:type="dxa"/>
              <w:left w:w="100" w:type="dxa"/>
              <w:bottom w:w="80" w:type="dxa"/>
              <w:right w:w="100" w:type="dxa"/>
            </w:tcMar>
          </w:tcPr>
          <w:p w14:paraId="4A3B854C" w14:textId="77777777" w:rsidR="00E039C2" w:rsidRDefault="002A03E6">
            <w:r>
              <w:rPr>
                <w:b/>
                <w:sz w:val="19"/>
              </w:rPr>
              <w:t>First-Time Pass Rate (FTQ)</w:t>
            </w:r>
          </w:p>
        </w:tc>
        <w:tc>
          <w:tcPr>
            <w:tcW w:w="2592" w:type="dxa"/>
            <w:shd w:val="clear" w:color="auto" w:fill="FFFFFF"/>
            <w:tcMar>
              <w:top w:w="80" w:type="dxa"/>
              <w:left w:w="100" w:type="dxa"/>
              <w:bottom w:w="80" w:type="dxa"/>
              <w:right w:w="100" w:type="dxa"/>
            </w:tcMar>
          </w:tcPr>
          <w:p w14:paraId="6875993C" w14:textId="77777777" w:rsidR="00E039C2" w:rsidRDefault="002A03E6">
            <w:r>
              <w:rPr>
                <w:sz w:val="19"/>
              </w:rPr>
              <w:t>≥ 90 – 95%</w:t>
            </w:r>
          </w:p>
        </w:tc>
        <w:tc>
          <w:tcPr>
            <w:tcW w:w="3456" w:type="dxa"/>
            <w:shd w:val="clear" w:color="auto" w:fill="FFFFFF"/>
            <w:tcMar>
              <w:top w:w="80" w:type="dxa"/>
              <w:left w:w="100" w:type="dxa"/>
              <w:bottom w:w="80" w:type="dxa"/>
              <w:right w:w="100" w:type="dxa"/>
            </w:tcMar>
          </w:tcPr>
          <w:p w14:paraId="028490D5" w14:textId="77777777" w:rsidR="00E039C2" w:rsidRDefault="002A03E6">
            <w:r>
              <w:rPr>
                <w:sz w:val="19"/>
              </w:rPr>
              <w:t>Execution: Getting work right on first attempt</w:t>
            </w:r>
          </w:p>
        </w:tc>
      </w:tr>
      <w:tr w:rsidR="00E039C2" w14:paraId="045FCD05" w14:textId="77777777">
        <w:trPr>
          <w:jc w:val="center"/>
        </w:trPr>
        <w:tc>
          <w:tcPr>
            <w:tcW w:w="576" w:type="dxa"/>
            <w:shd w:val="clear" w:color="auto" w:fill="F8FAFC"/>
            <w:tcMar>
              <w:top w:w="80" w:type="dxa"/>
              <w:left w:w="100" w:type="dxa"/>
              <w:bottom w:w="80" w:type="dxa"/>
              <w:right w:w="100" w:type="dxa"/>
            </w:tcMar>
          </w:tcPr>
          <w:p w14:paraId="5F78F90C" w14:textId="4A3D987B" w:rsidR="00E039C2" w:rsidRDefault="002A03E6">
            <w:pPr>
              <w:jc w:val="center"/>
            </w:pPr>
            <w:r>
              <w:rPr>
                <w:sz w:val="19"/>
              </w:rPr>
              <w:t>2</w:t>
            </w:r>
          </w:p>
        </w:tc>
        <w:tc>
          <w:tcPr>
            <w:tcW w:w="3312" w:type="dxa"/>
            <w:shd w:val="clear" w:color="auto" w:fill="F8FAFC"/>
            <w:tcMar>
              <w:top w:w="80" w:type="dxa"/>
              <w:left w:w="100" w:type="dxa"/>
              <w:bottom w:w="80" w:type="dxa"/>
              <w:right w:w="100" w:type="dxa"/>
            </w:tcMar>
          </w:tcPr>
          <w:p w14:paraId="3EF71BB9" w14:textId="77777777" w:rsidR="00E039C2" w:rsidRDefault="002A03E6">
            <w:r>
              <w:rPr>
                <w:b/>
                <w:sz w:val="19"/>
              </w:rPr>
              <w:t>Rework Rate</w:t>
            </w:r>
          </w:p>
        </w:tc>
        <w:tc>
          <w:tcPr>
            <w:tcW w:w="2592" w:type="dxa"/>
            <w:shd w:val="clear" w:color="auto" w:fill="F8FAFC"/>
            <w:tcMar>
              <w:top w:w="80" w:type="dxa"/>
              <w:left w:w="100" w:type="dxa"/>
              <w:bottom w:w="80" w:type="dxa"/>
              <w:right w:w="100" w:type="dxa"/>
            </w:tcMar>
          </w:tcPr>
          <w:p w14:paraId="28EF644C" w14:textId="77777777" w:rsidR="00E039C2" w:rsidRDefault="002A03E6">
            <w:r>
              <w:rPr>
                <w:sz w:val="19"/>
              </w:rPr>
              <w:t>&lt; 1 – 2% of Budget</w:t>
            </w:r>
          </w:p>
        </w:tc>
        <w:tc>
          <w:tcPr>
            <w:tcW w:w="3456" w:type="dxa"/>
            <w:shd w:val="clear" w:color="auto" w:fill="F8FAFC"/>
            <w:tcMar>
              <w:top w:w="80" w:type="dxa"/>
              <w:left w:w="100" w:type="dxa"/>
              <w:bottom w:w="80" w:type="dxa"/>
              <w:right w:w="100" w:type="dxa"/>
            </w:tcMar>
          </w:tcPr>
          <w:p w14:paraId="02E77428" w14:textId="77777777" w:rsidR="00E039C2" w:rsidRDefault="002A03E6">
            <w:r>
              <w:rPr>
                <w:sz w:val="19"/>
              </w:rPr>
              <w:t>Financial: Protecting gross profit margins</w:t>
            </w:r>
          </w:p>
        </w:tc>
      </w:tr>
      <w:tr w:rsidR="00E039C2" w14:paraId="4D6B6C99" w14:textId="77777777">
        <w:trPr>
          <w:jc w:val="center"/>
        </w:trPr>
        <w:tc>
          <w:tcPr>
            <w:tcW w:w="576" w:type="dxa"/>
            <w:shd w:val="clear" w:color="auto" w:fill="FFFFFF"/>
            <w:tcMar>
              <w:top w:w="80" w:type="dxa"/>
              <w:left w:w="100" w:type="dxa"/>
              <w:bottom w:w="80" w:type="dxa"/>
              <w:right w:w="100" w:type="dxa"/>
            </w:tcMar>
          </w:tcPr>
          <w:p w14:paraId="6A48EBEB" w14:textId="46F038C6" w:rsidR="00E039C2" w:rsidRDefault="002A03E6">
            <w:pPr>
              <w:jc w:val="center"/>
            </w:pPr>
            <w:r>
              <w:rPr>
                <w:sz w:val="19"/>
              </w:rPr>
              <w:t>3</w:t>
            </w:r>
          </w:p>
        </w:tc>
        <w:tc>
          <w:tcPr>
            <w:tcW w:w="3312" w:type="dxa"/>
            <w:shd w:val="clear" w:color="auto" w:fill="FFFFFF"/>
            <w:tcMar>
              <w:top w:w="80" w:type="dxa"/>
              <w:left w:w="100" w:type="dxa"/>
              <w:bottom w:w="80" w:type="dxa"/>
              <w:right w:w="100" w:type="dxa"/>
            </w:tcMar>
          </w:tcPr>
          <w:p w14:paraId="0A8F8290" w14:textId="77777777" w:rsidR="00E039C2" w:rsidRDefault="002A03E6">
            <w:r>
              <w:rPr>
                <w:b/>
                <w:sz w:val="19"/>
              </w:rPr>
              <w:t>Defect Density</w:t>
            </w:r>
          </w:p>
        </w:tc>
        <w:tc>
          <w:tcPr>
            <w:tcW w:w="2592" w:type="dxa"/>
            <w:shd w:val="clear" w:color="auto" w:fill="FFFFFF"/>
            <w:tcMar>
              <w:top w:w="80" w:type="dxa"/>
              <w:left w:w="100" w:type="dxa"/>
              <w:bottom w:w="80" w:type="dxa"/>
              <w:right w:w="100" w:type="dxa"/>
            </w:tcMar>
          </w:tcPr>
          <w:p w14:paraId="3E907D98" w14:textId="1796F0DB" w:rsidR="00E039C2" w:rsidRDefault="002A03E6">
            <w:r>
              <w:rPr>
                <w:sz w:val="19"/>
              </w:rPr>
              <w:t xml:space="preserve">&lt; 2 per </w:t>
            </w:r>
            <w:r w:rsidR="002F2910">
              <w:rPr>
                <w:sz w:val="19"/>
              </w:rPr>
              <w:t>100 sq.m</w:t>
            </w:r>
          </w:p>
        </w:tc>
        <w:tc>
          <w:tcPr>
            <w:tcW w:w="3456" w:type="dxa"/>
            <w:shd w:val="clear" w:color="auto" w:fill="FFFFFF"/>
            <w:tcMar>
              <w:top w:w="80" w:type="dxa"/>
              <w:left w:w="100" w:type="dxa"/>
              <w:bottom w:w="80" w:type="dxa"/>
              <w:right w:w="100" w:type="dxa"/>
            </w:tcMar>
          </w:tcPr>
          <w:p w14:paraId="482EFB4C" w14:textId="77777777" w:rsidR="00E039C2" w:rsidRDefault="002A03E6">
            <w:r>
              <w:rPr>
                <w:sz w:val="19"/>
              </w:rPr>
              <w:t>Detection: Catching trade &amp; material flaws early</w:t>
            </w:r>
          </w:p>
        </w:tc>
      </w:tr>
      <w:tr w:rsidR="00E039C2" w14:paraId="67701506" w14:textId="77777777">
        <w:trPr>
          <w:jc w:val="center"/>
        </w:trPr>
        <w:tc>
          <w:tcPr>
            <w:tcW w:w="576" w:type="dxa"/>
            <w:shd w:val="clear" w:color="auto" w:fill="F8FAFC"/>
            <w:tcMar>
              <w:top w:w="80" w:type="dxa"/>
              <w:left w:w="100" w:type="dxa"/>
              <w:bottom w:w="80" w:type="dxa"/>
              <w:right w:w="100" w:type="dxa"/>
            </w:tcMar>
          </w:tcPr>
          <w:p w14:paraId="2D320931" w14:textId="1BA25383" w:rsidR="00E039C2" w:rsidRDefault="002A03E6">
            <w:pPr>
              <w:jc w:val="center"/>
            </w:pPr>
            <w:r>
              <w:rPr>
                <w:sz w:val="19"/>
              </w:rPr>
              <w:t>4</w:t>
            </w:r>
          </w:p>
        </w:tc>
        <w:tc>
          <w:tcPr>
            <w:tcW w:w="3312" w:type="dxa"/>
            <w:shd w:val="clear" w:color="auto" w:fill="F8FAFC"/>
            <w:tcMar>
              <w:top w:w="80" w:type="dxa"/>
              <w:left w:w="100" w:type="dxa"/>
              <w:bottom w:w="80" w:type="dxa"/>
              <w:right w:w="100" w:type="dxa"/>
            </w:tcMar>
          </w:tcPr>
          <w:p w14:paraId="73976DF2" w14:textId="77777777" w:rsidR="00E039C2" w:rsidRDefault="002A03E6">
            <w:r>
              <w:rPr>
                <w:b/>
                <w:sz w:val="19"/>
              </w:rPr>
              <w:t>NCR Resolution Time</w:t>
            </w:r>
          </w:p>
        </w:tc>
        <w:tc>
          <w:tcPr>
            <w:tcW w:w="2592" w:type="dxa"/>
            <w:shd w:val="clear" w:color="auto" w:fill="F8FAFC"/>
            <w:tcMar>
              <w:top w:w="80" w:type="dxa"/>
              <w:left w:w="100" w:type="dxa"/>
              <w:bottom w:w="80" w:type="dxa"/>
              <w:right w:w="100" w:type="dxa"/>
            </w:tcMar>
          </w:tcPr>
          <w:p w14:paraId="1361D241" w14:textId="77777777" w:rsidR="00E039C2" w:rsidRDefault="002A03E6">
            <w:r>
              <w:rPr>
                <w:sz w:val="19"/>
              </w:rPr>
              <w:t>≤ 5 – 7 Days</w:t>
            </w:r>
          </w:p>
        </w:tc>
        <w:tc>
          <w:tcPr>
            <w:tcW w:w="3456" w:type="dxa"/>
            <w:shd w:val="clear" w:color="auto" w:fill="F8FAFC"/>
            <w:tcMar>
              <w:top w:w="80" w:type="dxa"/>
              <w:left w:w="100" w:type="dxa"/>
              <w:bottom w:w="80" w:type="dxa"/>
              <w:right w:w="100" w:type="dxa"/>
            </w:tcMar>
          </w:tcPr>
          <w:p w14:paraId="2ACBCC79" w14:textId="77777777" w:rsidR="00E039C2" w:rsidRDefault="002A03E6">
            <w:r>
              <w:rPr>
                <w:sz w:val="19"/>
              </w:rPr>
              <w:t>Responsiveness: Speed of resolving issues</w:t>
            </w:r>
          </w:p>
        </w:tc>
      </w:tr>
      <w:tr w:rsidR="00E039C2" w14:paraId="737C2153" w14:textId="77777777">
        <w:trPr>
          <w:jc w:val="center"/>
        </w:trPr>
        <w:tc>
          <w:tcPr>
            <w:tcW w:w="576" w:type="dxa"/>
            <w:shd w:val="clear" w:color="auto" w:fill="FFFFFF"/>
            <w:tcMar>
              <w:top w:w="80" w:type="dxa"/>
              <w:left w:w="100" w:type="dxa"/>
              <w:bottom w:w="80" w:type="dxa"/>
              <w:right w:w="100" w:type="dxa"/>
            </w:tcMar>
          </w:tcPr>
          <w:p w14:paraId="51E36391" w14:textId="391DCA3D" w:rsidR="00E039C2" w:rsidRDefault="002A03E6">
            <w:pPr>
              <w:jc w:val="center"/>
            </w:pPr>
            <w:r>
              <w:rPr>
                <w:sz w:val="19"/>
              </w:rPr>
              <w:t>5</w:t>
            </w:r>
          </w:p>
        </w:tc>
        <w:tc>
          <w:tcPr>
            <w:tcW w:w="3312" w:type="dxa"/>
            <w:shd w:val="clear" w:color="auto" w:fill="FFFFFF"/>
            <w:tcMar>
              <w:top w:w="80" w:type="dxa"/>
              <w:left w:w="100" w:type="dxa"/>
              <w:bottom w:w="80" w:type="dxa"/>
              <w:right w:w="100" w:type="dxa"/>
            </w:tcMar>
          </w:tcPr>
          <w:p w14:paraId="1B6F8A18" w14:textId="77777777" w:rsidR="00E039C2" w:rsidRDefault="002A03E6">
            <w:r>
              <w:rPr>
                <w:b/>
                <w:sz w:val="19"/>
              </w:rPr>
              <w:t>Handover Punch List Count</w:t>
            </w:r>
          </w:p>
        </w:tc>
        <w:tc>
          <w:tcPr>
            <w:tcW w:w="2592" w:type="dxa"/>
            <w:shd w:val="clear" w:color="auto" w:fill="FFFFFF"/>
            <w:tcMar>
              <w:top w:w="80" w:type="dxa"/>
              <w:left w:w="100" w:type="dxa"/>
              <w:bottom w:w="80" w:type="dxa"/>
              <w:right w:w="100" w:type="dxa"/>
            </w:tcMar>
          </w:tcPr>
          <w:p w14:paraId="21117B16" w14:textId="77777777" w:rsidR="00E039C2" w:rsidRDefault="002A03E6">
            <w:r>
              <w:rPr>
                <w:sz w:val="19"/>
              </w:rPr>
              <w:t>Near-Zero / No Critical</w:t>
            </w:r>
          </w:p>
        </w:tc>
        <w:tc>
          <w:tcPr>
            <w:tcW w:w="3456" w:type="dxa"/>
            <w:shd w:val="clear" w:color="auto" w:fill="FFFFFF"/>
            <w:tcMar>
              <w:top w:w="80" w:type="dxa"/>
              <w:left w:w="100" w:type="dxa"/>
              <w:bottom w:w="80" w:type="dxa"/>
              <w:right w:w="100" w:type="dxa"/>
            </w:tcMar>
          </w:tcPr>
          <w:p w14:paraId="36ABAF98" w14:textId="77777777" w:rsidR="00E039C2" w:rsidRDefault="002A03E6">
            <w:r>
              <w:rPr>
                <w:sz w:val="19"/>
              </w:rPr>
              <w:t>Satisfaction: Ensuring clean client transition</w:t>
            </w:r>
          </w:p>
        </w:tc>
      </w:tr>
    </w:tbl>
    <w:p w14:paraId="7C175573" w14:textId="77777777" w:rsidR="00E039C2" w:rsidRDefault="00E039C2">
      <w:pPr>
        <w:spacing w:after="240"/>
      </w:pPr>
    </w:p>
    <w:sectPr w:rsidR="00E039C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3E6"/>
    <w:rsid w:val="002F2910"/>
    <w:rsid w:val="00326F90"/>
    <w:rsid w:val="00AA1D8D"/>
    <w:rsid w:val="00B47730"/>
    <w:rsid w:val="00CB0664"/>
    <w:rsid w:val="00E03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1D7D5"/>
  <w14:defaultImageDpi w14:val="300"/>
  <w15:docId w15:val="{EA2577B2-C731-41FF-8C50-979353A4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virtron bumal-o</cp:lastModifiedBy>
  <cp:revision>3</cp:revision>
  <dcterms:created xsi:type="dcterms:W3CDTF">2013-12-23T23:15:00Z</dcterms:created>
  <dcterms:modified xsi:type="dcterms:W3CDTF">2026-08-05T07:24:00Z</dcterms:modified>
  <cp:category/>
</cp:coreProperties>
</file>