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45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44"/>
        <w:gridCol w:w="4411"/>
        <w:gridCol w:w="2595"/>
      </w:tblGrid>
      <w:tr w:rsidR="0027620E" w:rsidRPr="002B4268" w14:paraId="5E3CCD12" w14:textId="77777777" w:rsidTr="002B4268">
        <w:trPr>
          <w:trHeight w:val="288"/>
        </w:trPr>
        <w:tc>
          <w:tcPr>
            <w:tcW w:w="3444" w:type="dxa"/>
            <w:vMerge w:val="restart"/>
            <w:vAlign w:val="center"/>
          </w:tcPr>
          <w:p w14:paraId="30AB07D8" w14:textId="274FF547" w:rsidR="0027620E" w:rsidRPr="002B4268" w:rsidRDefault="0027620E" w:rsidP="00482102">
            <w:pPr>
              <w:pStyle w:val="Header"/>
              <w:spacing w:line="360" w:lineRule="auto"/>
              <w:jc w:val="center"/>
              <w:rPr>
                <w:rFonts w:ascii="Arial" w:hAnsi="Arial" w:cs="Arial"/>
                <w:b/>
                <w:bCs/>
                <w:sz w:val="20"/>
                <w:szCs w:val="20"/>
              </w:rPr>
            </w:pPr>
            <w:bookmarkStart w:id="0" w:name="X4bea9e7acd5956d4521305313c8e5ea91283c36"/>
            <w:r w:rsidRPr="002B4268">
              <w:rPr>
                <w:rFonts w:ascii="Times New Roman" w:hAnsi="Times New Roman" w:cs="Times New Roman"/>
                <w:noProof/>
                <w:sz w:val="20"/>
                <w:szCs w:val="20"/>
              </w:rPr>
              <w:drawing>
                <wp:anchor distT="0" distB="0" distL="114300" distR="114300" simplePos="0" relativeHeight="251665408" behindDoc="0" locked="0" layoutInCell="1" allowOverlap="1" wp14:anchorId="47EED696" wp14:editId="67F4AEBC">
                  <wp:simplePos x="0" y="0"/>
                  <wp:positionH relativeFrom="margin">
                    <wp:posOffset>20320</wp:posOffset>
                  </wp:positionH>
                  <wp:positionV relativeFrom="margin">
                    <wp:posOffset>52705</wp:posOffset>
                  </wp:positionV>
                  <wp:extent cx="2049780" cy="407670"/>
                  <wp:effectExtent l="0" t="0" r="7620" b="0"/>
                  <wp:wrapNone/>
                  <wp:docPr id="1257173331" name="Picture 7" descr="EXTERNAL CONSTRUCTION_NO 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ERNAL CONSTRUCTION_NO AD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9780" cy="407670"/>
                          </a:xfrm>
                          <a:prstGeom prst="rect">
                            <a:avLst/>
                          </a:prstGeom>
                          <a:noFill/>
                        </pic:spPr>
                      </pic:pic>
                    </a:graphicData>
                  </a:graphic>
                  <wp14:sizeRelH relativeFrom="page">
                    <wp14:pctWidth>0</wp14:pctWidth>
                  </wp14:sizeRelH>
                  <wp14:sizeRelV relativeFrom="page">
                    <wp14:pctHeight>0</wp14:pctHeight>
                  </wp14:sizeRelV>
                </wp:anchor>
              </w:drawing>
            </w:r>
          </w:p>
          <w:p w14:paraId="2C58AAA8" w14:textId="77777777" w:rsidR="0027620E" w:rsidRPr="002B4268" w:rsidRDefault="0027620E" w:rsidP="00482102">
            <w:pPr>
              <w:jc w:val="center"/>
              <w:rPr>
                <w:sz w:val="20"/>
                <w:szCs w:val="20"/>
              </w:rPr>
            </w:pPr>
          </w:p>
        </w:tc>
        <w:tc>
          <w:tcPr>
            <w:tcW w:w="4411" w:type="dxa"/>
            <w:vMerge w:val="restart"/>
            <w:vAlign w:val="center"/>
          </w:tcPr>
          <w:p w14:paraId="7D88B16E" w14:textId="1D1D6060" w:rsidR="0027620E" w:rsidRPr="002B4268" w:rsidRDefault="0027620E" w:rsidP="002B4268">
            <w:pPr>
              <w:pStyle w:val="Header"/>
              <w:tabs>
                <w:tab w:val="left" w:pos="4212"/>
              </w:tabs>
              <w:ind w:right="72"/>
              <w:jc w:val="center"/>
              <w:rPr>
                <w:rFonts w:ascii="Trebuchet MS" w:hAnsi="Trebuchet MS" w:cs="Arial"/>
                <w:b/>
                <w:bCs/>
                <w:sz w:val="28"/>
                <w:szCs w:val="28"/>
              </w:rPr>
            </w:pPr>
            <w:r w:rsidRPr="002B4268">
              <w:rPr>
                <w:rFonts w:ascii="Trebuchet MS" w:hAnsi="Trebuchet MS" w:cs="Arial"/>
                <w:b/>
                <w:bCs/>
                <w:sz w:val="28"/>
                <w:szCs w:val="28"/>
              </w:rPr>
              <w:t>QA/QC PROCEDURES MANUAL</w:t>
            </w:r>
          </w:p>
        </w:tc>
        <w:tc>
          <w:tcPr>
            <w:tcW w:w="2595" w:type="dxa"/>
            <w:vAlign w:val="center"/>
          </w:tcPr>
          <w:p w14:paraId="000BC2CC" w14:textId="3D739C8A" w:rsidR="0027620E" w:rsidRPr="002B4268" w:rsidRDefault="0027620E" w:rsidP="00482102">
            <w:pPr>
              <w:pStyle w:val="Header"/>
              <w:tabs>
                <w:tab w:val="left" w:pos="1332"/>
              </w:tabs>
              <w:rPr>
                <w:rFonts w:ascii="Trebuchet MS" w:hAnsi="Trebuchet MS" w:cs="Arial"/>
                <w:i/>
                <w:sz w:val="16"/>
                <w:szCs w:val="16"/>
              </w:rPr>
            </w:pPr>
            <w:r w:rsidRPr="002B4268">
              <w:rPr>
                <w:rFonts w:ascii="Trebuchet MS" w:hAnsi="Trebuchet MS" w:cs="Arial"/>
                <w:i/>
                <w:sz w:val="16"/>
                <w:szCs w:val="16"/>
              </w:rPr>
              <w:t xml:space="preserve">Doc. Code </w:t>
            </w:r>
            <w:proofErr w:type="gramStart"/>
            <w:r w:rsidRPr="002B4268">
              <w:rPr>
                <w:rFonts w:ascii="Trebuchet MS" w:hAnsi="Trebuchet MS" w:cs="Arial"/>
                <w:i/>
                <w:sz w:val="16"/>
                <w:szCs w:val="16"/>
              </w:rPr>
              <w:t xml:space="preserve">  :</w:t>
            </w:r>
            <w:proofErr w:type="gramEnd"/>
            <w:r w:rsidRPr="002B4268">
              <w:rPr>
                <w:rFonts w:ascii="Trebuchet MS" w:hAnsi="Trebuchet MS" w:cs="Arial"/>
                <w:i/>
                <w:sz w:val="16"/>
                <w:szCs w:val="16"/>
              </w:rPr>
              <w:t xml:space="preserve"> PM-OPN-2-</w:t>
            </w:r>
          </w:p>
        </w:tc>
      </w:tr>
      <w:tr w:rsidR="0027620E" w:rsidRPr="002B4268" w14:paraId="5DE8C8AD" w14:textId="77777777" w:rsidTr="0027620E">
        <w:trPr>
          <w:trHeight w:val="288"/>
        </w:trPr>
        <w:tc>
          <w:tcPr>
            <w:tcW w:w="3444" w:type="dxa"/>
            <w:vMerge/>
          </w:tcPr>
          <w:p w14:paraId="5D9417E3" w14:textId="77777777" w:rsidR="0027620E" w:rsidRPr="002B4268" w:rsidRDefault="0027620E" w:rsidP="00482102">
            <w:pPr>
              <w:pStyle w:val="Header"/>
              <w:ind w:right="360"/>
              <w:jc w:val="center"/>
              <w:rPr>
                <w:rFonts w:ascii="Arial" w:hAnsi="Arial" w:cs="Arial"/>
                <w:sz w:val="20"/>
                <w:szCs w:val="20"/>
              </w:rPr>
            </w:pPr>
          </w:p>
        </w:tc>
        <w:tc>
          <w:tcPr>
            <w:tcW w:w="4411" w:type="dxa"/>
            <w:vMerge/>
          </w:tcPr>
          <w:p w14:paraId="1565399B" w14:textId="77777777" w:rsidR="0027620E" w:rsidRPr="002B4268" w:rsidRDefault="0027620E" w:rsidP="00482102">
            <w:pPr>
              <w:pStyle w:val="Header"/>
              <w:ind w:right="360"/>
              <w:jc w:val="center"/>
              <w:rPr>
                <w:rFonts w:ascii="Arial" w:hAnsi="Arial" w:cs="Arial"/>
                <w:sz w:val="20"/>
                <w:szCs w:val="20"/>
              </w:rPr>
            </w:pPr>
          </w:p>
        </w:tc>
        <w:tc>
          <w:tcPr>
            <w:tcW w:w="2595" w:type="dxa"/>
            <w:vAlign w:val="center"/>
          </w:tcPr>
          <w:p w14:paraId="675FB67D" w14:textId="04A6F3E1" w:rsidR="0027620E" w:rsidRPr="002B4268" w:rsidRDefault="0027620E" w:rsidP="00482102">
            <w:pPr>
              <w:pStyle w:val="Header"/>
              <w:tabs>
                <w:tab w:val="left" w:pos="1332"/>
              </w:tabs>
              <w:ind w:right="360"/>
              <w:rPr>
                <w:rFonts w:ascii="Trebuchet MS" w:hAnsi="Trebuchet MS" w:cs="Arial"/>
                <w:i/>
                <w:sz w:val="16"/>
                <w:szCs w:val="16"/>
              </w:rPr>
            </w:pPr>
            <w:r w:rsidRPr="002B4268">
              <w:rPr>
                <w:rFonts w:ascii="Trebuchet MS" w:hAnsi="Trebuchet MS" w:cs="Arial"/>
                <w:i/>
                <w:sz w:val="16"/>
                <w:szCs w:val="16"/>
              </w:rPr>
              <w:t xml:space="preserve">Rev. No.   </w:t>
            </w:r>
            <w:proofErr w:type="gramStart"/>
            <w:r w:rsidRPr="002B4268">
              <w:rPr>
                <w:rFonts w:ascii="Trebuchet MS" w:hAnsi="Trebuchet MS" w:cs="Arial"/>
                <w:i/>
                <w:sz w:val="16"/>
                <w:szCs w:val="16"/>
              </w:rPr>
              <w:t xml:space="preserve">  :</w:t>
            </w:r>
            <w:proofErr w:type="gramEnd"/>
            <w:r w:rsidRPr="002B4268">
              <w:rPr>
                <w:rFonts w:ascii="Trebuchet MS" w:hAnsi="Trebuchet MS" w:cs="Arial"/>
                <w:i/>
                <w:sz w:val="16"/>
                <w:szCs w:val="16"/>
              </w:rPr>
              <w:t xml:space="preserve">  0</w:t>
            </w:r>
          </w:p>
        </w:tc>
      </w:tr>
      <w:tr w:rsidR="0027620E" w:rsidRPr="002B4268" w14:paraId="5B1E017B" w14:textId="77777777" w:rsidTr="0027620E">
        <w:trPr>
          <w:trHeight w:val="288"/>
        </w:trPr>
        <w:tc>
          <w:tcPr>
            <w:tcW w:w="3444" w:type="dxa"/>
            <w:vMerge/>
          </w:tcPr>
          <w:p w14:paraId="46678AEF" w14:textId="77777777" w:rsidR="0027620E" w:rsidRPr="002B4268" w:rsidRDefault="0027620E" w:rsidP="00482102">
            <w:pPr>
              <w:pStyle w:val="Header"/>
              <w:ind w:right="360"/>
              <w:jc w:val="center"/>
              <w:rPr>
                <w:rFonts w:ascii="Arial" w:hAnsi="Arial" w:cs="Arial"/>
                <w:b/>
                <w:bCs/>
                <w:szCs w:val="20"/>
              </w:rPr>
            </w:pPr>
          </w:p>
        </w:tc>
        <w:tc>
          <w:tcPr>
            <w:tcW w:w="4411" w:type="dxa"/>
            <w:vMerge/>
          </w:tcPr>
          <w:p w14:paraId="0D49D6DB" w14:textId="77777777" w:rsidR="0027620E" w:rsidRPr="002B4268" w:rsidRDefault="0027620E" w:rsidP="00482102">
            <w:pPr>
              <w:pStyle w:val="Header"/>
              <w:ind w:right="360"/>
              <w:jc w:val="center"/>
              <w:rPr>
                <w:rFonts w:ascii="Arial" w:hAnsi="Arial" w:cs="Arial"/>
                <w:b/>
                <w:bCs/>
                <w:szCs w:val="20"/>
              </w:rPr>
            </w:pPr>
          </w:p>
        </w:tc>
        <w:tc>
          <w:tcPr>
            <w:tcW w:w="2595" w:type="dxa"/>
            <w:vAlign w:val="center"/>
          </w:tcPr>
          <w:p w14:paraId="64C455D7" w14:textId="29A544FF" w:rsidR="0027620E" w:rsidRPr="002B4268" w:rsidRDefault="0027620E" w:rsidP="00482102">
            <w:pPr>
              <w:pStyle w:val="Header"/>
              <w:tabs>
                <w:tab w:val="left" w:pos="1332"/>
                <w:tab w:val="left" w:pos="2304"/>
              </w:tabs>
              <w:ind w:right="-108"/>
              <w:rPr>
                <w:rFonts w:ascii="Trebuchet MS" w:hAnsi="Trebuchet MS" w:cs="Arial"/>
                <w:i/>
                <w:sz w:val="16"/>
                <w:szCs w:val="16"/>
              </w:rPr>
            </w:pPr>
            <w:r w:rsidRPr="002B4268">
              <w:rPr>
                <w:rFonts w:ascii="Trebuchet MS" w:hAnsi="Trebuchet MS" w:cs="Arial"/>
                <w:i/>
                <w:sz w:val="16"/>
                <w:szCs w:val="16"/>
              </w:rPr>
              <w:t xml:space="preserve">Eff. Date </w:t>
            </w:r>
            <w:proofErr w:type="gramStart"/>
            <w:r w:rsidRPr="002B4268">
              <w:rPr>
                <w:rFonts w:ascii="Trebuchet MS" w:hAnsi="Trebuchet MS" w:cs="Arial"/>
                <w:i/>
                <w:sz w:val="16"/>
                <w:szCs w:val="16"/>
              </w:rPr>
              <w:t xml:space="preserve">  :</w:t>
            </w:r>
            <w:proofErr w:type="gramEnd"/>
            <w:r w:rsidRPr="002B4268">
              <w:rPr>
                <w:rFonts w:ascii="Trebuchet MS" w:hAnsi="Trebuchet MS" w:cs="Arial"/>
                <w:i/>
                <w:sz w:val="16"/>
                <w:szCs w:val="16"/>
              </w:rPr>
              <w:t xml:space="preserve">  Sept. 16, 2026</w:t>
            </w:r>
          </w:p>
        </w:tc>
      </w:tr>
      <w:tr w:rsidR="0027620E" w:rsidRPr="002B4268" w14:paraId="1DAA39DB" w14:textId="77777777" w:rsidTr="0027620E">
        <w:trPr>
          <w:trHeight w:val="250"/>
        </w:trPr>
        <w:tc>
          <w:tcPr>
            <w:tcW w:w="3444" w:type="dxa"/>
            <w:vMerge/>
          </w:tcPr>
          <w:p w14:paraId="292BA680" w14:textId="77777777" w:rsidR="0027620E" w:rsidRPr="002B4268" w:rsidRDefault="0027620E" w:rsidP="00482102">
            <w:pPr>
              <w:pStyle w:val="Header"/>
              <w:ind w:right="360"/>
              <w:jc w:val="center"/>
              <w:rPr>
                <w:rFonts w:ascii="Arial" w:hAnsi="Arial" w:cs="Arial"/>
                <w:sz w:val="20"/>
                <w:szCs w:val="20"/>
              </w:rPr>
            </w:pPr>
          </w:p>
        </w:tc>
        <w:tc>
          <w:tcPr>
            <w:tcW w:w="4411" w:type="dxa"/>
            <w:vMerge/>
          </w:tcPr>
          <w:p w14:paraId="0A9F35AD" w14:textId="77777777" w:rsidR="0027620E" w:rsidRPr="002B4268" w:rsidRDefault="0027620E" w:rsidP="00482102">
            <w:pPr>
              <w:pStyle w:val="Header"/>
              <w:ind w:right="360"/>
              <w:jc w:val="center"/>
              <w:rPr>
                <w:rFonts w:ascii="Arial" w:hAnsi="Arial" w:cs="Arial"/>
                <w:sz w:val="20"/>
                <w:szCs w:val="20"/>
              </w:rPr>
            </w:pPr>
          </w:p>
        </w:tc>
        <w:tc>
          <w:tcPr>
            <w:tcW w:w="2595" w:type="dxa"/>
            <w:vAlign w:val="center"/>
          </w:tcPr>
          <w:p w14:paraId="18DAD1AB" w14:textId="2202B49A" w:rsidR="0027620E" w:rsidRPr="002B4268" w:rsidRDefault="0027620E" w:rsidP="00482102">
            <w:pPr>
              <w:pStyle w:val="Header"/>
              <w:tabs>
                <w:tab w:val="left" w:pos="1332"/>
              </w:tabs>
              <w:ind w:right="360"/>
              <w:rPr>
                <w:rFonts w:ascii="Trebuchet MS" w:hAnsi="Trebuchet MS" w:cs="Arial"/>
                <w:i/>
                <w:sz w:val="16"/>
                <w:szCs w:val="16"/>
              </w:rPr>
            </w:pPr>
            <w:r w:rsidRPr="002B4268">
              <w:rPr>
                <w:rFonts w:ascii="Trebuchet MS" w:hAnsi="Trebuchet MS" w:cs="Arial"/>
                <w:i/>
                <w:sz w:val="16"/>
                <w:szCs w:val="16"/>
              </w:rPr>
              <w:t xml:space="preserve">Pages        </w:t>
            </w:r>
            <w:proofErr w:type="gramStart"/>
            <w:r w:rsidRPr="002B4268">
              <w:rPr>
                <w:rFonts w:ascii="Trebuchet MS" w:hAnsi="Trebuchet MS" w:cs="Arial"/>
                <w:i/>
                <w:sz w:val="16"/>
                <w:szCs w:val="16"/>
              </w:rPr>
              <w:t xml:space="preserve">  :</w:t>
            </w:r>
            <w:proofErr w:type="gramEnd"/>
            <w:r w:rsidRPr="002B4268">
              <w:rPr>
                <w:rFonts w:ascii="Trebuchet MS" w:hAnsi="Trebuchet MS" w:cs="Arial"/>
                <w:i/>
                <w:sz w:val="16"/>
                <w:szCs w:val="16"/>
              </w:rPr>
              <w:t xml:space="preserve">  1-6</w:t>
            </w:r>
          </w:p>
        </w:tc>
      </w:tr>
    </w:tbl>
    <w:p w14:paraId="27DF7D45" w14:textId="778671D2" w:rsidR="007B5673" w:rsidRPr="003D677B" w:rsidRDefault="0027620E">
      <w:pPr>
        <w:pStyle w:val="Heading1"/>
        <w:rPr>
          <w:sz w:val="28"/>
          <w:szCs w:val="28"/>
        </w:rPr>
      </w:pPr>
      <w:r w:rsidRPr="003D677B">
        <w:rPr>
          <w:sz w:val="28"/>
          <w:szCs w:val="28"/>
        </w:rPr>
        <w:t xml:space="preserve">Boysen </w:t>
      </w:r>
      <w:proofErr w:type="spellStart"/>
      <w:r w:rsidRPr="003D677B">
        <w:rPr>
          <w:sz w:val="28"/>
          <w:szCs w:val="28"/>
        </w:rPr>
        <w:t>Plexibond</w:t>
      </w:r>
      <w:proofErr w:type="spellEnd"/>
      <w:r w:rsidRPr="003D677B">
        <w:rPr>
          <w:sz w:val="28"/>
          <w:szCs w:val="28"/>
        </w:rPr>
        <w:t xml:space="preserve"> B‑7760 — Cementitious Waterproofing: Step‑by‑Step Procedure</w:t>
      </w:r>
    </w:p>
    <w:p w14:paraId="43D57AA9" w14:textId="77777777" w:rsidR="007B5673" w:rsidRPr="002B4268" w:rsidRDefault="0027620E" w:rsidP="0051386C">
      <w:pPr>
        <w:jc w:val="both"/>
        <w:rPr>
          <w:sz w:val="20"/>
          <w:szCs w:val="20"/>
        </w:rPr>
      </w:pPr>
      <w:r w:rsidRPr="002B4268">
        <w:rPr>
          <w:sz w:val="20"/>
          <w:szCs w:val="20"/>
        </w:rPr>
        <w:t>This document provides a complete, actionable application procedure for BOYSEN Plexibond B‑7760 cementitious waterproofing system. It covers scope and uses, materials and tools, surface preparation, mixing, application (vertical and horizontal), reinforcement, curing and protection, safety, quality checks, and recommended top‑coat schedule. Follow manufacturer instructions and local safety regulations.</w:t>
      </w:r>
    </w:p>
    <w:p w14:paraId="6FCF80E1" w14:textId="77777777" w:rsidR="007B5673" w:rsidRPr="002B4268" w:rsidRDefault="0027620E">
      <w:pPr>
        <w:pStyle w:val="Heading2"/>
        <w:rPr>
          <w:sz w:val="28"/>
          <w:szCs w:val="28"/>
        </w:rPr>
      </w:pPr>
      <w:bookmarkStart w:id="1" w:name="X95633505731da0fec002dba905bde04aa83895d"/>
      <w:r w:rsidRPr="002B4268">
        <w:rPr>
          <w:sz w:val="28"/>
          <w:szCs w:val="28"/>
        </w:rPr>
        <w:t>1. Scope &amp; Typical Uses</w:t>
      </w:r>
    </w:p>
    <w:p w14:paraId="06902FA1" w14:textId="77777777" w:rsidR="007B5673" w:rsidRPr="002B4268" w:rsidRDefault="0027620E" w:rsidP="0051386C">
      <w:pPr>
        <w:jc w:val="both"/>
        <w:rPr>
          <w:sz w:val="20"/>
          <w:szCs w:val="20"/>
        </w:rPr>
      </w:pPr>
      <w:r w:rsidRPr="002B4268">
        <w:rPr>
          <w:sz w:val="20"/>
          <w:szCs w:val="20"/>
        </w:rPr>
        <w:t>BOYSEN Plexibond B‑7760 is a cementitious polymer waterproofing system intended for positive‑side waterproofing of concrete surfaces such as roof decks, parapets, ledges, canopies, firewalls, and similar substrates. It is compatible with common top coats including BOYSEN Permacoat Latex, Acrytex, Acqua Epoxy, and Epoxy Enamel.</w:t>
      </w:r>
    </w:p>
    <w:p w14:paraId="647FD893" w14:textId="77777777" w:rsidR="007B5673" w:rsidRPr="002B4268" w:rsidRDefault="0027620E">
      <w:pPr>
        <w:pStyle w:val="Heading2"/>
        <w:rPr>
          <w:sz w:val="28"/>
          <w:szCs w:val="28"/>
        </w:rPr>
      </w:pPr>
      <w:bookmarkStart w:id="2" w:name="X59eb4e10dfff4964e8bf6c8e71d76eb14699a3c"/>
      <w:bookmarkEnd w:id="1"/>
      <w:r w:rsidRPr="002B4268">
        <w:rPr>
          <w:sz w:val="28"/>
          <w:szCs w:val="28"/>
        </w:rPr>
        <w:t>2. Materials, Tools, and PPE</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3040"/>
        <w:gridCol w:w="7416"/>
      </w:tblGrid>
      <w:tr w:rsidR="007B5673" w:rsidRPr="002B4268" w14:paraId="31768F7F" w14:textId="77777777">
        <w:trPr>
          <w:tblHeader/>
        </w:trPr>
        <w:tc>
          <w:tcPr>
            <w:tcW w:w="0" w:type="auto"/>
          </w:tcPr>
          <w:p w14:paraId="17A47C3C" w14:textId="77777777" w:rsidR="007B5673" w:rsidRPr="002B4268" w:rsidRDefault="0027620E" w:rsidP="004F0F18">
            <w:pPr>
              <w:spacing w:after="0"/>
              <w:rPr>
                <w:sz w:val="20"/>
                <w:szCs w:val="20"/>
              </w:rPr>
            </w:pPr>
            <w:r w:rsidRPr="002B4268">
              <w:rPr>
                <w:sz w:val="20"/>
                <w:szCs w:val="20"/>
              </w:rPr>
              <w:t>Item</w:t>
            </w:r>
          </w:p>
        </w:tc>
        <w:tc>
          <w:tcPr>
            <w:tcW w:w="0" w:type="auto"/>
          </w:tcPr>
          <w:p w14:paraId="1C3ED4CD" w14:textId="77777777" w:rsidR="007B5673" w:rsidRPr="002B4268" w:rsidRDefault="0027620E" w:rsidP="004F0F18">
            <w:pPr>
              <w:spacing w:after="0"/>
              <w:rPr>
                <w:sz w:val="20"/>
                <w:szCs w:val="20"/>
              </w:rPr>
            </w:pPr>
            <w:r w:rsidRPr="002B4268">
              <w:rPr>
                <w:sz w:val="20"/>
                <w:szCs w:val="20"/>
              </w:rPr>
              <w:t>Specification / Typical Quantity</w:t>
            </w:r>
          </w:p>
        </w:tc>
      </w:tr>
      <w:tr w:rsidR="007B5673" w:rsidRPr="002B4268" w14:paraId="6ABC28B5" w14:textId="77777777">
        <w:tc>
          <w:tcPr>
            <w:tcW w:w="0" w:type="auto"/>
          </w:tcPr>
          <w:p w14:paraId="2C6BB881" w14:textId="77777777" w:rsidR="007B5673" w:rsidRPr="002B4268" w:rsidRDefault="0027620E" w:rsidP="004F0F18">
            <w:pPr>
              <w:spacing w:after="0"/>
              <w:rPr>
                <w:sz w:val="20"/>
                <w:szCs w:val="20"/>
              </w:rPr>
            </w:pPr>
            <w:r w:rsidRPr="002B4268">
              <w:rPr>
                <w:sz w:val="20"/>
                <w:szCs w:val="20"/>
              </w:rPr>
              <w:t>BOYSEN Plexibond B‑7760 (liquid)</w:t>
            </w:r>
          </w:p>
        </w:tc>
        <w:tc>
          <w:tcPr>
            <w:tcW w:w="0" w:type="auto"/>
          </w:tcPr>
          <w:p w14:paraId="3B91FDA3" w14:textId="77777777" w:rsidR="007B5673" w:rsidRPr="002B4268" w:rsidRDefault="0027620E" w:rsidP="004F0F18">
            <w:pPr>
              <w:spacing w:after="0"/>
              <w:rPr>
                <w:sz w:val="20"/>
                <w:szCs w:val="20"/>
              </w:rPr>
            </w:pPr>
            <w:r w:rsidRPr="002B4268">
              <w:rPr>
                <w:sz w:val="20"/>
                <w:szCs w:val="20"/>
              </w:rPr>
              <w:t>4 L per 6.5–7.5 kg Portland cement (ratio: 1 part liquid : ~6.5–7.5 parts cement by weight)</w:t>
            </w:r>
          </w:p>
        </w:tc>
      </w:tr>
      <w:tr w:rsidR="007B5673" w:rsidRPr="002B4268" w14:paraId="71B86800" w14:textId="77777777">
        <w:tc>
          <w:tcPr>
            <w:tcW w:w="0" w:type="auto"/>
          </w:tcPr>
          <w:p w14:paraId="4F72A76E" w14:textId="77777777" w:rsidR="007B5673" w:rsidRPr="002B4268" w:rsidRDefault="0027620E" w:rsidP="004F0F18">
            <w:pPr>
              <w:spacing w:after="0"/>
              <w:rPr>
                <w:sz w:val="20"/>
                <w:szCs w:val="20"/>
              </w:rPr>
            </w:pPr>
            <w:r w:rsidRPr="002B4268">
              <w:rPr>
                <w:sz w:val="20"/>
                <w:szCs w:val="20"/>
              </w:rPr>
              <w:t>Portland cement (Type I/II)</w:t>
            </w:r>
          </w:p>
        </w:tc>
        <w:tc>
          <w:tcPr>
            <w:tcW w:w="0" w:type="auto"/>
          </w:tcPr>
          <w:p w14:paraId="7C8E1494" w14:textId="77777777" w:rsidR="007B5673" w:rsidRPr="002B4268" w:rsidRDefault="0027620E" w:rsidP="004F0F18">
            <w:pPr>
              <w:spacing w:after="0"/>
              <w:rPr>
                <w:sz w:val="20"/>
                <w:szCs w:val="20"/>
              </w:rPr>
            </w:pPr>
            <w:r w:rsidRPr="002B4268">
              <w:rPr>
                <w:sz w:val="20"/>
                <w:szCs w:val="20"/>
              </w:rPr>
              <w:t>6.5–7.5 kg per 4 L Plexibond</w:t>
            </w:r>
          </w:p>
        </w:tc>
      </w:tr>
      <w:tr w:rsidR="007B5673" w:rsidRPr="002B4268" w14:paraId="5D233E20" w14:textId="77777777">
        <w:tc>
          <w:tcPr>
            <w:tcW w:w="0" w:type="auto"/>
          </w:tcPr>
          <w:p w14:paraId="4A7ABA1E" w14:textId="77777777" w:rsidR="007B5673" w:rsidRPr="002B4268" w:rsidRDefault="0027620E" w:rsidP="004F0F18">
            <w:pPr>
              <w:spacing w:after="0"/>
              <w:rPr>
                <w:sz w:val="20"/>
                <w:szCs w:val="20"/>
              </w:rPr>
            </w:pPr>
            <w:r w:rsidRPr="002B4268">
              <w:rPr>
                <w:sz w:val="20"/>
                <w:szCs w:val="20"/>
              </w:rPr>
              <w:t>Clean water</w:t>
            </w:r>
          </w:p>
        </w:tc>
        <w:tc>
          <w:tcPr>
            <w:tcW w:w="0" w:type="auto"/>
          </w:tcPr>
          <w:p w14:paraId="6142DCF3" w14:textId="77777777" w:rsidR="007B5673" w:rsidRPr="002B4268" w:rsidRDefault="0027620E" w:rsidP="004F0F18">
            <w:pPr>
              <w:spacing w:after="0"/>
              <w:rPr>
                <w:sz w:val="20"/>
                <w:szCs w:val="20"/>
              </w:rPr>
            </w:pPr>
            <w:r w:rsidRPr="002B4268">
              <w:rPr>
                <w:sz w:val="20"/>
                <w:szCs w:val="20"/>
              </w:rPr>
              <w:t>For dampening substrate and tool cleaning</w:t>
            </w:r>
          </w:p>
        </w:tc>
      </w:tr>
      <w:tr w:rsidR="007B5673" w:rsidRPr="002B4268" w14:paraId="1EED321B" w14:textId="77777777">
        <w:tc>
          <w:tcPr>
            <w:tcW w:w="0" w:type="auto"/>
          </w:tcPr>
          <w:p w14:paraId="2C134863" w14:textId="77777777" w:rsidR="007B5673" w:rsidRPr="002B4268" w:rsidRDefault="0027620E" w:rsidP="004F0F18">
            <w:pPr>
              <w:spacing w:after="0"/>
              <w:rPr>
                <w:sz w:val="20"/>
                <w:szCs w:val="20"/>
              </w:rPr>
            </w:pPr>
            <w:r w:rsidRPr="002B4268">
              <w:rPr>
                <w:sz w:val="20"/>
                <w:szCs w:val="20"/>
              </w:rPr>
              <w:t>Mixing tools</w:t>
            </w:r>
          </w:p>
        </w:tc>
        <w:tc>
          <w:tcPr>
            <w:tcW w:w="0" w:type="auto"/>
          </w:tcPr>
          <w:p w14:paraId="7ACCD3FB" w14:textId="77777777" w:rsidR="007B5673" w:rsidRPr="002B4268" w:rsidRDefault="0027620E" w:rsidP="004F0F18">
            <w:pPr>
              <w:spacing w:after="0"/>
              <w:rPr>
                <w:sz w:val="20"/>
                <w:szCs w:val="20"/>
              </w:rPr>
            </w:pPr>
            <w:r w:rsidRPr="002B4268">
              <w:rPr>
                <w:sz w:val="20"/>
                <w:szCs w:val="20"/>
              </w:rPr>
              <w:t>Large clean bucket, low‑speed drill with mixing paddle, shovel</w:t>
            </w:r>
          </w:p>
        </w:tc>
      </w:tr>
      <w:tr w:rsidR="007B5673" w:rsidRPr="002B4268" w14:paraId="195FE1F4" w14:textId="77777777">
        <w:tc>
          <w:tcPr>
            <w:tcW w:w="0" w:type="auto"/>
          </w:tcPr>
          <w:p w14:paraId="0CA7FB45" w14:textId="77777777" w:rsidR="007B5673" w:rsidRPr="002B4268" w:rsidRDefault="0027620E" w:rsidP="004F0F18">
            <w:pPr>
              <w:spacing w:after="0"/>
              <w:rPr>
                <w:sz w:val="20"/>
                <w:szCs w:val="20"/>
              </w:rPr>
            </w:pPr>
            <w:r w:rsidRPr="002B4268">
              <w:rPr>
                <w:sz w:val="20"/>
                <w:szCs w:val="20"/>
              </w:rPr>
              <w:t>Application tools</w:t>
            </w:r>
          </w:p>
        </w:tc>
        <w:tc>
          <w:tcPr>
            <w:tcW w:w="0" w:type="auto"/>
          </w:tcPr>
          <w:p w14:paraId="235F4828" w14:textId="77777777" w:rsidR="007B5673" w:rsidRPr="002B4268" w:rsidRDefault="0027620E" w:rsidP="004F0F18">
            <w:pPr>
              <w:spacing w:after="0"/>
              <w:rPr>
                <w:sz w:val="20"/>
                <w:szCs w:val="20"/>
              </w:rPr>
            </w:pPr>
            <w:r w:rsidRPr="002B4268">
              <w:rPr>
                <w:sz w:val="20"/>
                <w:szCs w:val="20"/>
              </w:rPr>
              <w:t>Textured roller, natural‑bristle brush, plastic trowel, mortar gun (optional)</w:t>
            </w:r>
          </w:p>
        </w:tc>
      </w:tr>
      <w:tr w:rsidR="007B5673" w:rsidRPr="002B4268" w14:paraId="5C9D4322" w14:textId="77777777">
        <w:tc>
          <w:tcPr>
            <w:tcW w:w="0" w:type="auto"/>
          </w:tcPr>
          <w:p w14:paraId="0E6C02B1" w14:textId="77777777" w:rsidR="007B5673" w:rsidRPr="002B4268" w:rsidRDefault="0027620E" w:rsidP="004F0F18">
            <w:pPr>
              <w:spacing w:after="0"/>
              <w:rPr>
                <w:sz w:val="20"/>
                <w:szCs w:val="20"/>
              </w:rPr>
            </w:pPr>
            <w:r w:rsidRPr="002B4268">
              <w:rPr>
                <w:sz w:val="20"/>
                <w:szCs w:val="20"/>
              </w:rPr>
              <w:t>Reinforcement</w:t>
            </w:r>
          </w:p>
        </w:tc>
        <w:tc>
          <w:tcPr>
            <w:tcW w:w="0" w:type="auto"/>
          </w:tcPr>
          <w:p w14:paraId="60B00ADA" w14:textId="77777777" w:rsidR="007B5673" w:rsidRPr="002B4268" w:rsidRDefault="0027620E" w:rsidP="004F0F18">
            <w:pPr>
              <w:spacing w:after="0"/>
              <w:rPr>
                <w:sz w:val="20"/>
                <w:szCs w:val="20"/>
              </w:rPr>
            </w:pPr>
            <w:r w:rsidRPr="002B4268">
              <w:rPr>
                <w:sz w:val="20"/>
                <w:szCs w:val="20"/>
              </w:rPr>
              <w:t>Fiberglass mesh/matting for joints, cracks, and corners</w:t>
            </w:r>
          </w:p>
        </w:tc>
      </w:tr>
      <w:tr w:rsidR="007B5673" w:rsidRPr="002B4268" w14:paraId="58F282D0" w14:textId="77777777">
        <w:tc>
          <w:tcPr>
            <w:tcW w:w="0" w:type="auto"/>
          </w:tcPr>
          <w:p w14:paraId="18254572" w14:textId="77777777" w:rsidR="007B5673" w:rsidRPr="002B4268" w:rsidRDefault="0027620E" w:rsidP="004F0F18">
            <w:pPr>
              <w:spacing w:after="0"/>
              <w:rPr>
                <w:sz w:val="20"/>
                <w:szCs w:val="20"/>
              </w:rPr>
            </w:pPr>
            <w:r w:rsidRPr="002B4268">
              <w:rPr>
                <w:sz w:val="20"/>
                <w:szCs w:val="20"/>
              </w:rPr>
              <w:t>Protection materials</w:t>
            </w:r>
          </w:p>
        </w:tc>
        <w:tc>
          <w:tcPr>
            <w:tcW w:w="0" w:type="auto"/>
          </w:tcPr>
          <w:p w14:paraId="68E5F4F0" w14:textId="77777777" w:rsidR="007B5673" w:rsidRPr="002B4268" w:rsidRDefault="0027620E" w:rsidP="004F0F18">
            <w:pPr>
              <w:spacing w:after="0"/>
              <w:rPr>
                <w:sz w:val="20"/>
                <w:szCs w:val="20"/>
              </w:rPr>
            </w:pPr>
            <w:r w:rsidRPr="002B4268">
              <w:rPr>
                <w:sz w:val="20"/>
                <w:szCs w:val="20"/>
              </w:rPr>
              <w:t>Plastic sheeting for curing protection, masking tape</w:t>
            </w:r>
          </w:p>
        </w:tc>
      </w:tr>
      <w:tr w:rsidR="007B5673" w:rsidRPr="002B4268" w14:paraId="25F5A20C" w14:textId="77777777">
        <w:tc>
          <w:tcPr>
            <w:tcW w:w="0" w:type="auto"/>
          </w:tcPr>
          <w:p w14:paraId="6A91476B" w14:textId="77777777" w:rsidR="007B5673" w:rsidRPr="002B4268" w:rsidRDefault="0027620E" w:rsidP="004F0F18">
            <w:pPr>
              <w:spacing w:after="0"/>
              <w:rPr>
                <w:sz w:val="20"/>
                <w:szCs w:val="20"/>
              </w:rPr>
            </w:pPr>
            <w:r w:rsidRPr="002B4268">
              <w:rPr>
                <w:sz w:val="20"/>
                <w:szCs w:val="20"/>
              </w:rPr>
              <w:t>Safety PPE</w:t>
            </w:r>
          </w:p>
        </w:tc>
        <w:tc>
          <w:tcPr>
            <w:tcW w:w="0" w:type="auto"/>
          </w:tcPr>
          <w:p w14:paraId="626DB640" w14:textId="77777777" w:rsidR="007B5673" w:rsidRPr="002B4268" w:rsidRDefault="0027620E" w:rsidP="004F0F18">
            <w:pPr>
              <w:spacing w:after="0"/>
              <w:rPr>
                <w:sz w:val="20"/>
                <w:szCs w:val="20"/>
              </w:rPr>
            </w:pPr>
            <w:r w:rsidRPr="002B4268">
              <w:rPr>
                <w:sz w:val="20"/>
                <w:szCs w:val="20"/>
              </w:rPr>
              <w:t>Gloves, goggles, dust mask/respirator, waterproof boots, hard hat where required</w:t>
            </w:r>
          </w:p>
        </w:tc>
      </w:tr>
    </w:tbl>
    <w:p w14:paraId="5B56764E" w14:textId="77777777" w:rsidR="007B5673" w:rsidRPr="002B4268" w:rsidRDefault="0027620E">
      <w:pPr>
        <w:pStyle w:val="Heading2"/>
        <w:rPr>
          <w:sz w:val="28"/>
          <w:szCs w:val="28"/>
        </w:rPr>
      </w:pPr>
      <w:bookmarkStart w:id="3" w:name="X2a1aca7da68046fe179ca352f2401b78a756d5c"/>
      <w:bookmarkEnd w:id="2"/>
      <w:r w:rsidRPr="002B4268">
        <w:rPr>
          <w:sz w:val="28"/>
          <w:szCs w:val="28"/>
        </w:rPr>
        <w:t>3. Surface Preparation (Step 1)</w:t>
      </w:r>
    </w:p>
    <w:p w14:paraId="1F058746" w14:textId="77777777" w:rsidR="007B5673" w:rsidRPr="002B4268" w:rsidRDefault="0027620E" w:rsidP="0051386C">
      <w:pPr>
        <w:numPr>
          <w:ilvl w:val="0"/>
          <w:numId w:val="4"/>
        </w:numPr>
        <w:jc w:val="both"/>
        <w:rPr>
          <w:sz w:val="20"/>
          <w:szCs w:val="20"/>
        </w:rPr>
      </w:pPr>
      <w:r w:rsidRPr="002B4268">
        <w:rPr>
          <w:sz w:val="20"/>
          <w:szCs w:val="20"/>
        </w:rPr>
        <w:t>Remove all loose or delaminated concrete, paint, coatings, oil, grease, dust, and other contaminants. Use scraper, wire brush, pressured water cleaning, or mechanical methods as required.</w:t>
      </w:r>
    </w:p>
    <w:p w14:paraId="3223425A" w14:textId="77777777" w:rsidR="007B5673" w:rsidRPr="002B4268" w:rsidRDefault="0027620E" w:rsidP="0051386C">
      <w:pPr>
        <w:numPr>
          <w:ilvl w:val="0"/>
          <w:numId w:val="4"/>
        </w:numPr>
        <w:jc w:val="both"/>
        <w:rPr>
          <w:sz w:val="20"/>
          <w:szCs w:val="20"/>
        </w:rPr>
      </w:pPr>
      <w:r w:rsidRPr="002B4268">
        <w:rPr>
          <w:sz w:val="20"/>
          <w:szCs w:val="20"/>
        </w:rPr>
        <w:t>Repair spalls, large defects, and deteriorated concrete. Use suitable repair mortar or patching compound and allow the repair to cure according to its manufacturer’s directions.</w:t>
      </w:r>
    </w:p>
    <w:p w14:paraId="0DB539D6" w14:textId="77777777" w:rsidR="007B5673" w:rsidRPr="002B4268" w:rsidRDefault="0027620E" w:rsidP="0051386C">
      <w:pPr>
        <w:numPr>
          <w:ilvl w:val="0"/>
          <w:numId w:val="4"/>
        </w:numPr>
        <w:jc w:val="both"/>
        <w:rPr>
          <w:sz w:val="20"/>
          <w:szCs w:val="20"/>
        </w:rPr>
      </w:pPr>
      <w:r w:rsidRPr="002B4268">
        <w:rPr>
          <w:sz w:val="20"/>
          <w:szCs w:val="20"/>
        </w:rPr>
        <w:t>For new concrete, allow a minimum curing period of 14–28 days before applying Plexibond to ensure moisture and strength stabilization.</w:t>
      </w:r>
    </w:p>
    <w:p w14:paraId="7C7870A0" w14:textId="77777777" w:rsidR="007B5673" w:rsidRPr="002B4268" w:rsidRDefault="0027620E" w:rsidP="0051386C">
      <w:pPr>
        <w:numPr>
          <w:ilvl w:val="0"/>
          <w:numId w:val="4"/>
        </w:numPr>
        <w:jc w:val="both"/>
        <w:rPr>
          <w:sz w:val="20"/>
          <w:szCs w:val="20"/>
        </w:rPr>
      </w:pPr>
      <w:r w:rsidRPr="002B4268">
        <w:rPr>
          <w:sz w:val="20"/>
          <w:szCs w:val="20"/>
        </w:rPr>
        <w:t>Dampen the substrate with clean water until it is uniformly moist but not ponding. The surface must be moist to avoid rapid absorption of water from the slurry which can cause shrinkage cracks and poor adhesion.</w:t>
      </w:r>
    </w:p>
    <w:p w14:paraId="33859892" w14:textId="0001D5CD" w:rsidR="007B5673" w:rsidRPr="002B4268" w:rsidRDefault="0027620E" w:rsidP="0051386C">
      <w:pPr>
        <w:numPr>
          <w:ilvl w:val="0"/>
          <w:numId w:val="4"/>
        </w:numPr>
        <w:jc w:val="both"/>
        <w:rPr>
          <w:sz w:val="20"/>
          <w:szCs w:val="20"/>
        </w:rPr>
      </w:pPr>
      <w:r w:rsidRPr="002B4268">
        <w:rPr>
          <w:sz w:val="20"/>
          <w:szCs w:val="20"/>
        </w:rPr>
        <w:t>Remove any remaining alkali bloom or salts by mechanical means; surface must be free of loose particles. Previously painted or sealed areas must be stripped to expose bare substrate for proper bonding.</w:t>
      </w:r>
      <w:r w:rsidR="0051386C" w:rsidRPr="002B4268">
        <w:rPr>
          <w:sz w:val="20"/>
          <w:szCs w:val="20"/>
        </w:rPr>
        <w:t xml:space="preserve"> </w:t>
      </w:r>
    </w:p>
    <w:p w14:paraId="273AE8FD" w14:textId="6173D2B7" w:rsidR="007B5673" w:rsidRPr="002B4268" w:rsidRDefault="002B4268">
      <w:pPr>
        <w:pStyle w:val="Heading2"/>
        <w:rPr>
          <w:sz w:val="28"/>
          <w:szCs w:val="28"/>
        </w:rPr>
      </w:pPr>
      <w:bookmarkStart w:id="4" w:name="Xbd69324aaa8f4da38374e9fb7e5953c763ba4b1"/>
      <w:bookmarkEnd w:id="3"/>
      <w:r w:rsidRPr="002B4268">
        <w:rPr>
          <w:noProof/>
          <w:sz w:val="20"/>
          <w:szCs w:val="20"/>
        </w:rPr>
        <w:lastRenderedPageBreak/>
        <w:drawing>
          <wp:anchor distT="0" distB="0" distL="114300" distR="114300" simplePos="0" relativeHeight="251659264" behindDoc="0" locked="0" layoutInCell="1" allowOverlap="1" wp14:anchorId="79B733DB" wp14:editId="572BD286">
            <wp:simplePos x="0" y="0"/>
            <wp:positionH relativeFrom="column">
              <wp:posOffset>4028440</wp:posOffset>
            </wp:positionH>
            <wp:positionV relativeFrom="paragraph">
              <wp:posOffset>319405</wp:posOffset>
            </wp:positionV>
            <wp:extent cx="2600325" cy="2600325"/>
            <wp:effectExtent l="0" t="0" r="9525" b="9525"/>
            <wp:wrapTopAndBottom/>
            <wp:docPr id="1982779628" name="Picture 2" descr="A group of men wearing helmets and masks spraying concre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79628" name="Picture 2" descr="A group of men wearing helmets and masks spraying concret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0325" cy="2600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B4268">
        <w:rPr>
          <w:noProof/>
          <w:sz w:val="20"/>
          <w:szCs w:val="20"/>
        </w:rPr>
        <w:drawing>
          <wp:anchor distT="0" distB="0" distL="114300" distR="114300" simplePos="0" relativeHeight="251658240" behindDoc="0" locked="0" layoutInCell="1" allowOverlap="1" wp14:anchorId="4AE471A9" wp14:editId="0129CA2C">
            <wp:simplePos x="0" y="0"/>
            <wp:positionH relativeFrom="column">
              <wp:posOffset>238125</wp:posOffset>
            </wp:positionH>
            <wp:positionV relativeFrom="paragraph">
              <wp:posOffset>272415</wp:posOffset>
            </wp:positionV>
            <wp:extent cx="2638425" cy="2638425"/>
            <wp:effectExtent l="0" t="0" r="9525" b="9525"/>
            <wp:wrapTopAndBottom/>
            <wp:docPr id="1402157815" name="Picture 1" descr="A person using a grinder to cut a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57815" name="Picture 1" descr="A person using a grinder to cut a wall&#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8425" cy="2638425"/>
                    </a:xfrm>
                    <a:prstGeom prst="rect">
                      <a:avLst/>
                    </a:prstGeom>
                    <a:noFill/>
                    <a:ln>
                      <a:noFill/>
                    </a:ln>
                  </pic:spPr>
                </pic:pic>
              </a:graphicData>
            </a:graphic>
          </wp:anchor>
        </w:drawing>
      </w:r>
      <w:r w:rsidR="0027620E" w:rsidRPr="002B4268">
        <w:rPr>
          <w:sz w:val="28"/>
          <w:szCs w:val="28"/>
        </w:rPr>
        <w:t>4. Material Preparation &amp; Mixing (Step 2)</w:t>
      </w:r>
    </w:p>
    <w:p w14:paraId="1A09047C" w14:textId="4488B366" w:rsidR="007B5673" w:rsidRPr="002B4268" w:rsidRDefault="0027620E">
      <w:pPr>
        <w:rPr>
          <w:sz w:val="20"/>
          <w:szCs w:val="20"/>
        </w:rPr>
      </w:pPr>
      <w:r w:rsidRPr="002B4268">
        <w:rPr>
          <w:sz w:val="20"/>
          <w:szCs w:val="20"/>
        </w:rPr>
        <w:t>Accurate mixing is critical to performance. Follow these steps for consistent, lump‑free slurry:</w:t>
      </w:r>
    </w:p>
    <w:p w14:paraId="66FDC2F7" w14:textId="03F9E1AA" w:rsidR="007B5673" w:rsidRPr="002B4268" w:rsidRDefault="0027620E" w:rsidP="002B4268">
      <w:pPr>
        <w:numPr>
          <w:ilvl w:val="0"/>
          <w:numId w:val="5"/>
        </w:numPr>
        <w:spacing w:after="0"/>
        <w:jc w:val="both"/>
        <w:rPr>
          <w:sz w:val="20"/>
          <w:szCs w:val="20"/>
        </w:rPr>
      </w:pPr>
      <w:r w:rsidRPr="002B4268">
        <w:rPr>
          <w:sz w:val="20"/>
          <w:szCs w:val="20"/>
        </w:rPr>
        <w:t>Measure components: For each 4 L container of Plexibond liquid, weigh 6.5–7.5 kg of Portland cement. Maintain consistent proportions for all batches.</w:t>
      </w:r>
    </w:p>
    <w:p w14:paraId="302D673B" w14:textId="551A6827" w:rsidR="007B5673" w:rsidRPr="002B4268" w:rsidRDefault="0027620E" w:rsidP="002B4268">
      <w:pPr>
        <w:numPr>
          <w:ilvl w:val="0"/>
          <w:numId w:val="5"/>
        </w:numPr>
        <w:spacing w:after="0"/>
        <w:jc w:val="both"/>
        <w:rPr>
          <w:sz w:val="20"/>
          <w:szCs w:val="20"/>
        </w:rPr>
      </w:pPr>
      <w:r w:rsidRPr="002B4268">
        <w:rPr>
          <w:noProof/>
          <w:sz w:val="20"/>
          <w:szCs w:val="20"/>
        </w:rPr>
        <w:drawing>
          <wp:anchor distT="0" distB="0" distL="114300" distR="114300" simplePos="0" relativeHeight="251660288" behindDoc="0" locked="0" layoutInCell="1" allowOverlap="1" wp14:anchorId="32382CAD" wp14:editId="12622EF6">
            <wp:simplePos x="0" y="0"/>
            <wp:positionH relativeFrom="column">
              <wp:posOffset>4772025</wp:posOffset>
            </wp:positionH>
            <wp:positionV relativeFrom="paragraph">
              <wp:posOffset>194945</wp:posOffset>
            </wp:positionV>
            <wp:extent cx="1800225" cy="1800225"/>
            <wp:effectExtent l="0" t="0" r="9525" b="9525"/>
            <wp:wrapThrough wrapText="bothSides">
              <wp:wrapPolygon edited="0">
                <wp:start x="0" y="0"/>
                <wp:lineTo x="0" y="21486"/>
                <wp:lineTo x="21486" y="21486"/>
                <wp:lineTo x="21486" y="0"/>
                <wp:lineTo x="0" y="0"/>
              </wp:wrapPolygon>
            </wp:wrapThrough>
            <wp:docPr id="694264004" name="Picture 3" descr="A person using a drill to mix c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64004" name="Picture 3" descr="A person using a drill to mix cemen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B4268">
        <w:rPr>
          <w:sz w:val="20"/>
          <w:szCs w:val="20"/>
        </w:rPr>
        <w:t>Place the measured cement into a clean mixing container.</w:t>
      </w:r>
    </w:p>
    <w:p w14:paraId="58DE12AE" w14:textId="62819583" w:rsidR="007B5673" w:rsidRPr="002B4268" w:rsidRDefault="0027620E" w:rsidP="002B4268">
      <w:pPr>
        <w:numPr>
          <w:ilvl w:val="0"/>
          <w:numId w:val="5"/>
        </w:numPr>
        <w:spacing w:after="0"/>
        <w:jc w:val="both"/>
        <w:rPr>
          <w:sz w:val="20"/>
          <w:szCs w:val="20"/>
        </w:rPr>
      </w:pPr>
      <w:r w:rsidRPr="002B4268">
        <w:rPr>
          <w:sz w:val="20"/>
          <w:szCs w:val="20"/>
        </w:rPr>
        <w:t>Slowly add the 4 L Plexibond liquid into the cement while stirring continuously.</w:t>
      </w:r>
    </w:p>
    <w:p w14:paraId="5A7F8BA7" w14:textId="448CC212" w:rsidR="007B5673" w:rsidRPr="002B4268" w:rsidRDefault="0027620E" w:rsidP="002B4268">
      <w:pPr>
        <w:numPr>
          <w:ilvl w:val="0"/>
          <w:numId w:val="5"/>
        </w:numPr>
        <w:spacing w:after="0"/>
        <w:jc w:val="both"/>
        <w:rPr>
          <w:sz w:val="20"/>
          <w:szCs w:val="20"/>
        </w:rPr>
      </w:pPr>
      <w:r w:rsidRPr="002B4268">
        <w:rPr>
          <w:sz w:val="20"/>
          <w:szCs w:val="20"/>
        </w:rPr>
        <w:t>Mix using a low‑speed drill with paddle or by hand with a shovel until a uniform, lump‑free paste is achieved. The desired consistency is a smooth, spreadable slurry without dry pockets.</w:t>
      </w:r>
    </w:p>
    <w:p w14:paraId="6A1D7BD4" w14:textId="392DF3DD" w:rsidR="007B5673" w:rsidRPr="002B4268" w:rsidRDefault="0027620E" w:rsidP="002B4268">
      <w:pPr>
        <w:numPr>
          <w:ilvl w:val="0"/>
          <w:numId w:val="5"/>
        </w:numPr>
        <w:spacing w:after="0"/>
        <w:jc w:val="both"/>
        <w:rPr>
          <w:sz w:val="20"/>
          <w:szCs w:val="20"/>
        </w:rPr>
      </w:pPr>
      <w:r w:rsidRPr="002B4268">
        <w:rPr>
          <w:sz w:val="20"/>
          <w:szCs w:val="20"/>
        </w:rPr>
        <w:t>Optional: Pass the mixed slurry through a fine strainer to remove any lumps before placing.</w:t>
      </w:r>
    </w:p>
    <w:p w14:paraId="08245F04" w14:textId="7585A43B" w:rsidR="007B5673" w:rsidRPr="002B4268" w:rsidRDefault="0027620E" w:rsidP="002B4268">
      <w:pPr>
        <w:numPr>
          <w:ilvl w:val="0"/>
          <w:numId w:val="5"/>
        </w:numPr>
        <w:spacing w:after="0"/>
        <w:jc w:val="both"/>
        <w:rPr>
          <w:sz w:val="20"/>
          <w:szCs w:val="20"/>
        </w:rPr>
      </w:pPr>
      <w:r w:rsidRPr="002B4268">
        <w:rPr>
          <w:sz w:val="20"/>
          <w:szCs w:val="20"/>
        </w:rPr>
        <w:t>Workability and pot life: The mixed slurry should be placed within about 30 minutes to maintain workability. Discard any material that has exceeded its pot life (approximately 2 hours).</w:t>
      </w:r>
    </w:p>
    <w:p w14:paraId="765DDE9D" w14:textId="69D96C3E" w:rsidR="007B5673" w:rsidRPr="002B4268" w:rsidRDefault="0027620E" w:rsidP="002B4268">
      <w:pPr>
        <w:numPr>
          <w:ilvl w:val="0"/>
          <w:numId w:val="5"/>
        </w:numPr>
        <w:spacing w:after="0"/>
        <w:jc w:val="both"/>
        <w:rPr>
          <w:sz w:val="20"/>
          <w:szCs w:val="20"/>
        </w:rPr>
      </w:pPr>
      <w:r w:rsidRPr="002B4268">
        <w:rPr>
          <w:sz w:val="20"/>
          <w:szCs w:val="20"/>
        </w:rPr>
        <w:t>Do not alter the specified liquid:cement ratio significantly. Small adjustments within the recommended range can be used to fine‑tune workability; avoid adding extra water.</w:t>
      </w:r>
    </w:p>
    <w:p w14:paraId="056FF620" w14:textId="2B5A2AE3" w:rsidR="0051386C" w:rsidRPr="002B4268" w:rsidRDefault="0051386C" w:rsidP="0051386C">
      <w:pPr>
        <w:ind w:left="720"/>
        <w:rPr>
          <w:sz w:val="20"/>
          <w:szCs w:val="20"/>
        </w:rPr>
      </w:pPr>
    </w:p>
    <w:p w14:paraId="0A3215CA" w14:textId="646BF70A" w:rsidR="007B5673" w:rsidRPr="002B4268" w:rsidRDefault="0027620E">
      <w:pPr>
        <w:pStyle w:val="Heading2"/>
        <w:rPr>
          <w:sz w:val="28"/>
          <w:szCs w:val="28"/>
        </w:rPr>
      </w:pPr>
      <w:bookmarkStart w:id="5" w:name="Xe9870fe36c0fa9f03c829d3e22d5381592aaca5"/>
      <w:bookmarkEnd w:id="4"/>
      <w:r w:rsidRPr="002B4268">
        <w:rPr>
          <w:sz w:val="28"/>
          <w:szCs w:val="28"/>
        </w:rPr>
        <w:t>5. Application Overview (Steps 3–5)</w:t>
      </w:r>
    </w:p>
    <w:p w14:paraId="3E7A9776" w14:textId="29A839A2" w:rsidR="007B5673" w:rsidRPr="002B4268" w:rsidRDefault="0027620E" w:rsidP="00746E85">
      <w:pPr>
        <w:jc w:val="both"/>
        <w:rPr>
          <w:sz w:val="20"/>
          <w:szCs w:val="20"/>
        </w:rPr>
      </w:pPr>
      <w:r w:rsidRPr="002B4268">
        <w:rPr>
          <w:sz w:val="20"/>
          <w:szCs w:val="20"/>
        </w:rPr>
        <w:t>Application differs for vertical and horizontal surfaces. Ensure ambient conditions are suitable (preferably 20–30 °C and relative humidity 30–70 %). Avoid application during rain, high wind, or direct hot sun that causes rapid drying.</w:t>
      </w:r>
      <w:r w:rsidR="00514205" w:rsidRPr="002B4268">
        <w:rPr>
          <w:sz w:val="20"/>
          <w:szCs w:val="20"/>
        </w:rPr>
        <w:t xml:space="preserve"> </w:t>
      </w:r>
    </w:p>
    <w:p w14:paraId="001162BD" w14:textId="7F5EDE0D" w:rsidR="007B5673" w:rsidRPr="002B4268" w:rsidRDefault="0027620E">
      <w:pPr>
        <w:pStyle w:val="Heading3"/>
        <w:rPr>
          <w:sz w:val="22"/>
          <w:szCs w:val="22"/>
        </w:rPr>
      </w:pPr>
      <w:bookmarkStart w:id="6" w:name="Xd54656e6b4ca2935db81b7cb702cd9d9a6efae9"/>
      <w:r w:rsidRPr="002B4268">
        <w:rPr>
          <w:sz w:val="22"/>
          <w:szCs w:val="22"/>
        </w:rPr>
        <w:t>5.1 Vertical Surfaces (Firewalls, Parapet Faces)</w:t>
      </w:r>
    </w:p>
    <w:p w14:paraId="36058A1C" w14:textId="51B70118" w:rsidR="007B5673" w:rsidRPr="002B4268" w:rsidRDefault="00D52649" w:rsidP="00746E85">
      <w:pPr>
        <w:numPr>
          <w:ilvl w:val="0"/>
          <w:numId w:val="6"/>
        </w:numPr>
        <w:jc w:val="both"/>
        <w:rPr>
          <w:sz w:val="20"/>
          <w:szCs w:val="20"/>
        </w:rPr>
      </w:pPr>
      <w:r w:rsidRPr="002B4268">
        <w:rPr>
          <w:noProof/>
          <w:sz w:val="20"/>
          <w:szCs w:val="20"/>
        </w:rPr>
        <w:drawing>
          <wp:anchor distT="0" distB="0" distL="114300" distR="114300" simplePos="0" relativeHeight="251661312" behindDoc="0" locked="0" layoutInCell="1" allowOverlap="1" wp14:anchorId="75F4AC7D" wp14:editId="5DCC5FEF">
            <wp:simplePos x="0" y="0"/>
            <wp:positionH relativeFrom="column">
              <wp:posOffset>4303395</wp:posOffset>
            </wp:positionH>
            <wp:positionV relativeFrom="paragraph">
              <wp:posOffset>382270</wp:posOffset>
            </wp:positionV>
            <wp:extent cx="2314575" cy="2314575"/>
            <wp:effectExtent l="0" t="0" r="9525" b="9525"/>
            <wp:wrapThrough wrapText="bothSides">
              <wp:wrapPolygon edited="0">
                <wp:start x="0" y="0"/>
                <wp:lineTo x="0" y="21511"/>
                <wp:lineTo x="21511" y="21511"/>
                <wp:lineTo x="21511" y="0"/>
                <wp:lineTo x="0" y="0"/>
              </wp:wrapPolygon>
            </wp:wrapThrough>
            <wp:docPr id="1605580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14575" cy="231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620E" w:rsidRPr="002B4268">
        <w:rPr>
          <w:sz w:val="20"/>
          <w:szCs w:val="20"/>
        </w:rPr>
        <w:t>Select finish: For a textured finish use a textured roller; for a smoother finish use a natural‑bristle brush and trowel where appropriate.</w:t>
      </w:r>
    </w:p>
    <w:p w14:paraId="0D90166A" w14:textId="16C75B9D" w:rsidR="007B5673" w:rsidRDefault="0027620E" w:rsidP="00746E85">
      <w:pPr>
        <w:numPr>
          <w:ilvl w:val="0"/>
          <w:numId w:val="6"/>
        </w:numPr>
        <w:jc w:val="both"/>
        <w:rPr>
          <w:sz w:val="20"/>
          <w:szCs w:val="20"/>
        </w:rPr>
      </w:pPr>
      <w:r w:rsidRPr="002B4268">
        <w:rPr>
          <w:sz w:val="20"/>
          <w:szCs w:val="20"/>
        </w:rPr>
        <w:t>Apply first coat: Using a brush or roller, apply the mixed slurry evenly at a coverage of approximately 5–6 m² per 4 L container (this corresponds to an approximate wet film thickness around 11 mils per coat). Maintain a wet edge and avoid dry spots.</w:t>
      </w:r>
    </w:p>
    <w:p w14:paraId="6BB89122" w14:textId="1CAE3C68" w:rsidR="007B5673" w:rsidRPr="002B4268" w:rsidRDefault="0027620E" w:rsidP="00746E85">
      <w:pPr>
        <w:numPr>
          <w:ilvl w:val="0"/>
          <w:numId w:val="6"/>
        </w:numPr>
        <w:jc w:val="both"/>
        <w:rPr>
          <w:sz w:val="20"/>
          <w:szCs w:val="20"/>
        </w:rPr>
      </w:pPr>
      <w:r w:rsidRPr="002B4268">
        <w:rPr>
          <w:sz w:val="20"/>
          <w:szCs w:val="20"/>
        </w:rPr>
        <w:t xml:space="preserve">Recoat interval: Allow the first coat to set until tacky/dry to the touch—typically 1–2 hours depending on conditions—before applying the second coat. Do not exceed the recommended recoat window (ideally recoat within 2 hours) to ensure </w:t>
      </w:r>
      <w:proofErr w:type="spellStart"/>
      <w:r w:rsidRPr="002B4268">
        <w:rPr>
          <w:sz w:val="20"/>
          <w:szCs w:val="20"/>
        </w:rPr>
        <w:t>intercoat</w:t>
      </w:r>
      <w:proofErr w:type="spellEnd"/>
      <w:r w:rsidRPr="002B4268">
        <w:rPr>
          <w:sz w:val="20"/>
          <w:szCs w:val="20"/>
        </w:rPr>
        <w:t xml:space="preserve"> adhesion.</w:t>
      </w:r>
    </w:p>
    <w:p w14:paraId="22A4C123" w14:textId="14428A1A" w:rsidR="007B5673" w:rsidRPr="002B4268" w:rsidRDefault="0027620E" w:rsidP="00746E85">
      <w:pPr>
        <w:numPr>
          <w:ilvl w:val="0"/>
          <w:numId w:val="6"/>
        </w:numPr>
        <w:jc w:val="both"/>
        <w:rPr>
          <w:sz w:val="20"/>
          <w:szCs w:val="20"/>
        </w:rPr>
      </w:pPr>
      <w:r w:rsidRPr="002B4268">
        <w:rPr>
          <w:sz w:val="20"/>
          <w:szCs w:val="20"/>
        </w:rPr>
        <w:t>Apply second coat: Apply a second full coat using the same method. Two coats are typically sufficient for vertical applications.</w:t>
      </w:r>
    </w:p>
    <w:p w14:paraId="259211E4" w14:textId="3DD24FF0" w:rsidR="007B5673" w:rsidRPr="002B4268" w:rsidRDefault="0027620E" w:rsidP="00746E85">
      <w:pPr>
        <w:numPr>
          <w:ilvl w:val="0"/>
          <w:numId w:val="6"/>
        </w:numPr>
        <w:jc w:val="both"/>
        <w:rPr>
          <w:sz w:val="20"/>
          <w:szCs w:val="20"/>
        </w:rPr>
      </w:pPr>
      <w:r w:rsidRPr="002B4268">
        <w:rPr>
          <w:sz w:val="20"/>
          <w:szCs w:val="20"/>
        </w:rPr>
        <w:lastRenderedPageBreak/>
        <w:t>Drying: Allow the final coat to cure at least 24 hours before top coating with paint or exposing to light traffic. Full cure for heavy traffic or harsh weather exposure is longer (see Section 7).</w:t>
      </w:r>
    </w:p>
    <w:p w14:paraId="6FC517D0" w14:textId="287E3F6B" w:rsidR="007B5673" w:rsidRPr="002B4268" w:rsidRDefault="0027620E">
      <w:pPr>
        <w:pStyle w:val="Heading3"/>
        <w:rPr>
          <w:sz w:val="22"/>
          <w:szCs w:val="22"/>
        </w:rPr>
      </w:pPr>
      <w:bookmarkStart w:id="7" w:name="X3a4a0737af0d7626f57c294a79e9f326452d56c"/>
      <w:bookmarkEnd w:id="6"/>
      <w:r w:rsidRPr="002B4268">
        <w:rPr>
          <w:sz w:val="22"/>
          <w:szCs w:val="22"/>
        </w:rPr>
        <w:t>5.2 Horizontal Surfaces (Roof Decks, Ledges, Balconies)</w:t>
      </w:r>
    </w:p>
    <w:p w14:paraId="772F8B68" w14:textId="470DBA05" w:rsidR="007B5673" w:rsidRPr="002B4268" w:rsidRDefault="0027620E">
      <w:pPr>
        <w:rPr>
          <w:sz w:val="20"/>
          <w:szCs w:val="20"/>
        </w:rPr>
      </w:pPr>
      <w:r w:rsidRPr="002B4268">
        <w:rPr>
          <w:sz w:val="20"/>
          <w:szCs w:val="20"/>
        </w:rPr>
        <w:t>Horizontal decks demand greater build and reinforcement across joints and movement areas. Follow these steps:</w:t>
      </w:r>
    </w:p>
    <w:p w14:paraId="760416EE" w14:textId="293A3075" w:rsidR="007B5673" w:rsidRPr="002B4268" w:rsidRDefault="00746E85">
      <w:pPr>
        <w:numPr>
          <w:ilvl w:val="0"/>
          <w:numId w:val="7"/>
        </w:numPr>
        <w:rPr>
          <w:sz w:val="20"/>
          <w:szCs w:val="20"/>
        </w:rPr>
      </w:pPr>
      <w:r w:rsidRPr="002B4268">
        <w:rPr>
          <w:noProof/>
          <w:sz w:val="20"/>
          <w:szCs w:val="20"/>
        </w:rPr>
        <w:drawing>
          <wp:anchor distT="0" distB="0" distL="114300" distR="114300" simplePos="0" relativeHeight="251662336" behindDoc="0" locked="0" layoutInCell="1" allowOverlap="1" wp14:anchorId="3F6A84FD" wp14:editId="3E1F4623">
            <wp:simplePos x="0" y="0"/>
            <wp:positionH relativeFrom="column">
              <wp:posOffset>4050030</wp:posOffset>
            </wp:positionH>
            <wp:positionV relativeFrom="paragraph">
              <wp:posOffset>416560</wp:posOffset>
            </wp:positionV>
            <wp:extent cx="2617470" cy="1800225"/>
            <wp:effectExtent l="0" t="0" r="0" b="9525"/>
            <wp:wrapThrough wrapText="bothSides">
              <wp:wrapPolygon edited="0">
                <wp:start x="0" y="0"/>
                <wp:lineTo x="0" y="21486"/>
                <wp:lineTo x="21380" y="21486"/>
                <wp:lineTo x="21380" y="0"/>
                <wp:lineTo x="0" y="0"/>
              </wp:wrapPolygon>
            </wp:wrapThrough>
            <wp:docPr id="1724416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17470" cy="1800225"/>
                    </a:xfrm>
                    <a:prstGeom prst="rect">
                      <a:avLst/>
                    </a:prstGeom>
                    <a:noFill/>
                  </pic:spPr>
                </pic:pic>
              </a:graphicData>
            </a:graphic>
            <wp14:sizeRelH relativeFrom="margin">
              <wp14:pctWidth>0</wp14:pctWidth>
            </wp14:sizeRelH>
            <wp14:sizeRelV relativeFrom="margin">
              <wp14:pctHeight>0</wp14:pctHeight>
            </wp14:sizeRelV>
          </wp:anchor>
        </w:drawing>
      </w:r>
      <w:r w:rsidR="0027620E" w:rsidRPr="002B4268">
        <w:rPr>
          <w:sz w:val="20"/>
          <w:szCs w:val="20"/>
        </w:rPr>
        <w:t>Apply multiple coats: Apply 3–5 coats of the Plexibond slurry to build the required thickness and ensure full coverage. Use a brush or textured roller for distribution and a trowel for smoothing as required.</w:t>
      </w:r>
    </w:p>
    <w:p w14:paraId="15F095EF" w14:textId="3AC7D976" w:rsidR="007B5673" w:rsidRPr="002B4268" w:rsidRDefault="0027620E" w:rsidP="00746E85">
      <w:pPr>
        <w:numPr>
          <w:ilvl w:val="0"/>
          <w:numId w:val="7"/>
        </w:numPr>
        <w:jc w:val="both"/>
        <w:rPr>
          <w:sz w:val="20"/>
          <w:szCs w:val="20"/>
        </w:rPr>
      </w:pPr>
      <w:r w:rsidRPr="002B4268">
        <w:rPr>
          <w:sz w:val="20"/>
          <w:szCs w:val="20"/>
        </w:rPr>
        <w:t>Embed reinforcement at vulnerable points: At expansion joints, pipe penetrations, internal corners, and active cracks, embed a strip of fiberglass mesh matting while the second coat is still wet. Position the matting so it fully conforms to the surface and will be fully saturated and covered by subsequent coats.</w:t>
      </w:r>
    </w:p>
    <w:p w14:paraId="49B4B3D6" w14:textId="1A3D1566" w:rsidR="007B5673" w:rsidRPr="002B4268" w:rsidRDefault="0027620E" w:rsidP="00746E85">
      <w:pPr>
        <w:numPr>
          <w:ilvl w:val="0"/>
          <w:numId w:val="7"/>
        </w:numPr>
        <w:jc w:val="both"/>
        <w:rPr>
          <w:sz w:val="20"/>
          <w:szCs w:val="20"/>
        </w:rPr>
      </w:pPr>
      <w:r w:rsidRPr="002B4268">
        <w:rPr>
          <w:sz w:val="20"/>
          <w:szCs w:val="20"/>
        </w:rPr>
        <w:t>Ensure full encapsulation: The matting must be completely covered and integrated by the following coat(s) so there are no exposed fibers at the surface.</w:t>
      </w:r>
    </w:p>
    <w:p w14:paraId="3463F38E" w14:textId="57D1B0CA" w:rsidR="007B5673" w:rsidRPr="002B4268" w:rsidRDefault="0027620E" w:rsidP="00746E85">
      <w:pPr>
        <w:numPr>
          <w:ilvl w:val="0"/>
          <w:numId w:val="7"/>
        </w:numPr>
        <w:jc w:val="both"/>
        <w:rPr>
          <w:sz w:val="20"/>
          <w:szCs w:val="20"/>
        </w:rPr>
      </w:pPr>
      <w:r w:rsidRPr="002B4268">
        <w:rPr>
          <w:sz w:val="20"/>
          <w:szCs w:val="20"/>
        </w:rPr>
        <w:t>Finish coats: After embedding matting and completing remaining coats, finish the surface to the desired texture (roller for orange‑peel, trowel for smoother finish). Maintain consistent coverage rate per coat to achieve uniform thickness across the deck.</w:t>
      </w:r>
    </w:p>
    <w:p w14:paraId="79836E1E" w14:textId="1A76D06A" w:rsidR="007B5673" w:rsidRPr="002B4268" w:rsidRDefault="0027620E" w:rsidP="00746E85">
      <w:pPr>
        <w:numPr>
          <w:ilvl w:val="0"/>
          <w:numId w:val="7"/>
        </w:numPr>
        <w:jc w:val="both"/>
        <w:rPr>
          <w:sz w:val="20"/>
          <w:szCs w:val="20"/>
        </w:rPr>
      </w:pPr>
      <w:r w:rsidRPr="002B4268">
        <w:rPr>
          <w:sz w:val="20"/>
          <w:szCs w:val="20"/>
        </w:rPr>
        <w:t>Crack repair: For filling non‑working cracks, prepare a trowellable repair mortar by combining 3 parts fine sand with 1 part cement (by volume) and enough Plexibond to obtain a trowelable consistency. Press into the crack, level, then continue with the coating sequence.</w:t>
      </w:r>
    </w:p>
    <w:p w14:paraId="42246571" w14:textId="3CDB923D" w:rsidR="007B5673" w:rsidRPr="002B4268" w:rsidRDefault="0027620E">
      <w:pPr>
        <w:pStyle w:val="Heading3"/>
        <w:rPr>
          <w:sz w:val="22"/>
          <w:szCs w:val="22"/>
        </w:rPr>
      </w:pPr>
      <w:bookmarkStart w:id="8" w:name="X0c42ba07870e1416b9b1d2fda218d5573a712d3"/>
      <w:bookmarkEnd w:id="7"/>
      <w:r w:rsidRPr="002B4268">
        <w:rPr>
          <w:sz w:val="22"/>
          <w:szCs w:val="22"/>
        </w:rPr>
        <w:t>5.3 Joint and Detail Treatment</w:t>
      </w:r>
    </w:p>
    <w:p w14:paraId="0954734D" w14:textId="5679C3F6" w:rsidR="007B5673" w:rsidRPr="002B4268" w:rsidRDefault="0027620E" w:rsidP="00746E85">
      <w:pPr>
        <w:numPr>
          <w:ilvl w:val="0"/>
          <w:numId w:val="8"/>
        </w:numPr>
        <w:jc w:val="both"/>
        <w:rPr>
          <w:sz w:val="20"/>
          <w:szCs w:val="20"/>
        </w:rPr>
      </w:pPr>
      <w:r w:rsidRPr="002B4268">
        <w:rPr>
          <w:sz w:val="20"/>
          <w:szCs w:val="20"/>
        </w:rPr>
        <w:t>Clean joints and remove loose material. Where movement is expected, install a suitable flexible joint material before coating or use flexible detail treatment recommended by the waterproofing specification.</w:t>
      </w:r>
    </w:p>
    <w:p w14:paraId="07D7FCE2" w14:textId="07E42EF9" w:rsidR="007B5673" w:rsidRPr="002B4268" w:rsidRDefault="0027620E" w:rsidP="00746E85">
      <w:pPr>
        <w:numPr>
          <w:ilvl w:val="0"/>
          <w:numId w:val="8"/>
        </w:numPr>
        <w:jc w:val="both"/>
        <w:rPr>
          <w:sz w:val="20"/>
          <w:szCs w:val="20"/>
        </w:rPr>
      </w:pPr>
      <w:r w:rsidRPr="002B4268">
        <w:rPr>
          <w:sz w:val="20"/>
          <w:szCs w:val="20"/>
        </w:rPr>
        <w:t>At parapet‑to‑deck intersections and vertical transitions, extend Plexibond at least 100 mm up the vertical face and integrate fiberglass matting across the transition for reinforcement.</w:t>
      </w:r>
    </w:p>
    <w:p w14:paraId="040D2E84" w14:textId="7212AE56" w:rsidR="007B5673" w:rsidRPr="002B4268" w:rsidRDefault="0027620E" w:rsidP="00746E85">
      <w:pPr>
        <w:numPr>
          <w:ilvl w:val="0"/>
          <w:numId w:val="8"/>
        </w:numPr>
        <w:jc w:val="both"/>
        <w:rPr>
          <w:sz w:val="20"/>
          <w:szCs w:val="20"/>
        </w:rPr>
      </w:pPr>
      <w:r w:rsidRPr="002B4268">
        <w:rPr>
          <w:sz w:val="20"/>
          <w:szCs w:val="20"/>
        </w:rPr>
        <w:t>At drains and penetrations, form a neat fillet using trowellable Plexibond mortar and reinforce with mesh where needed to prevent future ponding and ensure positive drainage slope.</w:t>
      </w:r>
    </w:p>
    <w:p w14:paraId="08BE2B37" w14:textId="5C9CD782" w:rsidR="007B5673" w:rsidRPr="002B4268" w:rsidRDefault="0027620E">
      <w:pPr>
        <w:pStyle w:val="Heading2"/>
        <w:rPr>
          <w:sz w:val="28"/>
          <w:szCs w:val="28"/>
        </w:rPr>
      </w:pPr>
      <w:bookmarkStart w:id="9" w:name="X0bebe43b616168d34c6db1fce24b5093bee7dcc"/>
      <w:bookmarkEnd w:id="5"/>
      <w:bookmarkEnd w:id="8"/>
      <w:r w:rsidRPr="002B4268">
        <w:rPr>
          <w:sz w:val="28"/>
          <w:szCs w:val="28"/>
        </w:rPr>
        <w:t>6. Curing, Protection, and Recoat Timing</w:t>
      </w:r>
    </w:p>
    <w:p w14:paraId="028C855F" w14:textId="4FA48477" w:rsidR="007B5673" w:rsidRPr="002B4268" w:rsidRDefault="0027620E">
      <w:pPr>
        <w:rPr>
          <w:sz w:val="20"/>
          <w:szCs w:val="20"/>
        </w:rPr>
      </w:pPr>
      <w:r w:rsidRPr="002B4268">
        <w:rPr>
          <w:sz w:val="20"/>
          <w:szCs w:val="20"/>
        </w:rPr>
        <w:t>Proper curing and protection preserve membrane integrity and reduce cracking risk.</w:t>
      </w:r>
    </w:p>
    <w:p w14:paraId="63E53D50" w14:textId="33AB8FC0" w:rsidR="007B5673" w:rsidRPr="002B4268" w:rsidRDefault="00D52649">
      <w:pPr>
        <w:numPr>
          <w:ilvl w:val="0"/>
          <w:numId w:val="9"/>
        </w:numPr>
        <w:rPr>
          <w:sz w:val="20"/>
          <w:szCs w:val="20"/>
        </w:rPr>
      </w:pPr>
      <w:r w:rsidRPr="002B4268">
        <w:rPr>
          <w:noProof/>
          <w:sz w:val="20"/>
          <w:szCs w:val="20"/>
        </w:rPr>
        <w:drawing>
          <wp:anchor distT="0" distB="0" distL="114300" distR="114300" simplePos="0" relativeHeight="251663360" behindDoc="0" locked="0" layoutInCell="1" allowOverlap="1" wp14:anchorId="3FC49886" wp14:editId="68ABAF6B">
            <wp:simplePos x="0" y="0"/>
            <wp:positionH relativeFrom="column">
              <wp:posOffset>4343400</wp:posOffset>
            </wp:positionH>
            <wp:positionV relativeFrom="paragraph">
              <wp:posOffset>361950</wp:posOffset>
            </wp:positionV>
            <wp:extent cx="2324100" cy="2324100"/>
            <wp:effectExtent l="0" t="0" r="0" b="0"/>
            <wp:wrapThrough wrapText="bothSides">
              <wp:wrapPolygon edited="0">
                <wp:start x="0" y="0"/>
                <wp:lineTo x="0" y="21423"/>
                <wp:lineTo x="21423" y="21423"/>
                <wp:lineTo x="21423" y="0"/>
                <wp:lineTo x="0" y="0"/>
              </wp:wrapPolygon>
            </wp:wrapThrough>
            <wp:docPr id="1781596261" name="Picture 6" descr="A yellow and black sign on a sidewal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96261" name="Picture 6" descr="A yellow and black sign on a sidewalk&#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620E" w:rsidRPr="002B4268">
        <w:rPr>
          <w:sz w:val="20"/>
          <w:szCs w:val="20"/>
        </w:rPr>
        <w:t>Initial set: Product typically becomes touch‑dry within about 2 hours at 25 °C and 50 % RH; conditions affect this significantly.</w:t>
      </w:r>
    </w:p>
    <w:p w14:paraId="6C6E21EB" w14:textId="5CA4A71B" w:rsidR="007B5673" w:rsidRPr="002B4268" w:rsidRDefault="0027620E" w:rsidP="00746E85">
      <w:pPr>
        <w:numPr>
          <w:ilvl w:val="0"/>
          <w:numId w:val="9"/>
        </w:numPr>
        <w:jc w:val="both"/>
        <w:rPr>
          <w:sz w:val="20"/>
          <w:szCs w:val="20"/>
        </w:rPr>
      </w:pPr>
      <w:r w:rsidRPr="002B4268">
        <w:rPr>
          <w:sz w:val="20"/>
          <w:szCs w:val="20"/>
        </w:rPr>
        <w:t>Between coats: Keep the surface shaded and protected from direct sun, wind, and rain between coats. Aim to recoat within 1–2 hours as recommended—do not allow excessive drying between coats that will compromise intercoat adhesion.</w:t>
      </w:r>
    </w:p>
    <w:p w14:paraId="58182EE1" w14:textId="4E36C7A7" w:rsidR="007B5673" w:rsidRPr="002B4268" w:rsidRDefault="0027620E" w:rsidP="00746E85">
      <w:pPr>
        <w:numPr>
          <w:ilvl w:val="0"/>
          <w:numId w:val="9"/>
        </w:numPr>
        <w:jc w:val="both"/>
        <w:rPr>
          <w:sz w:val="20"/>
          <w:szCs w:val="20"/>
        </w:rPr>
      </w:pPr>
      <w:r w:rsidRPr="002B4268">
        <w:rPr>
          <w:sz w:val="20"/>
          <w:szCs w:val="20"/>
        </w:rPr>
        <w:t>Post‑application cure: Protect the finished membrane from rain and mechanical damage for a minimum of 24 hours. For heavy traffic or exposure to severe weather, allow at least 7 days for more complete cure before subjecting the membrane to stress.</w:t>
      </w:r>
    </w:p>
    <w:p w14:paraId="32CB46FB" w14:textId="027CCFD2" w:rsidR="007B5673" w:rsidRPr="002B4268" w:rsidRDefault="0027620E" w:rsidP="00746E85">
      <w:pPr>
        <w:numPr>
          <w:ilvl w:val="0"/>
          <w:numId w:val="9"/>
        </w:numPr>
        <w:jc w:val="both"/>
        <w:rPr>
          <w:sz w:val="20"/>
          <w:szCs w:val="20"/>
        </w:rPr>
      </w:pPr>
      <w:r w:rsidRPr="002B4268">
        <w:rPr>
          <w:sz w:val="20"/>
          <w:szCs w:val="20"/>
        </w:rPr>
        <w:t>If rain is expected during initial cure, protect the coated area with plastic sheeting and ensure good ventilation beneath the sheeting to avoid trapping moisture.</w:t>
      </w:r>
    </w:p>
    <w:p w14:paraId="369FB686" w14:textId="00102F04" w:rsidR="00AF6C2B" w:rsidRDefault="00240767">
      <w:pPr>
        <w:pStyle w:val="Heading2"/>
        <w:rPr>
          <w:sz w:val="28"/>
          <w:szCs w:val="28"/>
        </w:rPr>
      </w:pPr>
      <w:bookmarkStart w:id="10" w:name="X6a8cf1872af355d1a10fbad1ece97ef099fc918"/>
      <w:bookmarkEnd w:id="9"/>
      <w:r>
        <w:rPr>
          <w:sz w:val="28"/>
          <w:szCs w:val="28"/>
        </w:rPr>
        <w:lastRenderedPageBreak/>
        <w:t xml:space="preserve">7. </w:t>
      </w:r>
      <w:r w:rsidR="00B00EF8">
        <w:rPr>
          <w:sz w:val="28"/>
          <w:szCs w:val="28"/>
        </w:rPr>
        <w:t>Workflow</w:t>
      </w:r>
      <w:r>
        <w:rPr>
          <w:sz w:val="28"/>
          <w:szCs w:val="28"/>
        </w:rPr>
        <w:t xml:space="preserve"> chart</w:t>
      </w:r>
    </w:p>
    <w:p w14:paraId="70DB943A" w14:textId="672F08E2" w:rsidR="00AF6C2B" w:rsidRDefault="00240767">
      <w:pPr>
        <w:pStyle w:val="Heading2"/>
        <w:rPr>
          <w:sz w:val="28"/>
          <w:szCs w:val="28"/>
        </w:rPr>
      </w:pPr>
      <w:r>
        <w:rPr>
          <w:noProof/>
          <w:sz w:val="20"/>
          <w:szCs w:val="20"/>
        </w:rPr>
        <w:drawing>
          <wp:anchor distT="0" distB="0" distL="114300" distR="114300" simplePos="0" relativeHeight="251667456" behindDoc="0" locked="0" layoutInCell="1" allowOverlap="1" wp14:anchorId="661A3644" wp14:editId="6FF9D628">
            <wp:simplePos x="0" y="0"/>
            <wp:positionH relativeFrom="column">
              <wp:posOffset>3562350</wp:posOffset>
            </wp:positionH>
            <wp:positionV relativeFrom="paragraph">
              <wp:posOffset>41910</wp:posOffset>
            </wp:positionV>
            <wp:extent cx="2692400" cy="7978775"/>
            <wp:effectExtent l="0" t="0" r="0" b="3175"/>
            <wp:wrapSquare wrapText="bothSides"/>
            <wp:docPr id="767010693"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10693" name="Graphic 767010693"/>
                    <pic:cNvPicPr/>
                  </pic:nvPicPr>
                  <pic:blipFill rotWithShape="1">
                    <a:blip r:embed="rId14">
                      <a:extLst>
                        <a:ext uri="{96DAC541-7B7A-43D3-8B79-37D633B846F1}">
                          <asvg:svgBlip xmlns:asvg="http://schemas.microsoft.com/office/drawing/2016/SVG/main" r:embed="rId15"/>
                        </a:ext>
                      </a:extLst>
                    </a:blip>
                    <a:srcRect t="42246"/>
                    <a:stretch/>
                  </pic:blipFill>
                  <pic:spPr bwMode="auto">
                    <a:xfrm>
                      <a:off x="0" y="0"/>
                      <a:ext cx="2692400" cy="7978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666432" behindDoc="0" locked="0" layoutInCell="1" allowOverlap="1" wp14:anchorId="78CFFE32" wp14:editId="35545526">
            <wp:simplePos x="0" y="0"/>
            <wp:positionH relativeFrom="column">
              <wp:posOffset>258445</wp:posOffset>
            </wp:positionH>
            <wp:positionV relativeFrom="paragraph">
              <wp:posOffset>41910</wp:posOffset>
            </wp:positionV>
            <wp:extent cx="2473325" cy="7900670"/>
            <wp:effectExtent l="0" t="0" r="3175" b="5080"/>
            <wp:wrapSquare wrapText="bothSides"/>
            <wp:docPr id="151759121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10693" name="Graphic 767010693"/>
                    <pic:cNvPicPr/>
                  </pic:nvPicPr>
                  <pic:blipFill rotWithShape="1">
                    <a:blip r:embed="rId16">
                      <a:extLst>
                        <a:ext uri="{96DAC541-7B7A-43D3-8B79-37D633B846F1}">
                          <asvg:svgBlip xmlns:asvg="http://schemas.microsoft.com/office/drawing/2016/SVG/main" r:embed="rId17"/>
                        </a:ext>
                      </a:extLst>
                    </a:blip>
                    <a:srcRect r="33013" b="46354"/>
                    <a:stretch/>
                  </pic:blipFill>
                  <pic:spPr bwMode="auto">
                    <a:xfrm>
                      <a:off x="0" y="0"/>
                      <a:ext cx="2473325" cy="7900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492E70" w14:textId="77777777" w:rsidR="00AF6C2B" w:rsidRDefault="00AF6C2B">
      <w:pPr>
        <w:pStyle w:val="Heading2"/>
        <w:rPr>
          <w:sz w:val="28"/>
          <w:szCs w:val="28"/>
        </w:rPr>
      </w:pPr>
    </w:p>
    <w:p w14:paraId="1B1F506A" w14:textId="77777777" w:rsidR="00AF6C2B" w:rsidRDefault="00AF6C2B">
      <w:pPr>
        <w:pStyle w:val="Heading2"/>
        <w:rPr>
          <w:sz w:val="28"/>
          <w:szCs w:val="28"/>
        </w:rPr>
      </w:pPr>
    </w:p>
    <w:p w14:paraId="6C93B096" w14:textId="77777777" w:rsidR="00AF6C2B" w:rsidRDefault="00AF6C2B" w:rsidP="00AF6C2B"/>
    <w:p w14:paraId="1A922480" w14:textId="77777777" w:rsidR="00AF6C2B" w:rsidRDefault="00AF6C2B" w:rsidP="00AF6C2B"/>
    <w:p w14:paraId="60580BD3" w14:textId="77777777" w:rsidR="00AF6C2B" w:rsidRDefault="00AF6C2B" w:rsidP="00AF6C2B"/>
    <w:p w14:paraId="706216E8" w14:textId="77777777" w:rsidR="00AF6C2B" w:rsidRDefault="00AF6C2B" w:rsidP="00AF6C2B"/>
    <w:p w14:paraId="2097060B" w14:textId="77777777" w:rsidR="00AF6C2B" w:rsidRDefault="00AF6C2B" w:rsidP="00AF6C2B"/>
    <w:p w14:paraId="212DF764" w14:textId="77777777" w:rsidR="00AF6C2B" w:rsidRDefault="00AF6C2B" w:rsidP="00AF6C2B"/>
    <w:p w14:paraId="557DF451" w14:textId="77777777" w:rsidR="00AF6C2B" w:rsidRDefault="00AF6C2B" w:rsidP="00AF6C2B"/>
    <w:p w14:paraId="5495DEC9" w14:textId="77777777" w:rsidR="00AF6C2B" w:rsidRDefault="00AF6C2B" w:rsidP="00AF6C2B"/>
    <w:p w14:paraId="0AB27507" w14:textId="77777777" w:rsidR="00AF6C2B" w:rsidRDefault="00AF6C2B" w:rsidP="00AF6C2B"/>
    <w:p w14:paraId="6DEB0D61" w14:textId="77777777" w:rsidR="00AF6C2B" w:rsidRDefault="00AF6C2B" w:rsidP="00AF6C2B"/>
    <w:p w14:paraId="10AF5C6D" w14:textId="77777777" w:rsidR="00AF6C2B" w:rsidRDefault="00AF6C2B" w:rsidP="00AF6C2B"/>
    <w:p w14:paraId="7922A4D9" w14:textId="77777777" w:rsidR="00AF6C2B" w:rsidRDefault="00AF6C2B" w:rsidP="00AF6C2B"/>
    <w:p w14:paraId="442CA797" w14:textId="77777777" w:rsidR="00AF6C2B" w:rsidRDefault="00AF6C2B" w:rsidP="00AF6C2B"/>
    <w:p w14:paraId="52BD4C9F" w14:textId="77777777" w:rsidR="00AF6C2B" w:rsidRDefault="00AF6C2B" w:rsidP="00AF6C2B"/>
    <w:p w14:paraId="5357AAB8" w14:textId="77777777" w:rsidR="00AF6C2B" w:rsidRDefault="00AF6C2B" w:rsidP="00AF6C2B"/>
    <w:p w14:paraId="7A8A7AD5" w14:textId="77777777" w:rsidR="00AF6C2B" w:rsidRDefault="00AF6C2B" w:rsidP="00AF6C2B"/>
    <w:p w14:paraId="1E9DE964" w14:textId="77777777" w:rsidR="00AF6C2B" w:rsidRDefault="00AF6C2B" w:rsidP="00AF6C2B"/>
    <w:p w14:paraId="0A6B2404" w14:textId="77777777" w:rsidR="00AF6C2B" w:rsidRDefault="00AF6C2B" w:rsidP="00AF6C2B"/>
    <w:p w14:paraId="0A4E4FAA" w14:textId="77777777" w:rsidR="00AF6C2B" w:rsidRDefault="00AF6C2B" w:rsidP="00AF6C2B"/>
    <w:p w14:paraId="7CA4C1A1" w14:textId="77777777" w:rsidR="00AF6C2B" w:rsidRDefault="00AF6C2B" w:rsidP="00AF6C2B"/>
    <w:p w14:paraId="7656E269" w14:textId="77777777" w:rsidR="00AF6C2B" w:rsidRDefault="00AF6C2B" w:rsidP="00AF6C2B"/>
    <w:p w14:paraId="64DA4DA2" w14:textId="77777777" w:rsidR="00AF6C2B" w:rsidRPr="00AF6C2B" w:rsidRDefault="00AF6C2B" w:rsidP="00AF6C2B"/>
    <w:p w14:paraId="3B6ECB79" w14:textId="7DC1F913" w:rsidR="007B5673" w:rsidRPr="002B4268" w:rsidRDefault="00BF2A6C">
      <w:pPr>
        <w:pStyle w:val="Heading2"/>
        <w:rPr>
          <w:sz w:val="28"/>
          <w:szCs w:val="28"/>
        </w:rPr>
      </w:pPr>
      <w:r>
        <w:rPr>
          <w:sz w:val="28"/>
          <w:szCs w:val="28"/>
        </w:rPr>
        <w:t>8</w:t>
      </w:r>
      <w:r w:rsidR="0027620E" w:rsidRPr="002B4268">
        <w:rPr>
          <w:sz w:val="28"/>
          <w:szCs w:val="28"/>
        </w:rPr>
        <w:t>. Safety, Cleanup, and Storage</w:t>
      </w:r>
    </w:p>
    <w:p w14:paraId="2480B4F4" w14:textId="152A48A9" w:rsidR="007B5673" w:rsidRPr="002B4268" w:rsidRDefault="0027620E" w:rsidP="002B4268">
      <w:pPr>
        <w:numPr>
          <w:ilvl w:val="0"/>
          <w:numId w:val="10"/>
        </w:numPr>
        <w:spacing w:after="0"/>
        <w:jc w:val="both"/>
        <w:rPr>
          <w:sz w:val="20"/>
          <w:szCs w:val="20"/>
        </w:rPr>
      </w:pPr>
      <w:r w:rsidRPr="002B4268">
        <w:rPr>
          <w:sz w:val="20"/>
          <w:szCs w:val="20"/>
        </w:rPr>
        <w:t>Use appropriate PPE (gloves, goggles, dust mask/respirator) during mixing and application. Ensure adequate ventilation when working in enclosed spaces.</w:t>
      </w:r>
    </w:p>
    <w:p w14:paraId="78AABFDE" w14:textId="03A1C38F" w:rsidR="007B5673" w:rsidRPr="002B4268" w:rsidRDefault="0027620E" w:rsidP="002B4268">
      <w:pPr>
        <w:numPr>
          <w:ilvl w:val="0"/>
          <w:numId w:val="10"/>
        </w:numPr>
        <w:spacing w:after="0"/>
        <w:jc w:val="both"/>
        <w:rPr>
          <w:sz w:val="20"/>
          <w:szCs w:val="20"/>
        </w:rPr>
      </w:pPr>
      <w:r w:rsidRPr="002B4268">
        <w:rPr>
          <w:sz w:val="20"/>
          <w:szCs w:val="20"/>
        </w:rPr>
        <w:t>Avoid direct skin contact with the fresh slurry. If contact occurs, wash thoroughly with water.</w:t>
      </w:r>
    </w:p>
    <w:p w14:paraId="498F8F93" w14:textId="04A2DC3F" w:rsidR="007B5673" w:rsidRPr="002B4268" w:rsidRDefault="0027620E" w:rsidP="002B4268">
      <w:pPr>
        <w:numPr>
          <w:ilvl w:val="0"/>
          <w:numId w:val="10"/>
        </w:numPr>
        <w:spacing w:after="0"/>
        <w:jc w:val="both"/>
        <w:rPr>
          <w:sz w:val="20"/>
          <w:szCs w:val="20"/>
        </w:rPr>
      </w:pPr>
      <w:r w:rsidRPr="002B4268">
        <w:rPr>
          <w:sz w:val="20"/>
          <w:szCs w:val="20"/>
        </w:rPr>
        <w:t>Clean tools and equipment with water immediately after use. Hardened material must be removed mechanically.</w:t>
      </w:r>
    </w:p>
    <w:p w14:paraId="2383D1D9" w14:textId="7DD44650" w:rsidR="007B5673" w:rsidRPr="002B4268" w:rsidRDefault="0027620E" w:rsidP="002B4268">
      <w:pPr>
        <w:numPr>
          <w:ilvl w:val="0"/>
          <w:numId w:val="10"/>
        </w:numPr>
        <w:spacing w:after="0"/>
        <w:jc w:val="both"/>
        <w:rPr>
          <w:sz w:val="20"/>
          <w:szCs w:val="20"/>
        </w:rPr>
      </w:pPr>
      <w:r w:rsidRPr="002B4268">
        <w:rPr>
          <w:sz w:val="20"/>
          <w:szCs w:val="20"/>
        </w:rPr>
        <w:t>Spill response: Contain spills, absorb with inert material, and dispose of per local regulations.</w:t>
      </w:r>
    </w:p>
    <w:p w14:paraId="13162456" w14:textId="0E4ED6E6" w:rsidR="007B5673" w:rsidRPr="002B4268" w:rsidRDefault="0027620E" w:rsidP="002B4268">
      <w:pPr>
        <w:numPr>
          <w:ilvl w:val="0"/>
          <w:numId w:val="10"/>
        </w:numPr>
        <w:spacing w:after="0"/>
        <w:jc w:val="both"/>
        <w:rPr>
          <w:sz w:val="20"/>
          <w:szCs w:val="20"/>
        </w:rPr>
      </w:pPr>
      <w:r w:rsidRPr="002B4268">
        <w:rPr>
          <w:sz w:val="20"/>
          <w:szCs w:val="20"/>
        </w:rPr>
        <w:lastRenderedPageBreak/>
        <w:t>Store liquid polymer containers in a cool, dry place away from direct sunlight. Keep cement stores dry and off the ground.</w:t>
      </w:r>
    </w:p>
    <w:p w14:paraId="537CBB0D" w14:textId="0307B51C" w:rsidR="007B5673" w:rsidRPr="002B4268" w:rsidRDefault="00BF2A6C">
      <w:pPr>
        <w:pStyle w:val="Heading2"/>
        <w:rPr>
          <w:sz w:val="28"/>
          <w:szCs w:val="28"/>
        </w:rPr>
      </w:pPr>
      <w:bookmarkStart w:id="11" w:name="X515fbe44cc82953a7558a12f84ca43c6cce76e7"/>
      <w:bookmarkEnd w:id="10"/>
      <w:r>
        <w:rPr>
          <w:sz w:val="28"/>
          <w:szCs w:val="28"/>
        </w:rPr>
        <w:t>9</w:t>
      </w:r>
      <w:r w:rsidR="0027620E" w:rsidRPr="002B4268">
        <w:rPr>
          <w:sz w:val="28"/>
          <w:szCs w:val="28"/>
        </w:rPr>
        <w:t>. Recommended Top‑Coat Schedule</w:t>
      </w:r>
    </w:p>
    <w:p w14:paraId="7320CA52" w14:textId="3F8D5CB8" w:rsidR="007B5673" w:rsidRPr="002B4268" w:rsidRDefault="0027620E" w:rsidP="00746E85">
      <w:pPr>
        <w:jc w:val="both"/>
        <w:rPr>
          <w:sz w:val="20"/>
          <w:szCs w:val="20"/>
        </w:rPr>
      </w:pPr>
      <w:r w:rsidRPr="002B4268">
        <w:rPr>
          <w:sz w:val="20"/>
          <w:szCs w:val="20"/>
        </w:rPr>
        <w:t xml:space="preserve">Allow </w:t>
      </w:r>
      <w:proofErr w:type="spellStart"/>
      <w:r w:rsidRPr="002B4268">
        <w:rPr>
          <w:sz w:val="20"/>
          <w:szCs w:val="20"/>
        </w:rPr>
        <w:t>Plexibond</w:t>
      </w:r>
      <w:proofErr w:type="spellEnd"/>
      <w:r w:rsidRPr="002B4268">
        <w:rPr>
          <w:sz w:val="20"/>
          <w:szCs w:val="20"/>
        </w:rPr>
        <w:t xml:space="preserve"> to dry at least 24 hours before applying any </w:t>
      </w:r>
      <w:proofErr w:type="gramStart"/>
      <w:r w:rsidRPr="002B4268">
        <w:rPr>
          <w:sz w:val="20"/>
          <w:szCs w:val="20"/>
        </w:rPr>
        <w:t>top coat</w:t>
      </w:r>
      <w:proofErr w:type="gramEnd"/>
      <w:r w:rsidRPr="002B4268">
        <w:rPr>
          <w:sz w:val="20"/>
          <w:szCs w:val="20"/>
        </w:rPr>
        <w:t>. For typical top coats (example: BOYSEN Permacoat Latex):</w:t>
      </w:r>
    </w:p>
    <w:p w14:paraId="4BFE9B82" w14:textId="1642D8A8" w:rsidR="007B5673" w:rsidRPr="002B4268" w:rsidRDefault="0027620E" w:rsidP="002B4268">
      <w:pPr>
        <w:numPr>
          <w:ilvl w:val="0"/>
          <w:numId w:val="11"/>
        </w:numPr>
        <w:spacing w:after="0"/>
        <w:rPr>
          <w:sz w:val="20"/>
          <w:szCs w:val="20"/>
        </w:rPr>
      </w:pPr>
      <w:r w:rsidRPr="002B4268">
        <w:rPr>
          <w:sz w:val="20"/>
          <w:szCs w:val="20"/>
        </w:rPr>
        <w:t>Confirm membrane is dry to the touch and free of contamination.</w:t>
      </w:r>
    </w:p>
    <w:p w14:paraId="01A09D7A" w14:textId="15C48B09" w:rsidR="007B5673" w:rsidRPr="002B4268" w:rsidRDefault="0027620E" w:rsidP="002B4268">
      <w:pPr>
        <w:numPr>
          <w:ilvl w:val="0"/>
          <w:numId w:val="11"/>
        </w:numPr>
        <w:spacing w:after="0"/>
        <w:rPr>
          <w:sz w:val="20"/>
          <w:szCs w:val="20"/>
        </w:rPr>
      </w:pPr>
      <w:r w:rsidRPr="002B4268">
        <w:rPr>
          <w:sz w:val="20"/>
          <w:szCs w:val="20"/>
        </w:rPr>
        <w:t>Apply primer or sealer if recommended by the top‑coat manufacturer.</w:t>
      </w:r>
    </w:p>
    <w:p w14:paraId="09C5FD3B" w14:textId="621D3C84" w:rsidR="007B5673" w:rsidRPr="002B4268" w:rsidRDefault="0027620E" w:rsidP="002B4268">
      <w:pPr>
        <w:numPr>
          <w:ilvl w:val="0"/>
          <w:numId w:val="11"/>
        </w:numPr>
        <w:spacing w:after="0"/>
        <w:rPr>
          <w:sz w:val="20"/>
          <w:szCs w:val="20"/>
        </w:rPr>
      </w:pPr>
      <w:r w:rsidRPr="002B4268">
        <w:rPr>
          <w:sz w:val="20"/>
          <w:szCs w:val="20"/>
        </w:rPr>
        <w:t xml:space="preserve">Apply 2–3 coats of </w:t>
      </w:r>
      <w:proofErr w:type="gramStart"/>
      <w:r w:rsidRPr="002B4268">
        <w:rPr>
          <w:sz w:val="20"/>
          <w:szCs w:val="20"/>
        </w:rPr>
        <w:t>top coat</w:t>
      </w:r>
      <w:proofErr w:type="gramEnd"/>
      <w:r w:rsidRPr="002B4268">
        <w:rPr>
          <w:sz w:val="20"/>
          <w:szCs w:val="20"/>
        </w:rPr>
        <w:t xml:space="preserve"> per the top‑coat technical data sheet, respecting recommended drying times between coats.</w:t>
      </w:r>
    </w:p>
    <w:p w14:paraId="0B9084D9" w14:textId="60BBF80D" w:rsidR="007B5673" w:rsidRPr="002B4268" w:rsidRDefault="0027620E" w:rsidP="002B4268">
      <w:pPr>
        <w:numPr>
          <w:ilvl w:val="0"/>
          <w:numId w:val="11"/>
        </w:numPr>
        <w:spacing w:after="0"/>
        <w:rPr>
          <w:sz w:val="20"/>
          <w:szCs w:val="20"/>
        </w:rPr>
      </w:pPr>
      <w:r w:rsidRPr="002B4268">
        <w:rPr>
          <w:sz w:val="20"/>
          <w:szCs w:val="20"/>
        </w:rPr>
        <w:t>Final inspection: Verify adhesion, continuity, and uniform coverage before handing over the surface.</w:t>
      </w:r>
    </w:p>
    <w:p w14:paraId="42453197" w14:textId="22B03E85" w:rsidR="007B5673" w:rsidRPr="002B4268" w:rsidRDefault="00BF2A6C">
      <w:pPr>
        <w:pStyle w:val="Heading2"/>
        <w:rPr>
          <w:sz w:val="28"/>
          <w:szCs w:val="28"/>
        </w:rPr>
      </w:pPr>
      <w:bookmarkStart w:id="12" w:name="X363365332687f13849f39e77d773f9999974b97"/>
      <w:bookmarkEnd w:id="11"/>
      <w:r>
        <w:rPr>
          <w:sz w:val="28"/>
          <w:szCs w:val="28"/>
        </w:rPr>
        <w:t>10</w:t>
      </w:r>
      <w:r w:rsidR="0027620E" w:rsidRPr="002B4268">
        <w:rPr>
          <w:sz w:val="28"/>
          <w:szCs w:val="28"/>
        </w:rPr>
        <w:t>. Quality Control Checklist</w:t>
      </w:r>
    </w:p>
    <w:p w14:paraId="738C4B40" w14:textId="61834A7D" w:rsidR="007B5673" w:rsidRPr="002B4268" w:rsidRDefault="0027620E" w:rsidP="002B4268">
      <w:pPr>
        <w:numPr>
          <w:ilvl w:val="0"/>
          <w:numId w:val="12"/>
        </w:numPr>
        <w:spacing w:after="0"/>
        <w:rPr>
          <w:sz w:val="20"/>
          <w:szCs w:val="20"/>
        </w:rPr>
      </w:pPr>
      <w:r w:rsidRPr="002B4268">
        <w:rPr>
          <w:sz w:val="20"/>
          <w:szCs w:val="20"/>
        </w:rPr>
        <w:t>Surface is clean, sound, and appropriately dampened.</w:t>
      </w:r>
    </w:p>
    <w:p w14:paraId="682FD33A" w14:textId="1B3B5047" w:rsidR="007B5673" w:rsidRPr="002B4268" w:rsidRDefault="0027620E" w:rsidP="002B4268">
      <w:pPr>
        <w:numPr>
          <w:ilvl w:val="0"/>
          <w:numId w:val="12"/>
        </w:numPr>
        <w:spacing w:after="0"/>
        <w:rPr>
          <w:sz w:val="20"/>
          <w:szCs w:val="20"/>
        </w:rPr>
      </w:pPr>
      <w:r w:rsidRPr="002B4268">
        <w:rPr>
          <w:sz w:val="20"/>
          <w:szCs w:val="20"/>
        </w:rPr>
        <w:t xml:space="preserve">Correct mixing proportion used: 4 L </w:t>
      </w:r>
      <w:proofErr w:type="gramStart"/>
      <w:r w:rsidRPr="002B4268">
        <w:rPr>
          <w:sz w:val="20"/>
          <w:szCs w:val="20"/>
        </w:rPr>
        <w:t>Plexibond :</w:t>
      </w:r>
      <w:proofErr w:type="gramEnd"/>
      <w:r w:rsidRPr="002B4268">
        <w:rPr>
          <w:sz w:val="20"/>
          <w:szCs w:val="20"/>
        </w:rPr>
        <w:t xml:space="preserve"> 6.5–7.5 kg cement.</w:t>
      </w:r>
      <w:r w:rsidR="00C54386" w:rsidRPr="00C54386">
        <w:rPr>
          <w:noProof/>
          <w:sz w:val="20"/>
          <w:szCs w:val="20"/>
        </w:rPr>
        <w:t xml:space="preserve"> </w:t>
      </w:r>
    </w:p>
    <w:p w14:paraId="0DC75760" w14:textId="4B9EA6E6" w:rsidR="007B5673" w:rsidRPr="002B4268" w:rsidRDefault="0027620E" w:rsidP="002B4268">
      <w:pPr>
        <w:numPr>
          <w:ilvl w:val="0"/>
          <w:numId w:val="12"/>
        </w:numPr>
        <w:spacing w:after="0"/>
        <w:rPr>
          <w:sz w:val="20"/>
          <w:szCs w:val="20"/>
        </w:rPr>
      </w:pPr>
      <w:r w:rsidRPr="002B4268">
        <w:rPr>
          <w:sz w:val="20"/>
          <w:szCs w:val="20"/>
        </w:rPr>
        <w:t>Slurry mixed to a lump‑free consistency and strained if necessary.</w:t>
      </w:r>
    </w:p>
    <w:p w14:paraId="336FC8A8" w14:textId="0393F116" w:rsidR="007B5673" w:rsidRPr="002B4268" w:rsidRDefault="0027620E" w:rsidP="002B4268">
      <w:pPr>
        <w:numPr>
          <w:ilvl w:val="0"/>
          <w:numId w:val="12"/>
        </w:numPr>
        <w:spacing w:after="0"/>
        <w:rPr>
          <w:sz w:val="20"/>
          <w:szCs w:val="20"/>
        </w:rPr>
      </w:pPr>
      <w:r w:rsidRPr="002B4268">
        <w:rPr>
          <w:sz w:val="20"/>
          <w:szCs w:val="20"/>
        </w:rPr>
        <w:t>Coats built to specified number and coverage; matting properly embedded at joints and transitions.</w:t>
      </w:r>
    </w:p>
    <w:p w14:paraId="62719325" w14:textId="57928DFD" w:rsidR="007B5673" w:rsidRPr="002B4268" w:rsidRDefault="0027620E" w:rsidP="002B4268">
      <w:pPr>
        <w:numPr>
          <w:ilvl w:val="0"/>
          <w:numId w:val="12"/>
        </w:numPr>
        <w:spacing w:after="0"/>
        <w:rPr>
          <w:sz w:val="20"/>
          <w:szCs w:val="20"/>
        </w:rPr>
      </w:pPr>
      <w:r w:rsidRPr="002B4268">
        <w:rPr>
          <w:sz w:val="20"/>
          <w:szCs w:val="20"/>
        </w:rPr>
        <w:t>Recoat intervals observed and protective measures instituted during cure.</w:t>
      </w:r>
    </w:p>
    <w:p w14:paraId="3A26E289" w14:textId="01EA6192" w:rsidR="007B5673" w:rsidRPr="002B4268" w:rsidRDefault="0027620E" w:rsidP="002B4268">
      <w:pPr>
        <w:numPr>
          <w:ilvl w:val="0"/>
          <w:numId w:val="12"/>
        </w:numPr>
        <w:spacing w:after="0"/>
        <w:rPr>
          <w:sz w:val="20"/>
          <w:szCs w:val="20"/>
        </w:rPr>
      </w:pPr>
      <w:r w:rsidRPr="002B4268">
        <w:rPr>
          <w:sz w:val="20"/>
          <w:szCs w:val="20"/>
        </w:rPr>
        <w:t>Safety procedures followed and tools cleaned after use.</w:t>
      </w:r>
    </w:p>
    <w:p w14:paraId="00CD716C" w14:textId="13AEBDF3" w:rsidR="007B5673" w:rsidRPr="002B4268" w:rsidRDefault="00BF2A6C">
      <w:pPr>
        <w:pStyle w:val="Heading2"/>
        <w:rPr>
          <w:sz w:val="28"/>
          <w:szCs w:val="28"/>
        </w:rPr>
      </w:pPr>
      <w:bookmarkStart w:id="13" w:name="X882c7304c35180d1dde1349b8d0b8068506c988"/>
      <w:bookmarkEnd w:id="12"/>
      <w:r>
        <w:rPr>
          <w:sz w:val="28"/>
          <w:szCs w:val="28"/>
        </w:rPr>
        <w:t>11</w:t>
      </w:r>
      <w:r w:rsidR="0027620E" w:rsidRPr="002B4268">
        <w:rPr>
          <w:sz w:val="28"/>
          <w:szCs w:val="28"/>
        </w:rPr>
        <w:t>. Typical Technical Notes (Reference values)</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637"/>
        <w:gridCol w:w="4928"/>
      </w:tblGrid>
      <w:tr w:rsidR="007B5673" w:rsidRPr="002B4268" w14:paraId="53CBF589" w14:textId="77777777" w:rsidTr="006D75C0">
        <w:trPr>
          <w:tblHeader/>
        </w:trPr>
        <w:tc>
          <w:tcPr>
            <w:tcW w:w="0" w:type="auto"/>
          </w:tcPr>
          <w:p w14:paraId="6484F2EE" w14:textId="77777777" w:rsidR="007B5673" w:rsidRPr="002B4268" w:rsidRDefault="0027620E" w:rsidP="004F0F18">
            <w:pPr>
              <w:spacing w:after="0"/>
              <w:rPr>
                <w:sz w:val="20"/>
                <w:szCs w:val="20"/>
              </w:rPr>
            </w:pPr>
            <w:r w:rsidRPr="002B4268">
              <w:rPr>
                <w:sz w:val="20"/>
                <w:szCs w:val="20"/>
              </w:rPr>
              <w:t>Property</w:t>
            </w:r>
          </w:p>
        </w:tc>
        <w:tc>
          <w:tcPr>
            <w:tcW w:w="4928" w:type="dxa"/>
          </w:tcPr>
          <w:p w14:paraId="5B68853A" w14:textId="5A57AEC2" w:rsidR="007B5673" w:rsidRPr="002B4268" w:rsidRDefault="0027620E" w:rsidP="004F0F18">
            <w:pPr>
              <w:spacing w:after="0"/>
              <w:rPr>
                <w:sz w:val="20"/>
                <w:szCs w:val="20"/>
              </w:rPr>
            </w:pPr>
            <w:r w:rsidRPr="002B4268">
              <w:rPr>
                <w:sz w:val="20"/>
                <w:szCs w:val="20"/>
              </w:rPr>
              <w:t>Typical Value / Note</w:t>
            </w:r>
          </w:p>
        </w:tc>
      </w:tr>
      <w:tr w:rsidR="007B5673" w:rsidRPr="002B4268" w14:paraId="51F4B47F" w14:textId="77777777" w:rsidTr="006D75C0">
        <w:tc>
          <w:tcPr>
            <w:tcW w:w="0" w:type="auto"/>
          </w:tcPr>
          <w:p w14:paraId="52975F16" w14:textId="77777777" w:rsidR="007B5673" w:rsidRPr="002B4268" w:rsidRDefault="0027620E" w:rsidP="004F0F18">
            <w:pPr>
              <w:spacing w:after="0"/>
              <w:rPr>
                <w:sz w:val="20"/>
                <w:szCs w:val="20"/>
              </w:rPr>
            </w:pPr>
            <w:r w:rsidRPr="002B4268">
              <w:rPr>
                <w:sz w:val="20"/>
                <w:szCs w:val="20"/>
              </w:rPr>
              <w:t>VOC</w:t>
            </w:r>
          </w:p>
        </w:tc>
        <w:tc>
          <w:tcPr>
            <w:tcW w:w="4928" w:type="dxa"/>
          </w:tcPr>
          <w:p w14:paraId="1427B26D" w14:textId="77777777" w:rsidR="007B5673" w:rsidRPr="002B4268" w:rsidRDefault="0027620E" w:rsidP="004F0F18">
            <w:pPr>
              <w:spacing w:after="0"/>
              <w:rPr>
                <w:sz w:val="20"/>
                <w:szCs w:val="20"/>
              </w:rPr>
            </w:pPr>
            <w:r w:rsidRPr="002B4268">
              <w:rPr>
                <w:sz w:val="20"/>
                <w:szCs w:val="20"/>
              </w:rPr>
              <w:t>≤ 17.8 g/L</w:t>
            </w:r>
          </w:p>
        </w:tc>
      </w:tr>
      <w:tr w:rsidR="007B5673" w:rsidRPr="002B4268" w14:paraId="572E86D3" w14:textId="77777777" w:rsidTr="006D75C0">
        <w:tc>
          <w:tcPr>
            <w:tcW w:w="0" w:type="auto"/>
          </w:tcPr>
          <w:p w14:paraId="33BD4F1E" w14:textId="77777777" w:rsidR="007B5673" w:rsidRPr="002B4268" w:rsidRDefault="0027620E" w:rsidP="004F0F18">
            <w:pPr>
              <w:spacing w:after="0"/>
              <w:rPr>
                <w:sz w:val="20"/>
                <w:szCs w:val="20"/>
              </w:rPr>
            </w:pPr>
            <w:r w:rsidRPr="002B4268">
              <w:rPr>
                <w:sz w:val="20"/>
                <w:szCs w:val="20"/>
              </w:rPr>
              <w:t>Density</w:t>
            </w:r>
          </w:p>
        </w:tc>
        <w:tc>
          <w:tcPr>
            <w:tcW w:w="4928" w:type="dxa"/>
          </w:tcPr>
          <w:p w14:paraId="009109B8" w14:textId="77777777" w:rsidR="007B5673" w:rsidRPr="002B4268" w:rsidRDefault="0027620E" w:rsidP="004F0F18">
            <w:pPr>
              <w:spacing w:after="0"/>
              <w:rPr>
                <w:sz w:val="20"/>
                <w:szCs w:val="20"/>
              </w:rPr>
            </w:pPr>
            <w:r w:rsidRPr="002B4268">
              <w:rPr>
                <w:sz w:val="20"/>
                <w:szCs w:val="20"/>
              </w:rPr>
              <w:t>≈ 1.01 kg/L (±0.05)</w:t>
            </w:r>
          </w:p>
        </w:tc>
      </w:tr>
      <w:tr w:rsidR="007B5673" w:rsidRPr="002B4268" w14:paraId="4F590440" w14:textId="77777777" w:rsidTr="006D75C0">
        <w:tc>
          <w:tcPr>
            <w:tcW w:w="0" w:type="auto"/>
          </w:tcPr>
          <w:p w14:paraId="2EF72239" w14:textId="77777777" w:rsidR="007B5673" w:rsidRPr="002B4268" w:rsidRDefault="0027620E" w:rsidP="004F0F18">
            <w:pPr>
              <w:spacing w:after="0"/>
              <w:rPr>
                <w:sz w:val="20"/>
                <w:szCs w:val="20"/>
              </w:rPr>
            </w:pPr>
            <w:r w:rsidRPr="002B4268">
              <w:rPr>
                <w:sz w:val="20"/>
                <w:szCs w:val="20"/>
              </w:rPr>
              <w:t>Touch dry time</w:t>
            </w:r>
          </w:p>
        </w:tc>
        <w:tc>
          <w:tcPr>
            <w:tcW w:w="4928" w:type="dxa"/>
          </w:tcPr>
          <w:p w14:paraId="59E8B448" w14:textId="77777777" w:rsidR="007B5673" w:rsidRPr="002B4268" w:rsidRDefault="0027620E" w:rsidP="004F0F18">
            <w:pPr>
              <w:spacing w:after="0"/>
              <w:rPr>
                <w:sz w:val="20"/>
                <w:szCs w:val="20"/>
              </w:rPr>
            </w:pPr>
            <w:r w:rsidRPr="002B4268">
              <w:rPr>
                <w:sz w:val="20"/>
                <w:szCs w:val="20"/>
              </w:rPr>
              <w:t>≈ 2 hours at 25 °C / 50 % RH</w:t>
            </w:r>
          </w:p>
        </w:tc>
      </w:tr>
      <w:tr w:rsidR="007B5673" w:rsidRPr="002B4268" w14:paraId="576EF171" w14:textId="77777777" w:rsidTr="006D75C0">
        <w:tc>
          <w:tcPr>
            <w:tcW w:w="0" w:type="auto"/>
          </w:tcPr>
          <w:p w14:paraId="2504D9C7" w14:textId="77777777" w:rsidR="007B5673" w:rsidRPr="002B4268" w:rsidRDefault="0027620E" w:rsidP="004F0F18">
            <w:pPr>
              <w:spacing w:after="0"/>
              <w:rPr>
                <w:sz w:val="20"/>
                <w:szCs w:val="20"/>
              </w:rPr>
            </w:pPr>
            <w:r w:rsidRPr="002B4268">
              <w:rPr>
                <w:sz w:val="20"/>
                <w:szCs w:val="20"/>
              </w:rPr>
              <w:t>Typical coverage</w:t>
            </w:r>
          </w:p>
        </w:tc>
        <w:tc>
          <w:tcPr>
            <w:tcW w:w="4928" w:type="dxa"/>
          </w:tcPr>
          <w:p w14:paraId="4623688E" w14:textId="77777777" w:rsidR="007B5673" w:rsidRPr="002B4268" w:rsidRDefault="0027620E" w:rsidP="004F0F18">
            <w:pPr>
              <w:spacing w:after="0"/>
              <w:rPr>
                <w:sz w:val="20"/>
                <w:szCs w:val="20"/>
              </w:rPr>
            </w:pPr>
            <w:r w:rsidRPr="002B4268">
              <w:rPr>
                <w:sz w:val="20"/>
                <w:szCs w:val="20"/>
              </w:rPr>
              <w:t>≈ 5–6 m² per 4 L per coat (estimate depending on substrate profile)</w:t>
            </w:r>
          </w:p>
        </w:tc>
      </w:tr>
      <w:tr w:rsidR="007B5673" w:rsidRPr="002B4268" w14:paraId="1371786E" w14:textId="77777777" w:rsidTr="006D75C0">
        <w:tc>
          <w:tcPr>
            <w:tcW w:w="0" w:type="auto"/>
          </w:tcPr>
          <w:p w14:paraId="56315E6E" w14:textId="77777777" w:rsidR="007B5673" w:rsidRPr="002B4268" w:rsidRDefault="0027620E" w:rsidP="004F0F18">
            <w:pPr>
              <w:spacing w:after="0"/>
              <w:rPr>
                <w:sz w:val="20"/>
                <w:szCs w:val="20"/>
              </w:rPr>
            </w:pPr>
            <w:r w:rsidRPr="002B4268">
              <w:rPr>
                <w:sz w:val="20"/>
                <w:szCs w:val="20"/>
              </w:rPr>
              <w:t>Recoat window</w:t>
            </w:r>
          </w:p>
        </w:tc>
        <w:tc>
          <w:tcPr>
            <w:tcW w:w="4928" w:type="dxa"/>
          </w:tcPr>
          <w:p w14:paraId="3F008EC2" w14:textId="77777777" w:rsidR="007B5673" w:rsidRPr="002B4268" w:rsidRDefault="0027620E" w:rsidP="004F0F18">
            <w:pPr>
              <w:spacing w:after="0"/>
              <w:rPr>
                <w:sz w:val="20"/>
                <w:szCs w:val="20"/>
              </w:rPr>
            </w:pPr>
            <w:r w:rsidRPr="002B4268">
              <w:rPr>
                <w:sz w:val="20"/>
                <w:szCs w:val="20"/>
              </w:rPr>
              <w:t>Typically within 2 hours; allow 24 hours before painting</w:t>
            </w:r>
          </w:p>
        </w:tc>
      </w:tr>
    </w:tbl>
    <w:p w14:paraId="0325C02C" w14:textId="41C80C3B" w:rsidR="007B5673" w:rsidRPr="002B4268" w:rsidRDefault="0027620E">
      <w:pPr>
        <w:pStyle w:val="Heading2"/>
        <w:rPr>
          <w:sz w:val="28"/>
          <w:szCs w:val="28"/>
        </w:rPr>
      </w:pPr>
      <w:bookmarkStart w:id="14" w:name="X7da0165d61d92fb90e3d2fc5f45695c695f7d48"/>
      <w:bookmarkEnd w:id="13"/>
      <w:r w:rsidRPr="002B4268">
        <w:rPr>
          <w:sz w:val="28"/>
          <w:szCs w:val="28"/>
        </w:rPr>
        <w:t>1</w:t>
      </w:r>
      <w:r w:rsidR="00BF2A6C">
        <w:rPr>
          <w:sz w:val="28"/>
          <w:szCs w:val="28"/>
        </w:rPr>
        <w:t>2</w:t>
      </w:r>
      <w:r w:rsidRPr="002B4268">
        <w:rPr>
          <w:sz w:val="28"/>
          <w:szCs w:val="28"/>
        </w:rPr>
        <w:t>. Step‑by‑Step Summary (Quick Reference)</w:t>
      </w:r>
    </w:p>
    <w:p w14:paraId="5A4A11E7" w14:textId="77777777" w:rsidR="007B5673" w:rsidRPr="002B4268" w:rsidRDefault="0027620E" w:rsidP="002B4268">
      <w:pPr>
        <w:numPr>
          <w:ilvl w:val="0"/>
          <w:numId w:val="13"/>
        </w:numPr>
        <w:spacing w:after="0"/>
        <w:rPr>
          <w:sz w:val="20"/>
          <w:szCs w:val="20"/>
        </w:rPr>
      </w:pPr>
      <w:r w:rsidRPr="002B4268">
        <w:rPr>
          <w:sz w:val="20"/>
          <w:szCs w:val="20"/>
        </w:rPr>
        <w:t>Surface preparation: clean, repair, and dampen substrate.</w:t>
      </w:r>
    </w:p>
    <w:p w14:paraId="669DB46B" w14:textId="77777777" w:rsidR="007B5673" w:rsidRPr="002B4268" w:rsidRDefault="0027620E" w:rsidP="002B4268">
      <w:pPr>
        <w:numPr>
          <w:ilvl w:val="0"/>
          <w:numId w:val="13"/>
        </w:numPr>
        <w:spacing w:after="0"/>
        <w:rPr>
          <w:sz w:val="20"/>
          <w:szCs w:val="20"/>
        </w:rPr>
      </w:pPr>
      <w:r w:rsidRPr="002B4268">
        <w:rPr>
          <w:sz w:val="20"/>
          <w:szCs w:val="20"/>
        </w:rPr>
        <w:t>Prepare mix: 4 L Plexibond liquid + 6.5–7.5 kg cement; mix to lump‑free slurry.</w:t>
      </w:r>
    </w:p>
    <w:p w14:paraId="4B1F541F" w14:textId="77777777" w:rsidR="007B5673" w:rsidRPr="002B4268" w:rsidRDefault="0027620E" w:rsidP="002B4268">
      <w:pPr>
        <w:numPr>
          <w:ilvl w:val="0"/>
          <w:numId w:val="13"/>
        </w:numPr>
        <w:spacing w:after="0"/>
        <w:jc w:val="both"/>
        <w:rPr>
          <w:sz w:val="20"/>
          <w:szCs w:val="20"/>
        </w:rPr>
      </w:pPr>
      <w:r w:rsidRPr="002B4268">
        <w:rPr>
          <w:sz w:val="20"/>
          <w:szCs w:val="20"/>
        </w:rPr>
        <w:t>Apply coats: vertical — usually 2 coats; horizontal — 3–5 coats depending on build required; maintain coverage ~5–6 m² per 4 L per coat.</w:t>
      </w:r>
    </w:p>
    <w:p w14:paraId="0BEB0EA5" w14:textId="77777777" w:rsidR="007B5673" w:rsidRPr="002B4268" w:rsidRDefault="0027620E" w:rsidP="002B4268">
      <w:pPr>
        <w:numPr>
          <w:ilvl w:val="0"/>
          <w:numId w:val="13"/>
        </w:numPr>
        <w:spacing w:after="0"/>
        <w:jc w:val="both"/>
        <w:rPr>
          <w:sz w:val="20"/>
          <w:szCs w:val="20"/>
        </w:rPr>
      </w:pPr>
      <w:r w:rsidRPr="002B4268">
        <w:rPr>
          <w:sz w:val="20"/>
          <w:szCs w:val="20"/>
        </w:rPr>
        <w:t>Embed fiberglass matting at joints and vulnerable details while second coat is wet; fully cover with subsequent coats.</w:t>
      </w:r>
    </w:p>
    <w:p w14:paraId="539D7A33" w14:textId="77777777" w:rsidR="007B5673" w:rsidRPr="002B4268" w:rsidRDefault="0027620E" w:rsidP="002B4268">
      <w:pPr>
        <w:numPr>
          <w:ilvl w:val="0"/>
          <w:numId w:val="13"/>
        </w:numPr>
        <w:spacing w:after="0"/>
        <w:jc w:val="both"/>
        <w:rPr>
          <w:sz w:val="20"/>
          <w:szCs w:val="20"/>
        </w:rPr>
      </w:pPr>
      <w:r w:rsidRPr="002B4268">
        <w:rPr>
          <w:sz w:val="20"/>
          <w:szCs w:val="20"/>
        </w:rPr>
        <w:t>Cure and protect: allow at least 24 hours before painting; minimum 7 days before heavy traffic or full exposure.</w:t>
      </w:r>
    </w:p>
    <w:p w14:paraId="5B65E173" w14:textId="73E456D8" w:rsidR="007B5673" w:rsidRPr="002B4268" w:rsidRDefault="0027620E">
      <w:pPr>
        <w:pStyle w:val="Heading2"/>
        <w:rPr>
          <w:sz w:val="28"/>
          <w:szCs w:val="28"/>
        </w:rPr>
      </w:pPr>
      <w:bookmarkStart w:id="15" w:name="Xff48c4ce1cc28c13b6f5bba137aef9ecadbcb63"/>
      <w:bookmarkEnd w:id="14"/>
      <w:r w:rsidRPr="002B4268">
        <w:rPr>
          <w:sz w:val="28"/>
          <w:szCs w:val="28"/>
        </w:rPr>
        <w:t>1</w:t>
      </w:r>
      <w:r w:rsidR="00BF2A6C">
        <w:rPr>
          <w:sz w:val="28"/>
          <w:szCs w:val="28"/>
        </w:rPr>
        <w:t>3</w:t>
      </w:r>
      <w:r w:rsidRPr="002B4268">
        <w:rPr>
          <w:sz w:val="28"/>
          <w:szCs w:val="28"/>
        </w:rPr>
        <w:t>. Notes and Manufacturer Reference</w:t>
      </w:r>
    </w:p>
    <w:p w14:paraId="6E86DA55" w14:textId="6EBC05F7" w:rsidR="007B5673" w:rsidRPr="002B4268" w:rsidRDefault="0027620E" w:rsidP="00746E85">
      <w:pPr>
        <w:jc w:val="both"/>
        <w:rPr>
          <w:sz w:val="20"/>
          <w:szCs w:val="20"/>
        </w:rPr>
      </w:pPr>
      <w:r w:rsidRPr="002B4268">
        <w:rPr>
          <w:sz w:val="20"/>
          <w:szCs w:val="20"/>
        </w:rPr>
        <w:t>This procedure is based on BOYSEN Plexibond B‑7760 product guidance and standard cementitious waterproofing practices. Always consult the latest BOYSEN technical data sheet and safety data sheet for product‑specific limitations, local environmental considerations, and the most current recommendations. Adapt the procedure for ambient conditions, substrate type, and project specification.</w:t>
      </w:r>
    </w:p>
    <w:bookmarkEnd w:id="0"/>
    <w:bookmarkEnd w:id="15"/>
    <w:p w14:paraId="0C47EBF2" w14:textId="6DF476ED" w:rsidR="0027620E" w:rsidRPr="002B4268" w:rsidRDefault="0027620E" w:rsidP="0027620E">
      <w:pPr>
        <w:pStyle w:val="Heading2"/>
        <w:rPr>
          <w:sz w:val="28"/>
          <w:szCs w:val="28"/>
        </w:rPr>
      </w:pPr>
      <w:r w:rsidRPr="002B4268">
        <w:rPr>
          <w:sz w:val="28"/>
          <w:szCs w:val="28"/>
        </w:rPr>
        <w:t>1</w:t>
      </w:r>
      <w:r w:rsidR="00BF2A6C">
        <w:rPr>
          <w:sz w:val="28"/>
          <w:szCs w:val="28"/>
        </w:rPr>
        <w:t>4</w:t>
      </w:r>
      <w:r w:rsidRPr="002B4268">
        <w:rPr>
          <w:sz w:val="28"/>
          <w:szCs w:val="28"/>
        </w:rPr>
        <w:t>.</w:t>
      </w:r>
      <w:r w:rsidRPr="002B4268">
        <w:rPr>
          <w:sz w:val="28"/>
          <w:szCs w:val="28"/>
        </w:rPr>
        <w:tab/>
        <w:t>APPENDICES</w:t>
      </w:r>
    </w:p>
    <w:p w14:paraId="3E334AB4" w14:textId="4050724F" w:rsidR="0027620E" w:rsidRPr="002B4268" w:rsidRDefault="0027620E" w:rsidP="0027620E">
      <w:pPr>
        <w:pStyle w:val="BlockText"/>
        <w:tabs>
          <w:tab w:val="left" w:pos="540"/>
        </w:tabs>
        <w:spacing w:line="276" w:lineRule="auto"/>
        <w:ind w:left="540" w:hanging="540"/>
        <w:outlineLvl w:val="0"/>
        <w:rPr>
          <w:rFonts w:ascii="Trebuchet MS" w:hAnsi="Trebuchet MS" w:cs="Arial"/>
          <w:b w:val="0"/>
          <w:i/>
          <w:sz w:val="18"/>
          <w:szCs w:val="18"/>
        </w:rPr>
      </w:pPr>
      <w:r w:rsidRPr="002B4268">
        <w:rPr>
          <w:rFonts w:ascii="Trebuchet MS" w:hAnsi="Trebuchet MS" w:cs="Arial"/>
          <w:b w:val="0"/>
          <w:i/>
          <w:sz w:val="18"/>
          <w:szCs w:val="18"/>
        </w:rPr>
        <w:t>Service Agreement</w:t>
      </w:r>
    </w:p>
    <w:p w14:paraId="50C5A02D" w14:textId="35105715" w:rsidR="0027620E" w:rsidRPr="002B4268" w:rsidRDefault="0027620E" w:rsidP="0027620E">
      <w:pPr>
        <w:pStyle w:val="BlockText"/>
        <w:tabs>
          <w:tab w:val="left" w:pos="540"/>
        </w:tabs>
        <w:spacing w:line="276" w:lineRule="auto"/>
        <w:ind w:left="540" w:hanging="540"/>
        <w:outlineLvl w:val="0"/>
        <w:rPr>
          <w:rFonts w:ascii="Trebuchet MS" w:hAnsi="Trebuchet MS" w:cs="Arial"/>
          <w:b w:val="0"/>
          <w:i/>
          <w:sz w:val="18"/>
          <w:szCs w:val="18"/>
        </w:rPr>
      </w:pPr>
      <w:r w:rsidRPr="002B4268">
        <w:rPr>
          <w:rFonts w:ascii="Trebuchet MS" w:hAnsi="Trebuchet MS" w:cs="Arial"/>
          <w:b w:val="0"/>
          <w:i/>
          <w:sz w:val="18"/>
          <w:szCs w:val="18"/>
        </w:rPr>
        <w:t>PM-OPN-02-16 Painting Works Checklist form</w:t>
      </w:r>
    </w:p>
    <w:p w14:paraId="4672DBC0" w14:textId="47DC19A0" w:rsidR="007B5673" w:rsidRPr="00BF2A6C" w:rsidRDefault="0027620E" w:rsidP="00BF2A6C">
      <w:pPr>
        <w:pStyle w:val="BlockText"/>
        <w:tabs>
          <w:tab w:val="left" w:pos="540"/>
        </w:tabs>
        <w:spacing w:line="276" w:lineRule="auto"/>
        <w:ind w:left="540" w:hanging="540"/>
        <w:outlineLvl w:val="0"/>
        <w:rPr>
          <w:rFonts w:ascii="Trebuchet MS" w:hAnsi="Trebuchet MS" w:cs="Arial"/>
          <w:sz w:val="18"/>
          <w:szCs w:val="18"/>
        </w:rPr>
      </w:pPr>
      <w:r w:rsidRPr="002B4268">
        <w:rPr>
          <w:rFonts w:ascii="Trebuchet MS" w:hAnsi="Trebuchet MS" w:cs="Arial"/>
          <w:b w:val="0"/>
          <w:i/>
          <w:sz w:val="18"/>
          <w:szCs w:val="18"/>
        </w:rPr>
        <w:t>Billing form</w:t>
      </w:r>
    </w:p>
    <w:sectPr w:rsidR="007B5673" w:rsidRPr="00BF2A6C" w:rsidSect="00746E85">
      <w:footerReference w:type="default" r:id="rId18"/>
      <w:pgSz w:w="11906" w:h="16838" w:code="9"/>
      <w:pgMar w:top="720" w:right="720" w:bottom="720" w:left="720" w:header="360" w:footer="36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E84664" w14:textId="77777777" w:rsidR="00276EAF" w:rsidRDefault="00276EAF">
      <w:pPr>
        <w:spacing w:after="0"/>
      </w:pPr>
      <w:r>
        <w:separator/>
      </w:r>
    </w:p>
  </w:endnote>
  <w:endnote w:type="continuationSeparator" w:id="0">
    <w:p w14:paraId="40DEFB60" w14:textId="77777777" w:rsidR="00276EAF" w:rsidRDefault="00276E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embedRegular r:id="rId1" w:fontKey="{9AD2E5B5-4F67-4E21-A093-9F78D833EA29}"/>
    <w:embedBold r:id="rId2" w:fontKey="{417B4F0F-6641-4EA0-9F24-A3CBD2C3A9C1}"/>
  </w:font>
  <w:font w:name="Times New Roman">
    <w:panose1 w:val="02020603050405020304"/>
    <w:charset w:val="00"/>
    <w:family w:val="roman"/>
    <w:pitch w:val="variable"/>
    <w:sig w:usb0="E0002EFF" w:usb1="C000785B" w:usb2="00000009" w:usb3="00000000" w:csb0="000001FF" w:csb1="00000000"/>
    <w:embedRegular r:id="rId3" w:fontKey="{885CBD7A-CB28-412B-9F1F-E9F49B9805E5}"/>
    <w:embedBold r:id="rId4" w:fontKey="{B2477FF9-E774-4C71-A2E9-C9C50EAAA3ED}"/>
    <w:embedItalic r:id="rId5" w:fontKey="{E5461289-65FA-4CBC-B0B2-57F9164AA0BF}"/>
    <w:embedBoldItalic r:id="rId6" w:fontKey="{70821D23-481E-498C-8384-2DD813D73D05}"/>
  </w:font>
  <w:font w:name="Aptos">
    <w:charset w:val="00"/>
    <w:family w:val="swiss"/>
    <w:pitch w:val="variable"/>
    <w:sig w:usb0="20000287" w:usb1="00000003" w:usb2="00000000" w:usb3="00000000" w:csb0="0000019F" w:csb1="00000000"/>
    <w:embedRegular r:id="rId7" w:fontKey="{5923E59E-B876-4DC8-BDAF-2461B5FDD9B1}"/>
    <w:embedBold r:id="rId8" w:fontKey="{2C326C8C-013F-4235-A26F-34695BAE3BF1}"/>
    <w:embedItalic r:id="rId9" w:fontKey="{396398E4-70DC-43E2-9D49-A16E90BC5586}"/>
    <w:embedBoldItalic r:id="rId10" w:fontKey="{4520741C-0898-480B-B4BC-B6869718599C}"/>
  </w:font>
  <w:font w:name="Play">
    <w:altName w:val="Calibri"/>
    <w:charset w:val="00"/>
    <w:family w:val="auto"/>
    <w:pitch w:val="default"/>
    <w:embedRegular r:id="rId11" w:fontKey="{A5B6CAEF-9F7F-4831-ABB4-7D4E371581E4}"/>
    <w:embedBold r:id="rId12" w:fontKey="{D65EEA4B-7266-472D-AEBA-545252933015}"/>
    <w:embedItalic r:id="rId13" w:fontKey="{07D04AC0-F2D6-4B30-960C-D4FB7C3B09BC}"/>
  </w:font>
  <w:font w:name="Trebuchet MS">
    <w:panose1 w:val="020B0603020202020204"/>
    <w:charset w:val="00"/>
    <w:family w:val="swiss"/>
    <w:pitch w:val="variable"/>
    <w:sig w:usb0="00000687" w:usb1="00000000" w:usb2="00000000" w:usb3="00000000" w:csb0="0000009F" w:csb1="00000000"/>
    <w:embedBold r:id="rId14" w:fontKey="{5AC2C769-D87B-46F9-B1E4-7A61175E59E0}"/>
    <w:embedItalic r:id="rId15" w:fontKey="{182236C7-D4E6-4059-A687-4447F18C618D}"/>
  </w:font>
  <w:font w:name="Calibri">
    <w:panose1 w:val="020F0502020204030204"/>
    <w:charset w:val="00"/>
    <w:family w:val="swiss"/>
    <w:pitch w:val="variable"/>
    <w:sig w:usb0="E4002EFF" w:usb1="C200247B" w:usb2="00000009" w:usb3="00000000" w:csb0="000001FF" w:csb1="00000000"/>
    <w:embedRegular r:id="rId16" w:fontKey="{7928E5D7-D737-4F90-9E71-7C6790A665FB}"/>
  </w:font>
  <w:font w:name="Cambria">
    <w:panose1 w:val="02040503050406030204"/>
    <w:charset w:val="00"/>
    <w:family w:val="roman"/>
    <w:pitch w:val="variable"/>
    <w:sig w:usb0="E00006FF" w:usb1="420024FF" w:usb2="02000000" w:usb3="00000000" w:csb0="0000019F" w:csb1="00000000"/>
    <w:embedRegular r:id="rId17" w:fontKey="{0A7E6468-D6BE-498A-9C62-9E73C2BBD8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97FE9E" w14:textId="77777777" w:rsidR="007B5673" w:rsidRDefault="0027620E">
    <w:pPr>
      <w:pBdr>
        <w:top w:val="single" w:sz="6" w:space="2" w:color="1E7D8C"/>
      </w:pBdr>
      <w:tabs>
        <w:tab w:val="right" w:pos="9360"/>
      </w:tabs>
      <w:jc w:val="right"/>
    </w:pPr>
    <w:r>
      <w:rPr>
        <w:color w:val="595959"/>
        <w:sz w:val="18"/>
        <w:szCs w:val="18"/>
      </w:rPr>
      <w:t xml:space="preserve">Page </w:t>
    </w:r>
    <w:r>
      <w:fldChar w:fldCharType="begin"/>
    </w:r>
    <w:r>
      <w:instrText>PAGE</w:instrText>
    </w:r>
    <w:r>
      <w:fldChar w:fldCharType="separate"/>
    </w:r>
    <w:r w:rsidR="00533443">
      <w:rPr>
        <w:noProof/>
      </w:rPr>
      <w:t>1</w:t>
    </w:r>
    <w:r>
      <w:fldChar w:fldCharType="end"/>
    </w:r>
    <w:r>
      <w:rPr>
        <w:color w:val="595959"/>
        <w:sz w:val="18"/>
        <w:szCs w:val="18"/>
      </w:rPr>
      <w:t xml:space="preserve"> of </w:t>
    </w:r>
    <w:r>
      <w:fldChar w:fldCharType="begin"/>
    </w:r>
    <w:r>
      <w:instrText>NUMPAGES</w:instrText>
    </w:r>
    <w:r>
      <w:fldChar w:fldCharType="separate"/>
    </w:r>
    <w:r w:rsidR="0053344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6ADD09" w14:textId="77777777" w:rsidR="00276EAF" w:rsidRDefault="00276EAF">
      <w:pPr>
        <w:spacing w:after="0"/>
      </w:pPr>
      <w:r>
        <w:separator/>
      </w:r>
    </w:p>
  </w:footnote>
  <w:footnote w:type="continuationSeparator" w:id="0">
    <w:p w14:paraId="5087DA1E" w14:textId="77777777" w:rsidR="00276EAF" w:rsidRDefault="00276EA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186890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FC49C28"/>
    <w:lvl w:ilvl="0">
      <w:numFmt w:val="bullet"/>
      <w:lvlText w:val="•"/>
      <w:lvlJc w:val="left"/>
      <w:pPr>
        <w:ind w:left="720" w:hanging="360"/>
      </w:pPr>
      <w:rPr>
        <w:rFonts w:ascii="Arial" w:hAnsi="Arial" w:cs="Arial" w:hint="default"/>
      </w:rPr>
    </w:lvl>
    <w:lvl w:ilvl="1">
      <w:numFmt w:val="bullet"/>
      <w:lvlText w:val="◦"/>
      <w:lvlJc w:val="left"/>
      <w:pPr>
        <w:ind w:left="1440" w:hanging="360"/>
      </w:pPr>
      <w:rPr>
        <w:rFonts w:ascii="Arial" w:hAnsi="Arial" w:cs="Arial" w:hint="default"/>
      </w:rPr>
    </w:lvl>
    <w:lvl w:ilvl="2">
      <w:numFmt w:val="bullet"/>
      <w:lvlText w:val="▪"/>
      <w:lvlJc w:val="left"/>
      <w:pPr>
        <w:ind w:left="2160" w:hanging="360"/>
      </w:pPr>
      <w:rPr>
        <w:rFonts w:ascii="Arial" w:hAnsi="Arial" w:cs="Arial" w:hint="default"/>
      </w:rPr>
    </w:lvl>
    <w:lvl w:ilvl="3">
      <w:numFmt w:val="bullet"/>
      <w:lvlText w:val="•"/>
      <w:lvlJc w:val="left"/>
      <w:pPr>
        <w:ind w:left="2880" w:hanging="360"/>
      </w:pPr>
      <w:rPr>
        <w:rFonts w:ascii="Arial" w:hAnsi="Arial" w:cs="Arial" w:hint="default"/>
      </w:rPr>
    </w:lvl>
    <w:lvl w:ilvl="4">
      <w:numFmt w:val="bullet"/>
      <w:lvlText w:val="◦"/>
      <w:lvlJc w:val="left"/>
      <w:pPr>
        <w:ind w:left="3600" w:hanging="360"/>
      </w:pPr>
      <w:rPr>
        <w:rFonts w:ascii="Arial" w:hAnsi="Arial" w:cs="Arial" w:hint="default"/>
      </w:rPr>
    </w:lvl>
    <w:lvl w:ilvl="5">
      <w:numFmt w:val="bullet"/>
      <w:lvlText w:val="▪"/>
      <w:lvlJc w:val="left"/>
      <w:pPr>
        <w:ind w:left="4320" w:hanging="360"/>
      </w:pPr>
      <w:rPr>
        <w:rFonts w:ascii="Arial" w:hAnsi="Arial" w:cs="Arial" w:hint="default"/>
      </w:rPr>
    </w:lvl>
    <w:lvl w:ilvl="6">
      <w:numFmt w:val="bullet"/>
      <w:lvlText w:val="•"/>
      <w:lvlJc w:val="left"/>
      <w:pPr>
        <w:ind w:left="5040" w:hanging="360"/>
      </w:pPr>
      <w:rPr>
        <w:rFonts w:ascii="Arial" w:hAnsi="Arial" w:cs="Arial" w:hint="default"/>
      </w:rPr>
    </w:lvl>
    <w:lvl w:ilvl="7">
      <w:numFmt w:val="bullet"/>
      <w:lvlText w:val="◦"/>
      <w:lvlJc w:val="left"/>
      <w:pPr>
        <w:ind w:left="5760" w:hanging="360"/>
      </w:pPr>
      <w:rPr>
        <w:rFonts w:ascii="Arial" w:hAnsi="Arial" w:cs="Arial" w:hint="default"/>
      </w:rPr>
    </w:lvl>
    <w:lvl w:ilvl="8">
      <w:numFmt w:val="bullet"/>
      <w:lvlText w:val="▪"/>
      <w:lvlJc w:val="left"/>
      <w:pPr>
        <w:ind w:left="6480" w:hanging="360"/>
      </w:pPr>
      <w:rPr>
        <w:rFonts w:ascii="Arial" w:hAnsi="Arial" w:cs="Arial" w:hint="default"/>
      </w:rPr>
    </w:lvl>
  </w:abstractNum>
  <w:abstractNum w:abstractNumId="2" w15:restartNumberingAfterBreak="0">
    <w:nsid w:val="00A99411"/>
    <w:multiLevelType w:val="multilevel"/>
    <w:tmpl w:val="CFF8DF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CF6200"/>
    <w:multiLevelType w:val="multilevel"/>
    <w:tmpl w:val="DA9C5554"/>
    <w:lvl w:ilvl="0">
      <w:start w:val="1"/>
      <w:numFmt w:val="decimal"/>
      <w:lvlText w:val="%1."/>
      <w:lvlJc w:val="left"/>
      <w:pPr>
        <w:ind w:left="720" w:hanging="360"/>
      </w:pPr>
      <w:rPr>
        <w:b/>
        <w:bCs/>
        <w:color w:val="0F4761"/>
        <w:sz w:val="24"/>
        <w:szCs w:val="24"/>
      </w:rPr>
    </w:lvl>
    <w:lvl w:ilvl="1">
      <w:start w:val="1"/>
      <w:numFmt w:val="lowerLetter"/>
      <w:lvlText w:val="%2)"/>
      <w:lvlJc w:val="left"/>
      <w:pPr>
        <w:ind w:left="1080" w:hanging="360"/>
      </w:pPr>
      <w:rPr>
        <w:color w:val="595959"/>
        <w:sz w:val="22"/>
        <w:szCs w:val="22"/>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6532D1F"/>
    <w:multiLevelType w:val="multilevel"/>
    <w:tmpl w:val="654A55C6"/>
    <w:lvl w:ilvl="0">
      <w:start w:val="1"/>
      <w:numFmt w:val="bullet"/>
      <w:lvlText w:val="•"/>
      <w:lvlJc w:val="left"/>
      <w:pPr>
        <w:ind w:left="720" w:hanging="360"/>
      </w:pPr>
      <w:rPr>
        <w:rFonts w:ascii="Arial" w:hAnsi="Arial" w:cs="Arial" w:hint="default"/>
        <w:color w:val="1E7D8C"/>
        <w:sz w:val="24"/>
        <w:szCs w:val="24"/>
      </w:rPr>
    </w:lvl>
    <w:lvl w:ilvl="1">
      <w:start w:val="1"/>
      <w:numFmt w:val="bullet"/>
      <w:lvlText w:val="◦"/>
      <w:lvlJc w:val="left"/>
      <w:pPr>
        <w:ind w:left="1080" w:hanging="360"/>
      </w:pPr>
      <w:rPr>
        <w:rFonts w:ascii="Arial" w:hAnsi="Arial" w:cs="Arial" w:hint="default"/>
        <w:color w:val="595959"/>
        <w:sz w:val="22"/>
        <w:szCs w:val="22"/>
      </w:rPr>
    </w:lvl>
    <w:lvl w:ilvl="2">
      <w:start w:val="1"/>
      <w:numFmt w:val="bullet"/>
      <w:lvlText w:val="▪"/>
      <w:lvlJc w:val="left"/>
      <w:pPr>
        <w:ind w:left="1440" w:hanging="360"/>
      </w:pPr>
      <w:rPr>
        <w:rFonts w:ascii="Arial" w:hAnsi="Arial" w:cs="Arial" w:hint="default"/>
        <w:color w:val="595959"/>
        <w:sz w:val="20"/>
        <w:szCs w:val="20"/>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12441583">
    <w:abstractNumId w:val="4"/>
  </w:num>
  <w:num w:numId="2" w16cid:durableId="1007172914">
    <w:abstractNumId w:val="3"/>
  </w:num>
  <w:num w:numId="3" w16cid:durableId="797264859">
    <w:abstractNumId w:val="0"/>
  </w:num>
  <w:num w:numId="4" w16cid:durableId="997225291">
    <w:abstractNumId w:val="1"/>
  </w:num>
  <w:num w:numId="5" w16cid:durableId="1742437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7557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59764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1701456">
    <w:abstractNumId w:val="1"/>
  </w:num>
  <w:num w:numId="9" w16cid:durableId="181435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99338740">
    <w:abstractNumId w:val="1"/>
  </w:num>
  <w:num w:numId="11" w16cid:durableId="1082215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35250384">
    <w:abstractNumId w:val="1"/>
  </w:num>
  <w:num w:numId="13" w16cid:durableId="119341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73"/>
    <w:rsid w:val="001A320E"/>
    <w:rsid w:val="001B5F3E"/>
    <w:rsid w:val="001E6514"/>
    <w:rsid w:val="00240767"/>
    <w:rsid w:val="00266BA4"/>
    <w:rsid w:val="0027620E"/>
    <w:rsid w:val="00276EAF"/>
    <w:rsid w:val="002B4268"/>
    <w:rsid w:val="002F464A"/>
    <w:rsid w:val="003D677B"/>
    <w:rsid w:val="00491D39"/>
    <w:rsid w:val="004F0F18"/>
    <w:rsid w:val="0051386C"/>
    <w:rsid w:val="00514205"/>
    <w:rsid w:val="00533443"/>
    <w:rsid w:val="00534005"/>
    <w:rsid w:val="005F5100"/>
    <w:rsid w:val="006A5575"/>
    <w:rsid w:val="006D75C0"/>
    <w:rsid w:val="00746E85"/>
    <w:rsid w:val="007B5673"/>
    <w:rsid w:val="007C754F"/>
    <w:rsid w:val="00856DDB"/>
    <w:rsid w:val="008647C7"/>
    <w:rsid w:val="009E6732"/>
    <w:rsid w:val="00A37684"/>
    <w:rsid w:val="00AF6C2B"/>
    <w:rsid w:val="00B00EF8"/>
    <w:rsid w:val="00BF2A6C"/>
    <w:rsid w:val="00C16A88"/>
    <w:rsid w:val="00C54386"/>
    <w:rsid w:val="00CF344E"/>
    <w:rsid w:val="00D52649"/>
    <w:rsid w:val="00FD2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B599B"/>
  <w15:docId w15:val="{2F3C4E1F-D331-43C3-8316-F527F386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PH" w:eastAsia="en-PH"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single" w:sz="6" w:space="2" w:color="1E7D8C"/>
        <w:right w:val="nil"/>
        <w:between w:val="nil"/>
      </w:pBdr>
      <w:spacing w:before="360" w:after="220"/>
      <w:outlineLvl w:val="0"/>
    </w:pPr>
    <w:rPr>
      <w:rFonts w:ascii="Play" w:eastAsia="Play" w:hAnsi="Play" w:cs="Play"/>
      <w:b/>
      <w:bCs/>
      <w:color w:val="0F4761"/>
      <w:sz w:val="40"/>
      <w:szCs w:val="4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280" w:after="180"/>
      <w:outlineLvl w:val="1"/>
    </w:pPr>
    <w:rPr>
      <w:rFonts w:ascii="Play" w:eastAsia="Play" w:hAnsi="Play" w:cs="Play"/>
      <w:b/>
      <w:bCs/>
      <w:color w:val="0F4761"/>
      <w:sz w:val="32"/>
      <w:szCs w:val="32"/>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220" w:after="150"/>
      <w:outlineLvl w:val="2"/>
    </w:pPr>
    <w:rPr>
      <w:b/>
      <w:bCs/>
      <w:color w:val="0F4761"/>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180" w:after="120"/>
      <w:outlineLvl w:val="3"/>
    </w:pPr>
    <w:rPr>
      <w:b/>
      <w:bCs/>
      <w:i/>
      <w:iCs/>
      <w:color w:val="0F4761"/>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140" w:after="100"/>
      <w:outlineLvl w:val="4"/>
    </w:pPr>
    <w:rPr>
      <w:b/>
      <w:bCs/>
      <w:color w:val="1E7D8C"/>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100" w:after="80"/>
      <w:outlineLvl w:val="5"/>
    </w:pPr>
    <w:rPr>
      <w:i/>
      <w:iCs/>
      <w:color w:val="595959"/>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single" w:sz="12" w:space="4" w:color="1E7D8C"/>
        <w:right w:val="nil"/>
        <w:between w:val="nil"/>
      </w:pBdr>
      <w:spacing w:after="280"/>
      <w:jc w:val="center"/>
    </w:pPr>
    <w:rPr>
      <w:rFonts w:ascii="Play" w:eastAsia="Play" w:hAnsi="Play" w:cs="Play"/>
      <w:color w:val="0F4761"/>
      <w:sz w:val="56"/>
      <w:szCs w:val="56"/>
    </w:rPr>
  </w:style>
  <w:style w:type="paragraph" w:styleId="Subtitle">
    <w:name w:val="Subtitle"/>
    <w:basedOn w:val="Normal"/>
    <w:next w:val="Normal"/>
    <w:uiPriority w:val="11"/>
    <w:qFormat/>
    <w:pPr>
      <w:pBdr>
        <w:top w:val="nil"/>
        <w:left w:val="nil"/>
        <w:bottom w:val="nil"/>
        <w:right w:val="nil"/>
        <w:between w:val="nil"/>
      </w:pBdr>
      <w:spacing w:after="80"/>
      <w:jc w:val="center"/>
    </w:pPr>
    <w:rPr>
      <w:rFonts w:ascii="Play" w:eastAsia="Play" w:hAnsi="Play" w:cs="Play"/>
      <w:i/>
      <w:iCs/>
      <w:color w:val="595959"/>
      <w:sz w:val="28"/>
      <w:szCs w:val="28"/>
    </w:r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Header">
    <w:name w:val="header"/>
    <w:basedOn w:val="Normal"/>
    <w:link w:val="HeaderChar"/>
    <w:unhideWhenUsed/>
    <w:rsid w:val="0051386C"/>
    <w:pPr>
      <w:tabs>
        <w:tab w:val="center" w:pos="4680"/>
        <w:tab w:val="right" w:pos="9360"/>
      </w:tabs>
      <w:spacing w:after="0"/>
    </w:pPr>
  </w:style>
  <w:style w:type="character" w:customStyle="1" w:styleId="HeaderChar">
    <w:name w:val="Header Char"/>
    <w:basedOn w:val="DefaultParagraphFont"/>
    <w:link w:val="Header"/>
    <w:rsid w:val="0051386C"/>
  </w:style>
  <w:style w:type="paragraph" w:styleId="Footer">
    <w:name w:val="footer"/>
    <w:basedOn w:val="Normal"/>
    <w:link w:val="FooterChar"/>
    <w:uiPriority w:val="99"/>
    <w:unhideWhenUsed/>
    <w:rsid w:val="0051386C"/>
    <w:pPr>
      <w:tabs>
        <w:tab w:val="center" w:pos="4680"/>
        <w:tab w:val="right" w:pos="9360"/>
      </w:tabs>
      <w:spacing w:after="0"/>
    </w:pPr>
  </w:style>
  <w:style w:type="character" w:customStyle="1" w:styleId="FooterChar">
    <w:name w:val="Footer Char"/>
    <w:basedOn w:val="DefaultParagraphFont"/>
    <w:link w:val="Footer"/>
    <w:uiPriority w:val="99"/>
    <w:rsid w:val="0051386C"/>
  </w:style>
  <w:style w:type="paragraph" w:styleId="BlockText">
    <w:name w:val="Block Text"/>
    <w:basedOn w:val="Normal"/>
    <w:rsid w:val="0027620E"/>
    <w:pPr>
      <w:spacing w:after="0"/>
      <w:ind w:left="2160" w:right="360"/>
      <w:jc w:val="both"/>
    </w:pPr>
    <w:rPr>
      <w:rFonts w:ascii="Arial" w:eastAsia="Times New Roman" w:hAnsi="Arial" w:cs="Times New Roman"/>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sv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sv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5</Pages>
  <Words>1623</Words>
  <Characters>9254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keywords/>
  <cp:lastModifiedBy>virtron bumal-o</cp:lastModifiedBy>
  <cp:revision>26</cp:revision>
  <dcterms:created xsi:type="dcterms:W3CDTF">2026-09-16T07:24:00Z</dcterms:created>
  <dcterms:modified xsi:type="dcterms:W3CDTF">2026-09-16T11:19:00Z</dcterms:modified>
</cp:coreProperties>
</file>