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EC7D2" w14:textId="5CE77B79" w:rsidR="00CC044F" w:rsidRDefault="00C779CF">
      <w:r>
        <w:rPr>
          <w:noProof/>
          <w:lang w:val="es-CL" w:eastAsia="es-CL"/>
        </w:rPr>
        <w:drawing>
          <wp:inline distT="0" distB="0" distL="0" distR="0" wp14:anchorId="3B4A3FE7" wp14:editId="5B541E25">
            <wp:extent cx="5400040" cy="4476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76115"/>
                    </a:xfrm>
                    <a:prstGeom prst="rect">
                      <a:avLst/>
                    </a:prstGeom>
                    <a:noFill/>
                    <a:ln>
                      <a:noFill/>
                    </a:ln>
                  </pic:spPr>
                </pic:pic>
              </a:graphicData>
            </a:graphic>
          </wp:inline>
        </w:drawing>
      </w:r>
    </w:p>
    <w:p w14:paraId="3778BEF4" w14:textId="63A0D22E" w:rsidR="00C779CF" w:rsidRDefault="00C779CF">
      <w:r>
        <w:rPr>
          <w:noProof/>
          <w:lang w:val="es-CL" w:eastAsia="es-CL"/>
        </w:rPr>
        <w:drawing>
          <wp:inline distT="0" distB="0" distL="0" distR="0" wp14:anchorId="622818C2" wp14:editId="185AE637">
            <wp:extent cx="5391150" cy="4219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219575"/>
                    </a:xfrm>
                    <a:prstGeom prst="rect">
                      <a:avLst/>
                    </a:prstGeom>
                    <a:noFill/>
                    <a:ln>
                      <a:noFill/>
                    </a:ln>
                  </pic:spPr>
                </pic:pic>
              </a:graphicData>
            </a:graphic>
          </wp:inline>
        </w:drawing>
      </w:r>
    </w:p>
    <w:p w14:paraId="2BAC2985" w14:textId="2347EE46" w:rsidR="00C779CF" w:rsidRDefault="00C779CF">
      <w:r>
        <w:rPr>
          <w:noProof/>
          <w:lang w:val="es-CL" w:eastAsia="es-CL"/>
        </w:rPr>
        <w:lastRenderedPageBreak/>
        <w:drawing>
          <wp:inline distT="0" distB="0" distL="0" distR="0" wp14:anchorId="6043A366" wp14:editId="40129EAC">
            <wp:extent cx="5391150" cy="4162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162425"/>
                    </a:xfrm>
                    <a:prstGeom prst="rect">
                      <a:avLst/>
                    </a:prstGeom>
                    <a:noFill/>
                    <a:ln>
                      <a:noFill/>
                    </a:ln>
                  </pic:spPr>
                </pic:pic>
              </a:graphicData>
            </a:graphic>
          </wp:inline>
        </w:drawing>
      </w:r>
    </w:p>
    <w:p w14:paraId="198CC1BC" w14:textId="693D1834" w:rsidR="00C779CF" w:rsidRDefault="00C779CF"/>
    <w:p w14:paraId="67D6814B" w14:textId="62936942" w:rsidR="00C779CF" w:rsidRDefault="00C779CF">
      <w:r>
        <w:rPr>
          <w:noProof/>
          <w:lang w:val="es-CL" w:eastAsia="es-CL"/>
        </w:rPr>
        <w:drawing>
          <wp:inline distT="0" distB="0" distL="0" distR="0" wp14:anchorId="611059CF" wp14:editId="4D7026F5">
            <wp:extent cx="5323219" cy="3371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520" cy="3385976"/>
                    </a:xfrm>
                    <a:prstGeom prst="rect">
                      <a:avLst/>
                    </a:prstGeom>
                    <a:noFill/>
                    <a:ln>
                      <a:noFill/>
                    </a:ln>
                  </pic:spPr>
                </pic:pic>
              </a:graphicData>
            </a:graphic>
          </wp:inline>
        </w:drawing>
      </w:r>
    </w:p>
    <w:p w14:paraId="4C39E42A" w14:textId="77C7B71E" w:rsidR="00C779CF" w:rsidRDefault="00C779CF"/>
    <w:p w14:paraId="43C8E08D" w14:textId="0C5B555F" w:rsidR="00C779CF" w:rsidRDefault="00C779CF"/>
    <w:p w14:paraId="26E6D051" w14:textId="7FD26CBE" w:rsidR="00C779CF" w:rsidRDefault="00C779CF"/>
    <w:p w14:paraId="46A2B381" w14:textId="675D5A9A" w:rsidR="00C779CF" w:rsidRDefault="00C779CF">
      <w:r>
        <w:rPr>
          <w:noProof/>
          <w:lang w:val="es-CL" w:eastAsia="es-CL"/>
        </w:rPr>
        <w:lastRenderedPageBreak/>
        <w:drawing>
          <wp:inline distT="0" distB="0" distL="0" distR="0" wp14:anchorId="136D0A26" wp14:editId="0E8013E8">
            <wp:extent cx="5560429" cy="431482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218" cy="4317765"/>
                    </a:xfrm>
                    <a:prstGeom prst="rect">
                      <a:avLst/>
                    </a:prstGeom>
                    <a:noFill/>
                    <a:ln>
                      <a:noFill/>
                    </a:ln>
                  </pic:spPr>
                </pic:pic>
              </a:graphicData>
            </a:graphic>
          </wp:inline>
        </w:drawing>
      </w:r>
    </w:p>
    <w:p w14:paraId="0369B79E" w14:textId="662AA3FD" w:rsidR="00C779CF" w:rsidRDefault="00C779CF"/>
    <w:p w14:paraId="0CE21D72" w14:textId="77777777" w:rsidR="00C779CF" w:rsidRDefault="00C779CF"/>
    <w:p w14:paraId="2A219A56" w14:textId="77777777" w:rsidR="00C779CF" w:rsidRDefault="00C779CF"/>
    <w:p w14:paraId="64383723" w14:textId="628873E3" w:rsidR="00C779CF" w:rsidRDefault="00C779CF">
      <w:r>
        <w:rPr>
          <w:noProof/>
          <w:lang w:val="es-CL" w:eastAsia="es-CL"/>
        </w:rPr>
        <w:drawing>
          <wp:inline distT="0" distB="0" distL="0" distR="0" wp14:anchorId="79378188" wp14:editId="48708734">
            <wp:extent cx="5555597" cy="23812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183" cy="2386216"/>
                    </a:xfrm>
                    <a:prstGeom prst="rect">
                      <a:avLst/>
                    </a:prstGeom>
                    <a:noFill/>
                    <a:ln>
                      <a:noFill/>
                    </a:ln>
                  </pic:spPr>
                </pic:pic>
              </a:graphicData>
            </a:graphic>
          </wp:inline>
        </w:drawing>
      </w:r>
    </w:p>
    <w:p w14:paraId="27D2A5AE" w14:textId="25B3DA39" w:rsidR="00C779CF" w:rsidRDefault="00C779CF"/>
    <w:p w14:paraId="7FC794BF" w14:textId="26A24DA3" w:rsidR="00C779CF" w:rsidRDefault="00C779CF"/>
    <w:p w14:paraId="3B892F92" w14:textId="18F2C736" w:rsidR="00C779CF" w:rsidRDefault="00C779CF"/>
    <w:p w14:paraId="34D12DEC" w14:textId="57DB7F44" w:rsidR="00C779CF" w:rsidRDefault="00C779CF"/>
    <w:p w14:paraId="1AAE26F3" w14:textId="6ACE3E82" w:rsidR="00C779CF" w:rsidRDefault="00C779CF">
      <w:r>
        <w:rPr>
          <w:noProof/>
          <w:lang w:val="es-CL" w:eastAsia="es-CL"/>
        </w:rPr>
        <w:lastRenderedPageBreak/>
        <w:drawing>
          <wp:inline distT="0" distB="0" distL="0" distR="0" wp14:anchorId="124F4A6D" wp14:editId="3F7AF322">
            <wp:extent cx="5067300" cy="359893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116" cy="3608037"/>
                    </a:xfrm>
                    <a:prstGeom prst="rect">
                      <a:avLst/>
                    </a:prstGeom>
                    <a:noFill/>
                    <a:ln>
                      <a:noFill/>
                    </a:ln>
                  </pic:spPr>
                </pic:pic>
              </a:graphicData>
            </a:graphic>
          </wp:inline>
        </w:drawing>
      </w:r>
    </w:p>
    <w:p w14:paraId="0540F54B" w14:textId="183DC1EE" w:rsidR="00C779CF" w:rsidRDefault="00C779CF"/>
    <w:p w14:paraId="52B04F8A" w14:textId="77777777" w:rsidR="00C779CF" w:rsidRPr="00C779CF" w:rsidRDefault="00C779CF" w:rsidP="00C779CF">
      <w:pPr>
        <w:shd w:val="clear" w:color="auto" w:fill="3B5F7B"/>
        <w:spacing w:before="280" w:after="80" w:line="240" w:lineRule="auto"/>
        <w:jc w:val="both"/>
        <w:outlineLvl w:val="2"/>
        <w:rPr>
          <w:rFonts w:eastAsia="Times New Roman" w:cstheme="minorHAnsi"/>
          <w:b/>
          <w:bCs/>
          <w:color w:val="FFFFFF" w:themeColor="background1"/>
          <w:sz w:val="36"/>
          <w:szCs w:val="36"/>
          <w:lang w:eastAsia="es-ES"/>
        </w:rPr>
      </w:pPr>
      <w:r w:rsidRPr="00C779CF">
        <w:rPr>
          <w:rFonts w:eastAsia="Times New Roman" w:cstheme="minorHAnsi"/>
          <w:b/>
          <w:bCs/>
          <w:color w:val="FFFFFF" w:themeColor="background1"/>
          <w:sz w:val="36"/>
          <w:szCs w:val="36"/>
          <w:lang w:eastAsia="es-ES"/>
        </w:rPr>
        <w:t>¿Qué es un NIC (Network Information Center)?</w:t>
      </w:r>
    </w:p>
    <w:p w14:paraId="39254676" w14:textId="660D00F8" w:rsidR="00C779CF" w:rsidRPr="00C779CF" w:rsidRDefault="00C779CF" w:rsidP="00C779CF">
      <w:pPr>
        <w:shd w:val="clear" w:color="auto" w:fill="3B5F7B"/>
        <w:spacing w:after="0" w:line="240" w:lineRule="auto"/>
        <w:jc w:val="both"/>
        <w:rPr>
          <w:rFonts w:eastAsia="Times New Roman" w:cstheme="minorHAnsi"/>
          <w:color w:val="FFFFFF" w:themeColor="background1"/>
          <w:sz w:val="36"/>
          <w:szCs w:val="36"/>
          <w:lang w:eastAsia="es-ES"/>
        </w:rPr>
      </w:pPr>
      <w:r w:rsidRPr="00C779CF">
        <w:rPr>
          <w:rFonts w:eastAsia="Times New Roman" w:cstheme="minorHAnsi"/>
          <w:color w:val="FFFFFF" w:themeColor="background1"/>
          <w:sz w:val="36"/>
          <w:szCs w:val="36"/>
          <w:lang w:eastAsia="es-ES"/>
        </w:rPr>
        <w:t>NIC (acrónimo de Network Information Center o Centro de Información sobre la Red) es una institución encargada de asignar los nombres de dominio en Internet ya sean nombres de dominio genéricos o por países, permitiendo personas o empresas, montar sitios de Internet a través de un ISP, mediante un DNS. Técnicamente existe un NIC por cada país en el mundo y cada uno de éstos es responsable por todos los dominios con la terminación correspondiente a su país. Por ejemplo:</w:t>
      </w:r>
      <w:hyperlink r:id="rId12" w:history="1">
        <w:r w:rsidRPr="00C779CF">
          <w:rPr>
            <w:rFonts w:eastAsia="Times New Roman" w:cstheme="minorHAnsi"/>
            <w:color w:val="FFFFFF" w:themeColor="background1"/>
            <w:sz w:val="36"/>
            <w:szCs w:val="36"/>
            <w:lang w:eastAsia="es-ES"/>
          </w:rPr>
          <w:t xml:space="preserve"> NIC</w:t>
        </w:r>
      </w:hyperlink>
      <w:r w:rsidRPr="00C779CF">
        <w:rPr>
          <w:rFonts w:eastAsia="Times New Roman" w:cstheme="minorHAnsi"/>
          <w:color w:val="FFFFFF" w:themeColor="background1"/>
          <w:sz w:val="36"/>
          <w:szCs w:val="36"/>
          <w:lang w:eastAsia="es-ES"/>
        </w:rPr>
        <w:t xml:space="preserve"> Chile es la entidad encargada de gestionar todos los dominios con terminación .</w:t>
      </w:r>
      <w:r>
        <w:rPr>
          <w:rFonts w:eastAsia="Times New Roman" w:cstheme="minorHAnsi"/>
          <w:color w:val="FFFFFF" w:themeColor="background1"/>
          <w:sz w:val="36"/>
          <w:szCs w:val="36"/>
          <w:lang w:eastAsia="es-ES"/>
        </w:rPr>
        <w:t>cl</w:t>
      </w:r>
      <w:r w:rsidRPr="00C779CF">
        <w:rPr>
          <w:rFonts w:eastAsia="Times New Roman" w:cstheme="minorHAnsi"/>
          <w:color w:val="FFFFFF" w:themeColor="background1"/>
          <w:sz w:val="36"/>
          <w:szCs w:val="36"/>
          <w:lang w:eastAsia="es-ES"/>
        </w:rPr>
        <w:t>, la cual es la terminación correspondiente asignada a los dominios de</w:t>
      </w:r>
      <w:r>
        <w:rPr>
          <w:rFonts w:eastAsia="Times New Roman" w:cstheme="minorHAnsi"/>
          <w:color w:val="FFFFFF" w:themeColor="background1"/>
          <w:sz w:val="36"/>
          <w:szCs w:val="36"/>
          <w:lang w:eastAsia="es-ES"/>
        </w:rPr>
        <w:t xml:space="preserve"> Chile</w:t>
      </w:r>
      <w:r w:rsidRPr="00C779CF">
        <w:rPr>
          <w:rFonts w:eastAsia="Times New Roman" w:cstheme="minorHAnsi"/>
          <w:color w:val="FFFFFF" w:themeColor="background1"/>
          <w:sz w:val="36"/>
          <w:szCs w:val="36"/>
          <w:lang w:eastAsia="es-ES"/>
        </w:rPr>
        <w:t>.</w:t>
      </w:r>
    </w:p>
    <w:p w14:paraId="1445905F" w14:textId="1BEB1DB6" w:rsidR="00C779CF" w:rsidRDefault="00C779CF"/>
    <w:p w14:paraId="25DF8D03" w14:textId="0C3160EB" w:rsidR="00C779CF" w:rsidRDefault="00C779CF"/>
    <w:p w14:paraId="5D5FCD05" w14:textId="3F4914C1" w:rsidR="00C779CF" w:rsidRDefault="00C779CF"/>
    <w:p w14:paraId="71AE0514" w14:textId="3C05CFB8" w:rsidR="00C779CF" w:rsidRDefault="00C779CF"/>
    <w:p w14:paraId="45FE9EA2" w14:textId="178DD915" w:rsidR="00C779CF" w:rsidRDefault="00C779CF">
      <w:r>
        <w:rPr>
          <w:noProof/>
          <w:lang w:val="es-CL" w:eastAsia="es-CL"/>
        </w:rPr>
        <w:lastRenderedPageBreak/>
        <w:drawing>
          <wp:inline distT="0" distB="0" distL="0" distR="0" wp14:anchorId="26FA29ED" wp14:editId="466DD631">
            <wp:extent cx="5391150" cy="4133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133850"/>
                    </a:xfrm>
                    <a:prstGeom prst="rect">
                      <a:avLst/>
                    </a:prstGeom>
                    <a:noFill/>
                    <a:ln>
                      <a:noFill/>
                    </a:ln>
                  </pic:spPr>
                </pic:pic>
              </a:graphicData>
            </a:graphic>
          </wp:inline>
        </w:drawing>
      </w:r>
    </w:p>
    <w:p w14:paraId="37CDAA22" w14:textId="77777777" w:rsidR="00725095" w:rsidRDefault="00725095"/>
    <w:p w14:paraId="1B18409A" w14:textId="314F2F4B" w:rsidR="00C779CF" w:rsidRDefault="00C779CF" w:rsidP="00C779CF">
      <w:pPr>
        <w:jc w:val="center"/>
      </w:pPr>
      <w:r>
        <w:rPr>
          <w:noProof/>
          <w:lang w:val="es-CL" w:eastAsia="es-CL"/>
        </w:rPr>
        <w:drawing>
          <wp:inline distT="0" distB="0" distL="0" distR="0" wp14:anchorId="5EF53CB5" wp14:editId="549899EC">
            <wp:extent cx="3400425" cy="42910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4441" cy="4308699"/>
                    </a:xfrm>
                    <a:prstGeom prst="rect">
                      <a:avLst/>
                    </a:prstGeom>
                    <a:noFill/>
                    <a:ln>
                      <a:noFill/>
                    </a:ln>
                  </pic:spPr>
                </pic:pic>
              </a:graphicData>
            </a:graphic>
          </wp:inline>
        </w:drawing>
      </w:r>
    </w:p>
    <w:p w14:paraId="091DD48B" w14:textId="77777777" w:rsidR="00725095" w:rsidRPr="00647F18" w:rsidRDefault="00725095" w:rsidP="00725095">
      <w:pPr>
        <w:pStyle w:val="Ttulo3"/>
        <w:rPr>
          <w:rFonts w:asciiTheme="minorHAnsi" w:hAnsiTheme="minorHAnsi" w:cstheme="minorHAnsi"/>
          <w:sz w:val="24"/>
          <w:szCs w:val="24"/>
        </w:rPr>
      </w:pPr>
      <w:r w:rsidRPr="00647F18">
        <w:rPr>
          <w:rFonts w:asciiTheme="minorHAnsi" w:hAnsiTheme="minorHAnsi" w:cstheme="minorHAnsi"/>
          <w:sz w:val="24"/>
          <w:szCs w:val="24"/>
        </w:rPr>
        <w:lastRenderedPageBreak/>
        <w:t>Controversias por nombres de dominio .CL</w:t>
      </w:r>
    </w:p>
    <w:p w14:paraId="586F96D6" w14:textId="77777777" w:rsidR="00725095" w:rsidRPr="00647F18" w:rsidRDefault="00725095" w:rsidP="00725095">
      <w:pPr>
        <w:pStyle w:val="NormalWeb"/>
        <w:spacing w:line="240" w:lineRule="atLeast"/>
        <w:jc w:val="both"/>
        <w:rPr>
          <w:rFonts w:asciiTheme="minorHAnsi" w:hAnsiTheme="minorHAnsi" w:cstheme="minorHAnsi"/>
        </w:rPr>
      </w:pPr>
      <w:r w:rsidRPr="00647F18">
        <w:rPr>
          <w:rFonts w:asciiTheme="minorHAnsi" w:hAnsiTheme="minorHAnsi" w:cstheme="minorHAnsi"/>
        </w:rPr>
        <w:t>Las controversias por nombres de dominio ocurren cuando un tercero (persona o empresa) estima que la inscripción de un nombre afecta sus derechos. Por ejemplo, cuando argumenta que el dominio inscrito es idéntico o parecido a una marca comercial, al nombre de una persona o proyecto, etc.</w:t>
      </w:r>
    </w:p>
    <w:p w14:paraId="4BFA6E60" w14:textId="065EA3FE" w:rsidR="00725095" w:rsidRPr="00647F18" w:rsidRDefault="00725095" w:rsidP="00725095">
      <w:pPr>
        <w:pStyle w:val="NormalWeb"/>
        <w:spacing w:line="240" w:lineRule="atLeast"/>
        <w:jc w:val="both"/>
        <w:rPr>
          <w:rFonts w:asciiTheme="minorHAnsi" w:hAnsiTheme="minorHAnsi" w:cstheme="minorHAnsi"/>
        </w:rPr>
      </w:pPr>
      <w:r w:rsidRPr="00647F18">
        <w:rPr>
          <w:rFonts w:asciiTheme="minorHAnsi" w:hAnsiTheme="minorHAnsi" w:cstheme="minorHAnsi"/>
        </w:rPr>
        <w:t>Ante esta situación, la persona que se estima afectada puede iniciar en NIC Chile un trámite denominado “</w:t>
      </w:r>
      <w:r w:rsidRPr="00647F18">
        <w:rPr>
          <w:rFonts w:asciiTheme="minorHAnsi" w:hAnsiTheme="minorHAnsi" w:cstheme="minorHAnsi"/>
          <w:b/>
          <w:bCs/>
        </w:rPr>
        <w:t>procedimiento de revocación</w:t>
      </w:r>
      <w:r w:rsidRPr="00647F18">
        <w:rPr>
          <w:rFonts w:asciiTheme="minorHAnsi" w:hAnsiTheme="minorHAnsi" w:cstheme="minorHAnsi"/>
        </w:rPr>
        <w:t>”, por el cual, luego de proveer datos de identificación y realizar el pago de la tarifa respectiva, podrá discutir con el titular del nombre su derecho a la inscripción.</w:t>
      </w:r>
    </w:p>
    <w:p w14:paraId="0E2C01AB" w14:textId="77777777" w:rsidR="00725095" w:rsidRPr="00725095" w:rsidRDefault="00725095" w:rsidP="00725095">
      <w:pPr>
        <w:spacing w:after="0" w:line="240" w:lineRule="auto"/>
        <w:rPr>
          <w:rFonts w:eastAsia="Times New Roman" w:cstheme="minorHAnsi"/>
          <w:sz w:val="24"/>
          <w:szCs w:val="24"/>
          <w:lang w:eastAsia="es-ES"/>
        </w:rPr>
      </w:pPr>
      <w:r w:rsidRPr="00725095">
        <w:rPr>
          <w:rFonts w:eastAsia="Times New Roman" w:cstheme="minorHAnsi"/>
          <w:sz w:val="24"/>
          <w:szCs w:val="24"/>
          <w:lang w:eastAsia="es-ES"/>
        </w:rPr>
        <w:t>Comité de Evaluación de Árbitros</w:t>
      </w:r>
    </w:p>
    <w:p w14:paraId="4948A881" w14:textId="77777777" w:rsidR="00725095" w:rsidRPr="00725095" w:rsidRDefault="00725095" w:rsidP="00725095">
      <w:pPr>
        <w:spacing w:before="100" w:beforeAutospacing="1" w:after="100" w:afterAutospacing="1" w:line="240" w:lineRule="atLeast"/>
        <w:jc w:val="both"/>
        <w:rPr>
          <w:rFonts w:eastAsia="Times New Roman" w:cstheme="minorHAnsi"/>
          <w:sz w:val="24"/>
          <w:szCs w:val="24"/>
          <w:lang w:eastAsia="es-ES"/>
        </w:rPr>
      </w:pPr>
      <w:r w:rsidRPr="00725095">
        <w:rPr>
          <w:rFonts w:eastAsia="Times New Roman" w:cstheme="minorHAnsi"/>
          <w:sz w:val="24"/>
          <w:szCs w:val="24"/>
          <w:lang w:eastAsia="es-ES"/>
        </w:rPr>
        <w:t>Con el propósito de desarrollar un mecanismo destinado a resguardar la independencia e imparcialidad del árbitro nombrado para resolver la controversia, la Política de Resolución de Controversias establece un Comité de Evaluación de Árbitros cuya función principal será la de conocer las cuestiones de inhabilidad que sean promovidas por las partes en los procedimientos arbitrales.</w:t>
      </w:r>
    </w:p>
    <w:p w14:paraId="03753D3A" w14:textId="77777777" w:rsidR="00725095" w:rsidRPr="00725095" w:rsidRDefault="00725095" w:rsidP="00725095">
      <w:pPr>
        <w:spacing w:before="100" w:beforeAutospacing="1" w:after="100" w:afterAutospacing="1" w:line="240" w:lineRule="atLeast"/>
        <w:jc w:val="both"/>
        <w:rPr>
          <w:rFonts w:eastAsia="Times New Roman" w:cstheme="minorHAnsi"/>
          <w:sz w:val="24"/>
          <w:szCs w:val="24"/>
          <w:lang w:eastAsia="es-ES"/>
        </w:rPr>
      </w:pPr>
      <w:r w:rsidRPr="00725095">
        <w:rPr>
          <w:rFonts w:eastAsia="Times New Roman" w:cstheme="minorHAnsi"/>
          <w:sz w:val="24"/>
          <w:szCs w:val="24"/>
          <w:lang w:eastAsia="es-ES"/>
        </w:rPr>
        <w:t>A su vez, el Comité estará encargado de elaborar un código de buenas prácticas para el arbitraje sobre nombres de dominio .CL y una metodología de evaluación de desempeño de los árbitros, entre otras funciones.</w:t>
      </w:r>
    </w:p>
    <w:p w14:paraId="1E93E5C0" w14:textId="77777777" w:rsidR="00725095" w:rsidRPr="00725095" w:rsidRDefault="00725095" w:rsidP="00725095">
      <w:pPr>
        <w:spacing w:after="0" w:line="240" w:lineRule="auto"/>
        <w:rPr>
          <w:rFonts w:eastAsia="Times New Roman" w:cstheme="minorHAnsi"/>
          <w:sz w:val="24"/>
          <w:szCs w:val="24"/>
          <w:lang w:eastAsia="es-ES"/>
        </w:rPr>
      </w:pPr>
      <w:r w:rsidRPr="00725095">
        <w:rPr>
          <w:rFonts w:eastAsia="Times New Roman" w:cstheme="minorHAnsi"/>
          <w:sz w:val="24"/>
          <w:szCs w:val="24"/>
          <w:lang w:eastAsia="es-ES"/>
        </w:rPr>
        <w:t>Tabla de Honorarios Arbitrales</w:t>
      </w:r>
    </w:p>
    <w:p w14:paraId="2AE1C414" w14:textId="77777777" w:rsidR="00725095" w:rsidRPr="00725095" w:rsidRDefault="00725095" w:rsidP="00725095">
      <w:pPr>
        <w:spacing w:before="100" w:beforeAutospacing="1" w:after="100" w:afterAutospacing="1" w:line="240" w:lineRule="atLeast"/>
        <w:jc w:val="both"/>
        <w:rPr>
          <w:rFonts w:eastAsia="Times New Roman" w:cstheme="minorHAnsi"/>
          <w:color w:val="000000"/>
          <w:lang w:eastAsia="es-ES"/>
        </w:rPr>
      </w:pPr>
      <w:r w:rsidRPr="00725095">
        <w:rPr>
          <w:rFonts w:eastAsia="Times New Roman" w:cstheme="minorHAnsi"/>
          <w:sz w:val="24"/>
          <w:szCs w:val="24"/>
          <w:lang w:eastAsia="es-ES"/>
        </w:rPr>
        <w:t>Los árbitros serán remunerados por sus servicios de acuerdo a la siguiente Tabla de Honorarios</w:t>
      </w:r>
      <w:r w:rsidRPr="00725095">
        <w:rPr>
          <w:rFonts w:eastAsia="Times New Roman" w:cstheme="minorHAnsi"/>
          <w:color w:val="000000"/>
          <w:lang w:eastAsia="es-ES"/>
        </w:rPr>
        <w:t>:</w:t>
      </w:r>
    </w:p>
    <w:tbl>
      <w:tblPr>
        <w:tblW w:w="7860" w:type="dxa"/>
        <w:tblCellSpacing w:w="3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233"/>
        <w:gridCol w:w="2810"/>
        <w:gridCol w:w="2817"/>
      </w:tblGrid>
      <w:tr w:rsidR="00725095" w:rsidRPr="00725095" w14:paraId="6B51F383" w14:textId="77777777" w:rsidTr="00725095">
        <w:trPr>
          <w:tblCellSpacing w:w="30" w:type="dxa"/>
        </w:trPr>
        <w:tc>
          <w:tcPr>
            <w:tcW w:w="0" w:type="auto"/>
            <w:tcBorders>
              <w:top w:val="outset" w:sz="6" w:space="0" w:color="auto"/>
              <w:left w:val="outset" w:sz="6" w:space="0" w:color="auto"/>
              <w:bottom w:val="outset" w:sz="6" w:space="0" w:color="auto"/>
              <w:right w:val="outset" w:sz="6" w:space="0" w:color="auto"/>
            </w:tcBorders>
            <w:shd w:val="clear" w:color="auto" w:fill="BBBBFF"/>
            <w:hideMark/>
          </w:tcPr>
          <w:p w14:paraId="322C03A1"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b/>
                <w:bCs/>
                <w:color w:val="000000"/>
                <w:lang w:eastAsia="es-ES"/>
              </w:rPr>
              <w:t>Dominios en Conflicto</w:t>
            </w:r>
          </w:p>
        </w:tc>
        <w:tc>
          <w:tcPr>
            <w:tcW w:w="0" w:type="auto"/>
            <w:tcBorders>
              <w:top w:val="outset" w:sz="6" w:space="0" w:color="auto"/>
              <w:left w:val="outset" w:sz="6" w:space="0" w:color="auto"/>
              <w:bottom w:val="outset" w:sz="6" w:space="0" w:color="auto"/>
              <w:right w:val="outset" w:sz="6" w:space="0" w:color="auto"/>
            </w:tcBorders>
            <w:shd w:val="clear" w:color="auto" w:fill="BBBBFF"/>
            <w:hideMark/>
          </w:tcPr>
          <w:p w14:paraId="5D93F6D7"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b/>
                <w:bCs/>
                <w:color w:val="000000"/>
                <w:lang w:eastAsia="es-ES"/>
              </w:rPr>
              <w:t>Monto Honorarios bruto USD</w:t>
            </w:r>
          </w:p>
        </w:tc>
        <w:tc>
          <w:tcPr>
            <w:tcW w:w="0" w:type="auto"/>
            <w:tcBorders>
              <w:top w:val="outset" w:sz="6" w:space="0" w:color="auto"/>
              <w:left w:val="outset" w:sz="6" w:space="0" w:color="auto"/>
              <w:bottom w:val="outset" w:sz="6" w:space="0" w:color="auto"/>
              <w:right w:val="outset" w:sz="6" w:space="0" w:color="auto"/>
            </w:tcBorders>
            <w:shd w:val="clear" w:color="auto" w:fill="BBBBFF"/>
            <w:hideMark/>
          </w:tcPr>
          <w:p w14:paraId="107172E8"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b/>
                <w:bCs/>
                <w:color w:val="000000"/>
                <w:lang w:eastAsia="es-ES"/>
              </w:rPr>
              <w:t>Monto Honorarios bruto CLP</w:t>
            </w:r>
            <w:r w:rsidRPr="00725095">
              <w:rPr>
                <w:rFonts w:eastAsia="Times New Roman" w:cstheme="minorHAnsi"/>
                <w:b/>
                <w:bCs/>
                <w:color w:val="000000"/>
                <w:lang w:eastAsia="es-ES"/>
              </w:rPr>
              <w:br/>
              <w:t>(valores de referencia)(</w:t>
            </w:r>
            <w:hyperlink r:id="rId15" w:anchor="ref" w:history="1">
              <w:r w:rsidRPr="00725095">
                <w:rPr>
                  <w:rFonts w:eastAsia="Times New Roman" w:cstheme="minorHAnsi"/>
                  <w:b/>
                  <w:bCs/>
                  <w:color w:val="0000FF"/>
                  <w:u w:val="single"/>
                  <w:lang w:eastAsia="es-ES"/>
                </w:rPr>
                <w:t>1</w:t>
              </w:r>
            </w:hyperlink>
            <w:r w:rsidRPr="00725095">
              <w:rPr>
                <w:rFonts w:eastAsia="Times New Roman" w:cstheme="minorHAnsi"/>
                <w:b/>
                <w:bCs/>
                <w:color w:val="000000"/>
                <w:lang w:eastAsia="es-ES"/>
              </w:rPr>
              <w:t>)</w:t>
            </w:r>
          </w:p>
        </w:tc>
      </w:tr>
      <w:tr w:rsidR="00725095" w:rsidRPr="00725095" w14:paraId="0A70786D" w14:textId="77777777" w:rsidTr="00725095">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41F7E280"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1 dominio</w:t>
            </w:r>
          </w:p>
        </w:tc>
        <w:tc>
          <w:tcPr>
            <w:tcW w:w="0" w:type="auto"/>
            <w:tcBorders>
              <w:top w:val="outset" w:sz="6" w:space="0" w:color="auto"/>
              <w:left w:val="outset" w:sz="6" w:space="0" w:color="auto"/>
              <w:bottom w:val="outset" w:sz="6" w:space="0" w:color="auto"/>
              <w:right w:val="outset" w:sz="6" w:space="0" w:color="auto"/>
            </w:tcBorders>
            <w:hideMark/>
          </w:tcPr>
          <w:p w14:paraId="5DB9105B"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US$ 1.000</w:t>
            </w:r>
          </w:p>
        </w:tc>
        <w:tc>
          <w:tcPr>
            <w:tcW w:w="0" w:type="auto"/>
            <w:tcBorders>
              <w:top w:val="outset" w:sz="6" w:space="0" w:color="auto"/>
              <w:left w:val="outset" w:sz="6" w:space="0" w:color="auto"/>
              <w:bottom w:val="outset" w:sz="6" w:space="0" w:color="auto"/>
              <w:right w:val="outset" w:sz="6" w:space="0" w:color="auto"/>
            </w:tcBorders>
            <w:hideMark/>
          </w:tcPr>
          <w:p w14:paraId="1FB55451"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$ 816.360</w:t>
            </w:r>
          </w:p>
        </w:tc>
      </w:tr>
      <w:tr w:rsidR="00725095" w:rsidRPr="00725095" w14:paraId="068CEDAD" w14:textId="77777777" w:rsidTr="00725095">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17C8AEA3"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2 a 5 dominios</w:t>
            </w:r>
          </w:p>
        </w:tc>
        <w:tc>
          <w:tcPr>
            <w:tcW w:w="0" w:type="auto"/>
            <w:tcBorders>
              <w:top w:val="outset" w:sz="6" w:space="0" w:color="auto"/>
              <w:left w:val="outset" w:sz="6" w:space="0" w:color="auto"/>
              <w:bottom w:val="outset" w:sz="6" w:space="0" w:color="auto"/>
              <w:right w:val="outset" w:sz="6" w:space="0" w:color="auto"/>
            </w:tcBorders>
            <w:hideMark/>
          </w:tcPr>
          <w:p w14:paraId="08E0702B"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US$ 1.500</w:t>
            </w:r>
          </w:p>
        </w:tc>
        <w:tc>
          <w:tcPr>
            <w:tcW w:w="0" w:type="auto"/>
            <w:tcBorders>
              <w:top w:val="outset" w:sz="6" w:space="0" w:color="auto"/>
              <w:left w:val="outset" w:sz="6" w:space="0" w:color="auto"/>
              <w:bottom w:val="outset" w:sz="6" w:space="0" w:color="auto"/>
              <w:right w:val="outset" w:sz="6" w:space="0" w:color="auto"/>
            </w:tcBorders>
            <w:hideMark/>
          </w:tcPr>
          <w:p w14:paraId="253BEA01"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$ 1.224.540</w:t>
            </w:r>
          </w:p>
        </w:tc>
      </w:tr>
      <w:tr w:rsidR="00725095" w:rsidRPr="00725095" w14:paraId="5DAF840B" w14:textId="77777777" w:rsidTr="00725095">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6786B9FF"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6 o más dominios</w:t>
            </w:r>
          </w:p>
        </w:tc>
        <w:tc>
          <w:tcPr>
            <w:tcW w:w="0" w:type="auto"/>
            <w:tcBorders>
              <w:top w:val="outset" w:sz="6" w:space="0" w:color="auto"/>
              <w:left w:val="outset" w:sz="6" w:space="0" w:color="auto"/>
              <w:bottom w:val="outset" w:sz="6" w:space="0" w:color="auto"/>
              <w:right w:val="outset" w:sz="6" w:space="0" w:color="auto"/>
            </w:tcBorders>
            <w:hideMark/>
          </w:tcPr>
          <w:p w14:paraId="369A55A9"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US$ 2.000</w:t>
            </w:r>
          </w:p>
        </w:tc>
        <w:tc>
          <w:tcPr>
            <w:tcW w:w="0" w:type="auto"/>
            <w:tcBorders>
              <w:top w:val="outset" w:sz="6" w:space="0" w:color="auto"/>
              <w:left w:val="outset" w:sz="6" w:space="0" w:color="auto"/>
              <w:bottom w:val="outset" w:sz="6" w:space="0" w:color="auto"/>
              <w:right w:val="outset" w:sz="6" w:space="0" w:color="auto"/>
            </w:tcBorders>
            <w:hideMark/>
          </w:tcPr>
          <w:p w14:paraId="59D50F0E" w14:textId="77777777" w:rsidR="00725095" w:rsidRPr="00725095" w:rsidRDefault="00725095" w:rsidP="00725095">
            <w:pPr>
              <w:spacing w:after="0" w:line="240" w:lineRule="auto"/>
              <w:rPr>
                <w:rFonts w:eastAsia="Times New Roman" w:cstheme="minorHAnsi"/>
                <w:color w:val="000000"/>
                <w:lang w:eastAsia="es-ES"/>
              </w:rPr>
            </w:pPr>
            <w:r w:rsidRPr="00725095">
              <w:rPr>
                <w:rFonts w:eastAsia="Times New Roman" w:cstheme="minorHAnsi"/>
                <w:color w:val="000000"/>
                <w:lang w:eastAsia="es-ES"/>
              </w:rPr>
              <w:t>$ 1.632.720</w:t>
            </w:r>
          </w:p>
        </w:tc>
      </w:tr>
    </w:tbl>
    <w:p w14:paraId="316992C8" w14:textId="77777777" w:rsidR="00725095" w:rsidRPr="00725095" w:rsidRDefault="00725095" w:rsidP="00725095">
      <w:pPr>
        <w:spacing w:before="100" w:beforeAutospacing="1" w:after="100" w:afterAutospacing="1" w:line="240" w:lineRule="atLeast"/>
        <w:jc w:val="both"/>
        <w:rPr>
          <w:rFonts w:eastAsia="Times New Roman" w:cstheme="minorHAnsi"/>
          <w:color w:val="000000"/>
          <w:sz w:val="24"/>
          <w:szCs w:val="24"/>
          <w:lang w:eastAsia="es-ES"/>
        </w:rPr>
      </w:pPr>
      <w:r w:rsidRPr="00725095">
        <w:rPr>
          <w:rFonts w:eastAsia="Times New Roman" w:cstheme="minorHAnsi"/>
          <w:color w:val="000000"/>
          <w:sz w:val="24"/>
          <w:szCs w:val="24"/>
          <w:lang w:eastAsia="es-ES"/>
        </w:rPr>
        <w:t>El pago del honorario por el arbitraje debe ser cubierto por quien solicita la revocación. El titular del dominio está exento de pagar. Los valores de la tabla se aplicarán para cada revocante, en caso de existir más de una solicitud de revocación.</w:t>
      </w:r>
    </w:p>
    <w:p w14:paraId="3A30D501" w14:textId="77777777" w:rsidR="00725095" w:rsidRPr="00725095" w:rsidRDefault="00725095" w:rsidP="00725095">
      <w:pPr>
        <w:spacing w:before="100" w:beforeAutospacing="1" w:after="100" w:afterAutospacing="1" w:line="240" w:lineRule="atLeast"/>
        <w:jc w:val="both"/>
        <w:rPr>
          <w:rFonts w:eastAsia="Times New Roman" w:cstheme="minorHAnsi"/>
          <w:color w:val="000000"/>
          <w:sz w:val="24"/>
          <w:szCs w:val="24"/>
          <w:lang w:eastAsia="es-ES"/>
        </w:rPr>
      </w:pPr>
      <w:bookmarkStart w:id="0" w:name="ref"/>
      <w:r w:rsidRPr="00725095">
        <w:rPr>
          <w:rFonts w:eastAsia="Times New Roman" w:cstheme="minorHAnsi"/>
          <w:color w:val="000000"/>
          <w:sz w:val="24"/>
          <w:szCs w:val="24"/>
          <w:lang w:eastAsia="es-ES"/>
        </w:rPr>
        <w:t>(1): </w:t>
      </w:r>
      <w:bookmarkEnd w:id="0"/>
      <w:r w:rsidRPr="00725095">
        <w:rPr>
          <w:rFonts w:eastAsia="Times New Roman" w:cstheme="minorHAnsi"/>
          <w:color w:val="000000"/>
          <w:sz w:val="24"/>
          <w:szCs w:val="24"/>
          <w:lang w:eastAsia="es-ES"/>
        </w:rPr>
        <w:t>El monto de honorarios en pesos chilenos (CLP) se calculará cada mes en base al valor del dólar observado del último día hábil del mes anterior a la fecha de inicio de la etapa de consignación de los honorarios arbitrales.</w:t>
      </w:r>
    </w:p>
    <w:p w14:paraId="77C5E94A" w14:textId="0BD60BF8" w:rsidR="00725095" w:rsidRPr="00647F18" w:rsidRDefault="00912CAF" w:rsidP="00647F18">
      <w:pPr>
        <w:pStyle w:val="NormalWeb"/>
        <w:spacing w:line="240" w:lineRule="atLeast"/>
        <w:jc w:val="center"/>
        <w:rPr>
          <w:rFonts w:asciiTheme="minorHAnsi" w:hAnsiTheme="minorHAnsi" w:cstheme="minorHAnsi"/>
          <w:b/>
          <w:bCs/>
          <w:color w:val="000000"/>
          <w:u w:val="single"/>
        </w:rPr>
      </w:pPr>
      <w:r>
        <w:rPr>
          <w:rFonts w:asciiTheme="minorHAnsi" w:hAnsiTheme="minorHAnsi" w:cstheme="minorHAnsi"/>
          <w:b/>
          <w:bCs/>
          <w:color w:val="000000"/>
          <w:u w:val="single"/>
        </w:rPr>
        <w:lastRenderedPageBreak/>
        <w:t>Desafío….</w:t>
      </w:r>
      <w:r w:rsidR="00647F18" w:rsidRPr="00647F18">
        <w:rPr>
          <w:rFonts w:asciiTheme="minorHAnsi" w:hAnsiTheme="minorHAnsi" w:cstheme="minorHAnsi"/>
          <w:b/>
          <w:bCs/>
          <w:color w:val="000000"/>
          <w:u w:val="single"/>
        </w:rPr>
        <w:t>Implementación de DNS usando PacketTracer</w:t>
      </w:r>
    </w:p>
    <w:p w14:paraId="05A3575E" w14:textId="67AC1CA0" w:rsidR="00647F18" w:rsidRDefault="00647F18" w:rsidP="00725095">
      <w:pPr>
        <w:pStyle w:val="NormalWeb"/>
        <w:spacing w:line="240" w:lineRule="atLeast"/>
        <w:jc w:val="both"/>
        <w:rPr>
          <w:rFonts w:asciiTheme="minorHAnsi" w:hAnsiTheme="minorHAnsi" w:cstheme="minorHAnsi"/>
          <w:color w:val="000000"/>
        </w:rPr>
      </w:pPr>
      <w:r>
        <w:rPr>
          <w:rFonts w:asciiTheme="minorHAnsi" w:hAnsiTheme="minorHAnsi" w:cstheme="minorHAnsi"/>
          <w:color w:val="000000"/>
        </w:rPr>
        <w:t>El dominio ufro.cl y reuna.cl es resuelto o tiene la autoridad el servidor ubicado en Reuna. Sin embargo, el Servidor del dominio raíz .cl para Chile es el 200.200.205.100. Por tanto, todos los subdominios que se encuentren dentro de cl deben estar registrados en el servidor Raíz.</w:t>
      </w:r>
    </w:p>
    <w:p w14:paraId="50D323C7" w14:textId="2D95E3C4" w:rsidR="00647F18" w:rsidRDefault="00647F18" w:rsidP="00725095">
      <w:pPr>
        <w:pStyle w:val="NormalWeb"/>
        <w:spacing w:line="240" w:lineRule="atLeast"/>
        <w:jc w:val="both"/>
        <w:rPr>
          <w:rFonts w:asciiTheme="minorHAnsi" w:hAnsiTheme="minorHAnsi" w:cstheme="minorHAnsi"/>
          <w:color w:val="000000"/>
        </w:rPr>
      </w:pPr>
      <w:r>
        <w:rPr>
          <w:rFonts w:asciiTheme="minorHAnsi" w:hAnsiTheme="minorHAnsi" w:cstheme="minorHAnsi"/>
          <w:color w:val="000000"/>
        </w:rPr>
        <w:t xml:space="preserve">El DNS ubicado en </w:t>
      </w:r>
      <w:proofErr w:type="spellStart"/>
      <w:r>
        <w:rPr>
          <w:rFonts w:asciiTheme="minorHAnsi" w:hAnsiTheme="minorHAnsi" w:cstheme="minorHAnsi"/>
          <w:color w:val="000000"/>
        </w:rPr>
        <w:t>ufro</w:t>
      </w:r>
      <w:proofErr w:type="spellEnd"/>
      <w:r>
        <w:rPr>
          <w:rFonts w:asciiTheme="minorHAnsi" w:hAnsiTheme="minorHAnsi" w:cstheme="minorHAnsi"/>
          <w:color w:val="000000"/>
        </w:rPr>
        <w:t xml:space="preserve"> no resuelve el dominio ufro.cl y por tanto sus consultas deben ser dirigidas </w:t>
      </w:r>
      <w:r w:rsidR="00912CAF">
        <w:rPr>
          <w:rFonts w:asciiTheme="minorHAnsi" w:hAnsiTheme="minorHAnsi" w:cstheme="minorHAnsi"/>
          <w:color w:val="000000"/>
        </w:rPr>
        <w:t>a</w:t>
      </w:r>
      <w:bookmarkStart w:id="1" w:name="_GoBack"/>
      <w:bookmarkEnd w:id="1"/>
      <w:r>
        <w:rPr>
          <w:rFonts w:asciiTheme="minorHAnsi" w:hAnsiTheme="minorHAnsi" w:cstheme="minorHAnsi"/>
          <w:color w:val="000000"/>
        </w:rPr>
        <w:t xml:space="preserve">l Server </w:t>
      </w:r>
      <w:proofErr w:type="spellStart"/>
      <w:r>
        <w:rPr>
          <w:rFonts w:asciiTheme="minorHAnsi" w:hAnsiTheme="minorHAnsi" w:cstheme="minorHAnsi"/>
          <w:color w:val="000000"/>
        </w:rPr>
        <w:t>Raiz</w:t>
      </w:r>
      <w:proofErr w:type="spellEnd"/>
      <w:r>
        <w:rPr>
          <w:rFonts w:asciiTheme="minorHAnsi" w:hAnsiTheme="minorHAnsi" w:cstheme="minorHAnsi"/>
          <w:color w:val="000000"/>
        </w:rPr>
        <w:t>.</w:t>
      </w:r>
    </w:p>
    <w:p w14:paraId="39F79B77" w14:textId="77777777" w:rsidR="00647F18" w:rsidRDefault="00647F18" w:rsidP="00725095">
      <w:pPr>
        <w:pStyle w:val="NormalWeb"/>
        <w:spacing w:line="240" w:lineRule="atLeast"/>
        <w:jc w:val="both"/>
        <w:rPr>
          <w:rFonts w:asciiTheme="minorHAnsi" w:hAnsiTheme="minorHAnsi" w:cstheme="minorHAnsi"/>
          <w:color w:val="000000"/>
        </w:rPr>
      </w:pPr>
    </w:p>
    <w:p w14:paraId="2F37CDAE" w14:textId="6B140496" w:rsidR="00647F18" w:rsidRDefault="00647F18" w:rsidP="00725095">
      <w:pPr>
        <w:pStyle w:val="NormalWeb"/>
        <w:spacing w:line="240" w:lineRule="atLeast"/>
        <w:jc w:val="both"/>
        <w:rPr>
          <w:rFonts w:asciiTheme="minorHAnsi" w:hAnsiTheme="minorHAnsi" w:cstheme="minorHAnsi"/>
          <w:color w:val="000000"/>
        </w:rPr>
      </w:pPr>
      <w:r>
        <w:rPr>
          <w:rFonts w:asciiTheme="minorHAnsi" w:hAnsiTheme="minorHAnsi" w:cstheme="minorHAnsi"/>
          <w:noProof/>
          <w:color w:val="000000"/>
          <w:lang w:val="es-CL" w:eastAsia="es-CL"/>
        </w:rPr>
        <w:drawing>
          <wp:inline distT="0" distB="0" distL="0" distR="0" wp14:anchorId="3F3F10EA" wp14:editId="42C347E0">
            <wp:extent cx="5391150" cy="3524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7A00DEF5" w14:textId="7C02DA9E" w:rsidR="00647F18" w:rsidRDefault="00647F18" w:rsidP="00725095">
      <w:pPr>
        <w:pStyle w:val="NormalWeb"/>
        <w:spacing w:line="240" w:lineRule="atLeast"/>
        <w:jc w:val="both"/>
        <w:rPr>
          <w:rFonts w:asciiTheme="minorHAnsi" w:hAnsiTheme="minorHAnsi" w:cstheme="minorHAnsi"/>
          <w:color w:val="000000"/>
        </w:rPr>
      </w:pPr>
    </w:p>
    <w:p w14:paraId="1489ED04" w14:textId="0A56719F" w:rsidR="00647F18" w:rsidRDefault="00647F18" w:rsidP="00725095">
      <w:pPr>
        <w:pStyle w:val="NormalWeb"/>
        <w:spacing w:line="240" w:lineRule="atLeast"/>
        <w:jc w:val="both"/>
        <w:rPr>
          <w:rFonts w:asciiTheme="minorHAnsi" w:hAnsiTheme="minorHAnsi" w:cstheme="minorHAnsi"/>
          <w:color w:val="000000"/>
        </w:rPr>
      </w:pPr>
    </w:p>
    <w:p w14:paraId="315198F6" w14:textId="2265D1B0" w:rsidR="00647F18" w:rsidRDefault="00647F18" w:rsidP="00725095">
      <w:pPr>
        <w:pStyle w:val="NormalWeb"/>
        <w:spacing w:line="240" w:lineRule="atLeast"/>
        <w:jc w:val="both"/>
        <w:rPr>
          <w:rFonts w:asciiTheme="minorHAnsi" w:hAnsiTheme="minorHAnsi" w:cstheme="minorHAnsi"/>
          <w:color w:val="000000"/>
        </w:rPr>
      </w:pPr>
    </w:p>
    <w:p w14:paraId="372A08E2" w14:textId="62A38590" w:rsidR="00647F18" w:rsidRDefault="00647F18" w:rsidP="00725095">
      <w:pPr>
        <w:pStyle w:val="NormalWeb"/>
        <w:spacing w:line="240" w:lineRule="atLeast"/>
        <w:jc w:val="both"/>
        <w:rPr>
          <w:rFonts w:asciiTheme="minorHAnsi" w:hAnsiTheme="minorHAnsi" w:cstheme="minorHAnsi"/>
          <w:color w:val="000000"/>
        </w:rPr>
      </w:pPr>
    </w:p>
    <w:p w14:paraId="3647DFBF" w14:textId="7E5F7494" w:rsidR="00647F18" w:rsidRDefault="00647F18" w:rsidP="00725095">
      <w:pPr>
        <w:pStyle w:val="NormalWeb"/>
        <w:spacing w:line="240" w:lineRule="atLeast"/>
        <w:jc w:val="both"/>
        <w:rPr>
          <w:rFonts w:asciiTheme="minorHAnsi" w:hAnsiTheme="minorHAnsi" w:cstheme="minorHAnsi"/>
          <w:color w:val="000000"/>
        </w:rPr>
      </w:pPr>
    </w:p>
    <w:p w14:paraId="2F085BEF" w14:textId="6EBBB790" w:rsidR="00647F18" w:rsidRDefault="00647F18" w:rsidP="00725095">
      <w:pPr>
        <w:pStyle w:val="NormalWeb"/>
        <w:spacing w:line="240" w:lineRule="atLeast"/>
        <w:jc w:val="both"/>
        <w:rPr>
          <w:rFonts w:asciiTheme="minorHAnsi" w:hAnsiTheme="minorHAnsi" w:cstheme="minorHAnsi"/>
          <w:color w:val="000000"/>
        </w:rPr>
      </w:pPr>
    </w:p>
    <w:p w14:paraId="327E040D" w14:textId="276E4090" w:rsidR="00647F18" w:rsidRDefault="00647F18" w:rsidP="00725095">
      <w:pPr>
        <w:pStyle w:val="NormalWeb"/>
        <w:spacing w:line="240" w:lineRule="atLeast"/>
        <w:jc w:val="both"/>
        <w:rPr>
          <w:rFonts w:asciiTheme="minorHAnsi" w:hAnsiTheme="minorHAnsi" w:cstheme="minorHAnsi"/>
          <w:color w:val="000000"/>
        </w:rPr>
      </w:pPr>
    </w:p>
    <w:sectPr w:rsidR="00647F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A69DE"/>
    <w:multiLevelType w:val="multilevel"/>
    <w:tmpl w:val="8D9E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CF"/>
    <w:rsid w:val="00647F18"/>
    <w:rsid w:val="00725095"/>
    <w:rsid w:val="00912CAF"/>
    <w:rsid w:val="00C779CF"/>
    <w:rsid w:val="00CC044F"/>
    <w:rsid w:val="00DD1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A653"/>
  <w15:chartTrackingRefBased/>
  <w15:docId w15:val="{40B7680C-91D9-4BFB-8277-18D9A804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779C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79C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779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779CF"/>
    <w:rPr>
      <w:color w:val="0000FF"/>
      <w:u w:val="single"/>
    </w:rPr>
  </w:style>
  <w:style w:type="character" w:customStyle="1" w:styleId="titcajasinterior">
    <w:name w:val="titcajasinterior"/>
    <w:basedOn w:val="Fuentedeprrafopredeter"/>
    <w:rsid w:val="00725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2671">
      <w:bodyDiv w:val="1"/>
      <w:marLeft w:val="0"/>
      <w:marRight w:val="0"/>
      <w:marTop w:val="0"/>
      <w:marBottom w:val="0"/>
      <w:divBdr>
        <w:top w:val="none" w:sz="0" w:space="0" w:color="auto"/>
        <w:left w:val="none" w:sz="0" w:space="0" w:color="auto"/>
        <w:bottom w:val="none" w:sz="0" w:space="0" w:color="auto"/>
        <w:right w:val="none" w:sz="0" w:space="0" w:color="auto"/>
      </w:divBdr>
    </w:div>
    <w:div w:id="1019892339">
      <w:bodyDiv w:val="1"/>
      <w:marLeft w:val="0"/>
      <w:marRight w:val="0"/>
      <w:marTop w:val="0"/>
      <w:marBottom w:val="0"/>
      <w:divBdr>
        <w:top w:val="none" w:sz="0" w:space="0" w:color="auto"/>
        <w:left w:val="none" w:sz="0" w:space="0" w:color="auto"/>
        <w:bottom w:val="none" w:sz="0" w:space="0" w:color="auto"/>
        <w:right w:val="none" w:sz="0" w:space="0" w:color="auto"/>
      </w:divBdr>
    </w:div>
    <w:div w:id="1185242933">
      <w:bodyDiv w:val="1"/>
      <w:marLeft w:val="0"/>
      <w:marRight w:val="0"/>
      <w:marTop w:val="0"/>
      <w:marBottom w:val="0"/>
      <w:divBdr>
        <w:top w:val="none" w:sz="0" w:space="0" w:color="auto"/>
        <w:left w:val="none" w:sz="0" w:space="0" w:color="auto"/>
        <w:bottom w:val="none" w:sz="0" w:space="0" w:color="auto"/>
        <w:right w:val="none" w:sz="0" w:space="0" w:color="auto"/>
      </w:divBdr>
    </w:div>
    <w:div w:id="196569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nic.m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ic.cl/controversias/tabla_honorario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Burgos V</dc:creator>
  <cp:keywords/>
  <dc:description/>
  <cp:lastModifiedBy>HP</cp:lastModifiedBy>
  <cp:revision>2</cp:revision>
  <dcterms:created xsi:type="dcterms:W3CDTF">2020-07-20T02:37:00Z</dcterms:created>
  <dcterms:modified xsi:type="dcterms:W3CDTF">2020-07-23T23:22:00Z</dcterms:modified>
</cp:coreProperties>
</file>