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Liver Tumor Dataset Statistics</w:t>
      </w:r>
    </w:p>
    <w:p>
      <w:pPr>
        <w:pStyle w:val="Subtitle"/>
      </w:pPr>
      <w:r>
        <w:t>MCT LTDiag  PLC CECT  and WAW TACE</w:t>
        <w:br/>
      </w:r>
      <w:r>
        <w:rPr>
          <w:color w:val="595959"/>
          <w:sz w:val="20"/>
        </w:rPr>
        <w:t>Processed data snapshot 14 September 2026</w:t>
      </w:r>
    </w:p>
    <w:p>
      <w:r>
        <w:rPr>
          <w:b/>
        </w:rPr>
        <w:t xml:space="preserve">Summary. </w:t>
      </w:r>
      <w:r>
        <w:t>The processed collection contains 1,042 cases, including 959 lesion-positive cases and 2,764 connected tumour components. MCT-LTDiag and PLC-CECT are stored at 1 x 1 x 1 mm. WAW-TACE remains on variable patient-specific grids after within-case phase registration.</w:t>
      </w:r>
    </w:p>
    <w:p>
      <w:pPr>
        <w:pStyle w:val="Heading1"/>
        <w:keepNext/>
      </w:pPr>
      <w:r>
        <w:t>Dataset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113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215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Lesion-positive cases</w:t>
            </w:r>
          </w:p>
        </w:tc>
        <w:tc>
          <w:tcPr>
            <w:tcW w:type="dxa" w:w="1247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Lesions</w:t>
            </w:r>
          </w:p>
        </w:tc>
        <w:tc>
          <w:tcPr>
            <w:tcW w:type="dxa" w:w="243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Lesions per positive case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MCT-LTDiag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517</w:t>
            </w:r>
          </w:p>
        </w:tc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517</w:t>
              <w:br/>
              <w:t>(100.0%)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2,159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4.18</w:t>
            </w:r>
          </w:p>
        </w:tc>
      </w:tr>
      <w:tr>
        <w:tc>
          <w:tcPr>
            <w:tcW w:type="dxa" w:w="181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PLC-CECT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361</w:t>
            </w:r>
          </w:p>
        </w:tc>
        <w:tc>
          <w:tcPr>
            <w:tcW w:type="dxa" w:w="215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278</w:t>
              <w:br/>
              <w:t>(77.0%)</w:t>
            </w:r>
          </w:p>
        </w:tc>
        <w:tc>
          <w:tcPr>
            <w:tcW w:type="dxa" w:w="124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346</w:t>
            </w:r>
          </w:p>
        </w:tc>
        <w:tc>
          <w:tcPr>
            <w:tcW w:type="dxa" w:w="243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1.24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WAW-TACE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164</w:t>
            </w:r>
          </w:p>
        </w:tc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164</w:t>
              <w:br/>
              <w:t>(100.0%)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259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1.58</w:t>
            </w:r>
          </w:p>
        </w:tc>
      </w:tr>
      <w:tr>
        <w:tc>
          <w:tcPr>
            <w:tcW w:type="dxa" w:w="181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Combined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1,042</w:t>
            </w:r>
          </w:p>
        </w:tc>
        <w:tc>
          <w:tcPr>
            <w:tcW w:type="dxa" w:w="215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959</w:t>
              <w:br/>
              <w:t>(92.0%)</w:t>
            </w:r>
          </w:p>
        </w:tc>
        <w:tc>
          <w:tcPr>
            <w:tcW w:type="dxa" w:w="124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2,764</w:t>
            </w:r>
          </w:p>
        </w:tc>
        <w:tc>
          <w:tcPr>
            <w:tcW w:type="dxa" w:w="243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2.88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Tumour size distribution</w:t>
      </w:r>
    </w:p>
    <w:p>
      <w:pPr>
        <w:keepNext/>
      </w:pPr>
      <w:r>
        <w:t>Each lesion is a 26-connected component in the unified binary tumour mask. Diameter is the equivalent spherical diameter calculated from physical component volume. No minimum component filter was applied.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64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1389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0 to 5 mm</w:t>
            </w:r>
          </w:p>
        </w:tc>
        <w:tc>
          <w:tcPr>
            <w:tcW w:type="dxa" w:w="1389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5 to 10 mm</w:t>
            </w:r>
          </w:p>
        </w:tc>
        <w:tc>
          <w:tcPr>
            <w:tcW w:type="dxa" w:w="144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10 to 15 mm</w:t>
            </w:r>
          </w:p>
        </w:tc>
        <w:tc>
          <w:tcPr>
            <w:tcW w:type="dxa" w:w="1389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Over 15 mm</w:t>
            </w:r>
          </w:p>
        </w:tc>
        <w:tc>
          <w:tcPr>
            <w:tcW w:type="dxa" w:w="1247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Total</w:t>
            </w:r>
          </w:p>
        </w:tc>
      </w:tr>
      <w:tr>
        <w:tc>
          <w:tcPr>
            <w:tcW w:type="dxa" w:w="16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MCT-LTDiag</w:t>
            </w:r>
          </w:p>
        </w:tc>
        <w:tc>
          <w:tcPr>
            <w:tcW w:type="dxa" w:w="1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508</w:t>
              <w:br/>
              <w:t>(23.5%)</w:t>
            </w:r>
          </w:p>
        </w:tc>
        <w:tc>
          <w:tcPr>
            <w:tcW w:type="dxa" w:w="1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458</w:t>
              <w:br/>
              <w:t>(21.2%)</w:t>
            </w:r>
          </w:p>
        </w:tc>
        <w:tc>
          <w:tcPr>
            <w:tcW w:type="dxa" w:w="14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323</w:t>
              <w:br/>
              <w:t>(15.0%)</w:t>
            </w:r>
          </w:p>
        </w:tc>
        <w:tc>
          <w:tcPr>
            <w:tcW w:type="dxa" w:w="1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870</w:t>
              <w:br/>
              <w:t>(40.3%)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2,159</w:t>
            </w:r>
          </w:p>
        </w:tc>
      </w:tr>
      <w:tr>
        <w:tc>
          <w:tcPr>
            <w:tcW w:type="dxa" w:w="164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PLC-CECT</w:t>
            </w:r>
          </w:p>
        </w:tc>
        <w:tc>
          <w:tcPr>
            <w:tcW w:type="dxa" w:w="138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  <w:br/>
              <w:t>(0.0%)</w:t>
            </w:r>
          </w:p>
        </w:tc>
        <w:tc>
          <w:tcPr>
            <w:tcW w:type="dxa" w:w="138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  <w:br/>
              <w:t>(2.6%)</w:t>
            </w:r>
          </w:p>
        </w:tc>
        <w:tc>
          <w:tcPr>
            <w:tcW w:type="dxa" w:w="144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  <w:br/>
              <w:t>(6.6%)</w:t>
            </w:r>
          </w:p>
        </w:tc>
        <w:tc>
          <w:tcPr>
            <w:tcW w:type="dxa" w:w="138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314</w:t>
              <w:br/>
              <w:t>(90.8%)</w:t>
            </w:r>
          </w:p>
        </w:tc>
        <w:tc>
          <w:tcPr>
            <w:tcW w:type="dxa" w:w="124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346</w:t>
            </w:r>
          </w:p>
        </w:tc>
      </w:tr>
      <w:tr>
        <w:tc>
          <w:tcPr>
            <w:tcW w:type="dxa" w:w="16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WAW-TACE</w:t>
            </w:r>
          </w:p>
        </w:tc>
        <w:tc>
          <w:tcPr>
            <w:tcW w:type="dxa" w:w="1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  <w:br/>
              <w:t>(1.2%)</w:t>
            </w:r>
          </w:p>
        </w:tc>
        <w:tc>
          <w:tcPr>
            <w:tcW w:type="dxa" w:w="1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  <w:br/>
              <w:t>(3.1%)</w:t>
            </w:r>
          </w:p>
        </w:tc>
        <w:tc>
          <w:tcPr>
            <w:tcW w:type="dxa" w:w="14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  <w:br/>
              <w:t>(7.3%)</w:t>
            </w:r>
          </w:p>
        </w:tc>
        <w:tc>
          <w:tcPr>
            <w:tcW w:type="dxa" w:w="1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229</w:t>
              <w:br/>
              <w:t>(88.4%)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259</w:t>
            </w:r>
          </w:p>
        </w:tc>
      </w:tr>
      <w:tr>
        <w:tc>
          <w:tcPr>
            <w:tcW w:type="dxa" w:w="164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Combined</w:t>
            </w:r>
          </w:p>
        </w:tc>
        <w:tc>
          <w:tcPr>
            <w:tcW w:type="dxa" w:w="138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511</w:t>
              <w:br/>
              <w:t>(18.5%)</w:t>
            </w:r>
          </w:p>
        </w:tc>
        <w:tc>
          <w:tcPr>
            <w:tcW w:type="dxa" w:w="138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475</w:t>
              <w:br/>
              <w:t>(17.2%)</w:t>
            </w:r>
          </w:p>
        </w:tc>
        <w:tc>
          <w:tcPr>
            <w:tcW w:type="dxa" w:w="144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365</w:t>
              <w:br/>
              <w:t>(13.2%)</w:t>
            </w:r>
          </w:p>
        </w:tc>
        <w:tc>
          <w:tcPr>
            <w:tcW w:type="dxa" w:w="138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1,413</w:t>
              <w:br/>
              <w:t>(51.1%)</w:t>
            </w:r>
          </w:p>
        </w:tc>
        <w:tc>
          <w:tcPr>
            <w:tcW w:type="dxa" w:w="124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2,764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Cases containing each size class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757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170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0 to 5 mm</w:t>
            </w:r>
          </w:p>
        </w:tc>
        <w:tc>
          <w:tcPr>
            <w:tcW w:type="dxa" w:w="170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5 to 10 mm</w:t>
            </w:r>
          </w:p>
        </w:tc>
        <w:tc>
          <w:tcPr>
            <w:tcW w:type="dxa" w:w="170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10 to 15 mm</w:t>
            </w:r>
          </w:p>
        </w:tc>
        <w:tc>
          <w:tcPr>
            <w:tcW w:type="dxa" w:w="170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Over 15 mm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MCT-LTDiag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226</w:t>
              <w:br/>
              <w:t>(43.7%)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143</w:t>
              <w:br/>
              <w:t>(27.7%)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147</w:t>
              <w:br/>
              <w:t>(28.4%)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495</w:t>
              <w:br/>
              <w:t>(95.7%)</w:t>
            </w:r>
          </w:p>
        </w:tc>
      </w:tr>
      <w:tr>
        <w:tc>
          <w:tcPr>
            <w:tcW w:type="dxa" w:w="175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PLC-CECT</w:t>
            </w:r>
          </w:p>
        </w:tc>
        <w:tc>
          <w:tcPr>
            <w:tcW w:type="dxa" w:w="170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  <w:br/>
              <w:t>(0.0%)</w:t>
            </w:r>
          </w:p>
        </w:tc>
        <w:tc>
          <w:tcPr>
            <w:tcW w:type="dxa" w:w="170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  <w:br/>
              <w:t>(0.8%)</w:t>
            </w:r>
          </w:p>
        </w:tc>
        <w:tc>
          <w:tcPr>
            <w:tcW w:type="dxa" w:w="170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  <w:br/>
              <w:t>(2.5%)</w:t>
            </w:r>
          </w:p>
        </w:tc>
        <w:tc>
          <w:tcPr>
            <w:tcW w:type="dxa" w:w="170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277</w:t>
              <w:br/>
              <w:t>(76.7%)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WAW-TACE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  <w:br/>
              <w:t>(1.8%)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  <w:br/>
              <w:t>(4.3%)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  <w:br/>
              <w:t>(10.4%)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161</w:t>
              <w:br/>
              <w:t>(98.2%)</w:t>
            </w:r>
          </w:p>
        </w:tc>
      </w:tr>
    </w:tbl>
    <w:p>
      <w:pPr>
        <w:spacing w:after="20"/>
      </w:pPr>
    </w:p>
    <w:p>
      <w:r>
        <w:rPr>
          <w:b/>
        </w:rPr>
        <w:t xml:space="preserve">Interpretation. </w:t>
      </w:r>
      <w:r>
        <w:t>A case may contribute to more than one size class. MCT-LTDiag contains most of the sub-10 mm lesions, whereas PLC-CECT and WAW-TACE are dominated by lesions over 15 mm.</w:t>
      </w:r>
    </w:p>
    <w:p>
      <w:pPr>
        <w:pStyle w:val="Heading1"/>
        <w:keepNext/>
      </w:pPr>
      <w:r>
        <w:t>Voxel spacing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53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92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voxel spacing</w:t>
            </w:r>
          </w:p>
        </w:tc>
        <w:tc>
          <w:tcPr>
            <w:tcW w:type="dxa" w:w="249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Distribution</w:t>
            </w:r>
          </w:p>
        </w:tc>
        <w:tc>
          <w:tcPr>
            <w:tcW w:type="dxa" w:w="289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Processing status</w:t>
            </w:r>
          </w:p>
        </w:tc>
      </w:tr>
      <w:tr>
        <w:tc>
          <w:tcPr>
            <w:tcW w:type="dxa" w:w="15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MCT-LTDiag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 x 1.000 x 1.000 mm</w:t>
            </w:r>
          </w:p>
        </w:tc>
        <w:tc>
          <w:tcPr>
            <w:tcW w:type="dxa" w:w="24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All 517 cases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Resampled after PVP-based phase registration and liver-region cropping; source median was approximately 0.734 x 0.734 x 5.000 mm</w:t>
            </w:r>
          </w:p>
        </w:tc>
      </w:tr>
      <w:tr>
        <w:tc>
          <w:tcPr>
            <w:tcW w:type="dxa" w:w="153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PLC-CECT</w:t>
            </w:r>
          </w:p>
        </w:tc>
        <w:tc>
          <w:tcPr>
            <w:tcW w:type="dxa" w:w="192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 x 1.000 x 1.000 mm</w:t>
            </w:r>
          </w:p>
        </w:tc>
        <w:tc>
          <w:tcPr>
            <w:tcW w:type="dxa" w:w="249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All 361 cases</w:t>
            </w:r>
          </w:p>
        </w:tc>
        <w:tc>
          <w:tcPr>
            <w:tcW w:type="dxa" w:w="289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Current files verified as isotropic 1 mm for all four phases and both masks</w:t>
            </w:r>
          </w:p>
        </w:tc>
      </w:tr>
      <w:tr>
        <w:tc>
          <w:tcPr>
            <w:tcW w:type="dxa" w:w="15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WAW-TACE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Median 0.776 x 0.776 x 2.500 mm</w:t>
            </w:r>
          </w:p>
        </w:tc>
        <w:tc>
          <w:tcPr>
            <w:tcW w:type="dxa" w:w="24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Range 0.543-0.977 x 0.543-0.977 x 0.440-5.000 mm; 130 unique triplets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Registered phases share each case's PVP reference grid; no common isotropic resampling has been applied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WAW TACE slice spacing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06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Slice spacing</w:t>
            </w:r>
          </w:p>
        </w:tc>
        <w:tc>
          <w:tcPr>
            <w:tcW w:type="dxa" w:w="22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22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Share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2.50 mm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57.9%</w:t>
            </w:r>
          </w:p>
        </w:tc>
      </w:tr>
      <w:tr>
        <w:tc>
          <w:tcPr>
            <w:tcW w:type="dxa" w:w="306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1.25 mm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9.1%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1.00 mm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9.1%</w:t>
            </w:r>
          </w:p>
        </w:tc>
      </w:tr>
      <w:tr>
        <w:tc>
          <w:tcPr>
            <w:tcW w:type="dxa" w:w="306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5.00 mm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6.7%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0.80 mm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6.1%</w:t>
            </w:r>
          </w:p>
        </w:tc>
      </w:tr>
      <w:tr>
        <w:tc>
          <w:tcPr>
            <w:tcW w:type="dxa" w:w="306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1.50 mm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5.5%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Other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5.5%</w:t>
            </w:r>
          </w:p>
        </w:tc>
      </w:tr>
    </w:tbl>
    <w:p>
      <w:pPr>
        <w:spacing w:after="20"/>
      </w:pPr>
    </w:p>
    <w:p>
      <w:r>
        <w:rPr>
          <w:b/>
        </w:rPr>
        <w:t xml:space="preserve">Important. </w:t>
      </w:r>
      <w:r>
        <w:t>Resampling MCT-LTDiag from 5 mm source slices to a 1 mm grid standardises model input geometry but does not recover unacquired through-plane anatomy.</w:t>
      </w:r>
    </w:p>
    <w:p>
      <w:pPr>
        <w:pStyle w:val="Heading1"/>
        <w:keepNext/>
      </w:pPr>
      <w:r>
        <w:t>Segmentation label encoding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Voxel value</w:t>
            </w:r>
          </w:p>
        </w:tc>
        <w:tc>
          <w:tcPr>
            <w:tcW w:type="dxa" w:w="294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94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Background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All datasets</w:t>
            </w:r>
          </w:p>
        </w:tc>
      </w:tr>
      <w:tr>
        <w:tc>
          <w:tcPr>
            <w:tcW w:type="dxa" w:w="136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94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Liver lesion</w:t>
            </w:r>
          </w:p>
        </w:tc>
        <w:tc>
          <w:tcPr>
            <w:tcW w:type="dxa" w:w="294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All datasets</w:t>
            </w:r>
          </w:p>
        </w:tc>
      </w:tr>
    </w:tbl>
    <w:p>
      <w:pPr>
        <w:spacing w:after="20"/>
      </w:pPr>
    </w:p>
    <w:p>
      <w:r>
        <w:t>The tumour mask is semantic and binary. It does not encode disease subtype or lesion instance identity. Disease labels are stored at patient level in case.json and dataset_manifest.csv.</w:t>
      </w:r>
    </w:p>
    <w:p>
      <w:pPr>
        <w:pStyle w:val="Heading1"/>
        <w:keepNext/>
      </w:pPr>
      <w:r>
        <w:t>Fine diagnosis label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47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19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362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Clinical meaning</w:t>
            </w:r>
          </w:p>
        </w:tc>
        <w:tc>
          <w:tcPr>
            <w:tcW w:type="dxa" w:w="113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Cases</w:t>
            </w:r>
          </w:p>
        </w:tc>
        <w:tc>
          <w:tcPr>
            <w:tcW w:type="dxa" w:w="113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Share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MCT-LTDiag</w:t>
            </w:r>
          </w:p>
        </w:tc>
        <w:tc>
          <w:tcPr>
            <w:tcW w:type="dxa" w:w="1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BCLM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Breast cancer liver metastasis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22.2%</w:t>
            </w:r>
          </w:p>
        </w:tc>
      </w:tr>
      <w:tr>
        <w:tc>
          <w:tcPr>
            <w:tcW w:type="dxa" w:w="147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MCT-LTDiag</w:t>
            </w:r>
          </w:p>
        </w:tc>
        <w:tc>
          <w:tcPr>
            <w:tcW w:type="dxa" w:w="119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CRLM</w:t>
            </w:r>
          </w:p>
        </w:tc>
        <w:tc>
          <w:tcPr>
            <w:tcW w:type="dxa" w:w="362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Colorectal liver metastasis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19.9%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MCT-LTDiag</w:t>
            </w:r>
          </w:p>
        </w:tc>
        <w:tc>
          <w:tcPr>
            <w:tcW w:type="dxa" w:w="1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HCC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Hepatocellular carcinoma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19.9%</w:t>
            </w:r>
          </w:p>
        </w:tc>
      </w:tr>
      <w:tr>
        <w:tc>
          <w:tcPr>
            <w:tcW w:type="dxa" w:w="147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MCT-LTDiag</w:t>
            </w:r>
          </w:p>
        </w:tc>
        <w:tc>
          <w:tcPr>
            <w:tcW w:type="dxa" w:w="119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ICC</w:t>
            </w:r>
          </w:p>
        </w:tc>
        <w:tc>
          <w:tcPr>
            <w:tcW w:type="dxa" w:w="362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Intrahepatic cholangiocarcinoma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19.3%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MCT-LTDiag</w:t>
            </w:r>
          </w:p>
        </w:tc>
        <w:tc>
          <w:tcPr>
            <w:tcW w:type="dxa" w:w="1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HH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Hepatic haemangioma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18.6%</w:t>
            </w:r>
          </w:p>
        </w:tc>
      </w:tr>
      <w:tr>
        <w:tc>
          <w:tcPr>
            <w:tcW w:type="dxa" w:w="147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PLC-CECT</w:t>
            </w:r>
          </w:p>
        </w:tc>
        <w:tc>
          <w:tcPr>
            <w:tcW w:type="dxa" w:w="119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ICC</w:t>
            </w:r>
          </w:p>
        </w:tc>
        <w:tc>
          <w:tcPr>
            <w:tcW w:type="dxa" w:w="362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Intrahepatic cholangiocarcinoma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27.4%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PLC-CECT</w:t>
            </w:r>
          </w:p>
        </w:tc>
        <w:tc>
          <w:tcPr>
            <w:tcW w:type="dxa" w:w="1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HCC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Hepatocellular carcinoma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26.0%</w:t>
            </w:r>
          </w:p>
        </w:tc>
      </w:tr>
      <w:tr>
        <w:tc>
          <w:tcPr>
            <w:tcW w:type="dxa" w:w="147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PLC-CECT</w:t>
            </w:r>
          </w:p>
        </w:tc>
        <w:tc>
          <w:tcPr>
            <w:tcW w:type="dxa" w:w="119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cHCC-CCA</w:t>
            </w:r>
          </w:p>
        </w:tc>
        <w:tc>
          <w:tcPr>
            <w:tcW w:type="dxa" w:w="362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Combined hepatocellular-cholangiocarcinoma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23.5%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PLC-CECT</w:t>
            </w:r>
          </w:p>
        </w:tc>
        <w:tc>
          <w:tcPr>
            <w:tcW w:type="dxa" w:w="1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CN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Control without a labelled liver lesion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23.0%</w:t>
            </w:r>
          </w:p>
        </w:tc>
      </w:tr>
      <w:tr>
        <w:tc>
          <w:tcPr>
            <w:tcW w:type="dxa" w:w="147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WAW-TACE</w:t>
            </w:r>
          </w:p>
        </w:tc>
        <w:tc>
          <w:tcPr>
            <w:tcW w:type="dxa" w:w="119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HCC</w:t>
            </w:r>
          </w:p>
        </w:tc>
        <w:tc>
          <w:tcPr>
            <w:tcW w:type="dxa" w:w="362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Hepatocellular carcinoma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164</w:t>
            </w:r>
          </w:p>
        </w:tc>
        <w:tc>
          <w:tcPr>
            <w:tcW w:type="dxa" w:w="113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Harmonised task label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53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27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 lesion</w:t>
            </w:r>
          </w:p>
        </w:tc>
        <w:tc>
          <w:tcPr>
            <w:tcW w:type="dxa" w:w="127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Benign</w:t>
            </w:r>
          </w:p>
        </w:tc>
        <w:tc>
          <w:tcPr>
            <w:tcW w:type="dxa" w:w="133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Malignant</w:t>
            </w:r>
          </w:p>
        </w:tc>
        <w:tc>
          <w:tcPr>
            <w:tcW w:type="dxa" w:w="1559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Primary hepatic</w:t>
            </w:r>
          </w:p>
        </w:tc>
        <w:tc>
          <w:tcPr>
            <w:tcW w:type="dxa" w:w="144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Metastatic</w:t>
            </w:r>
          </w:p>
        </w:tc>
      </w:tr>
      <w:tr>
        <w:tc>
          <w:tcPr>
            <w:tcW w:type="dxa" w:w="15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MCT-LTDiag</w:t>
            </w:r>
          </w:p>
        </w:tc>
        <w:tc>
          <w:tcPr>
            <w:tcW w:type="dxa" w:w="12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  <w:br/>
              <w:t>(0.0%)</w:t>
            </w:r>
          </w:p>
        </w:tc>
        <w:tc>
          <w:tcPr>
            <w:tcW w:type="dxa" w:w="12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96</w:t>
              <w:br/>
              <w:t>(18.6%)</w:t>
            </w:r>
          </w:p>
        </w:tc>
        <w:tc>
          <w:tcPr>
            <w:tcW w:type="dxa" w:w="13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421</w:t>
              <w:br/>
              <w:t>(81.4%)</w:t>
            </w:r>
          </w:p>
        </w:tc>
        <w:tc>
          <w:tcPr>
            <w:tcW w:type="dxa" w:w="155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299</w:t>
              <w:br/>
              <w:t>(57.8%)</w:t>
            </w:r>
          </w:p>
        </w:tc>
        <w:tc>
          <w:tcPr>
            <w:tcW w:type="dxa" w:w="14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218</w:t>
              <w:br/>
              <w:t>(42.2%)</w:t>
            </w:r>
          </w:p>
        </w:tc>
      </w:tr>
      <w:tr>
        <w:tc>
          <w:tcPr>
            <w:tcW w:type="dxa" w:w="153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PLC-CECT</w:t>
            </w:r>
          </w:p>
        </w:tc>
        <w:tc>
          <w:tcPr>
            <w:tcW w:type="dxa" w:w="127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83</w:t>
              <w:br/>
              <w:t>(23.0%)</w:t>
            </w:r>
          </w:p>
        </w:tc>
        <w:tc>
          <w:tcPr>
            <w:tcW w:type="dxa" w:w="127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  <w:br/>
              <w:t>(0.0%)</w:t>
            </w:r>
          </w:p>
        </w:tc>
        <w:tc>
          <w:tcPr>
            <w:tcW w:type="dxa" w:w="133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278</w:t>
              <w:br/>
              <w:t>(77.0%)</w:t>
            </w:r>
          </w:p>
        </w:tc>
        <w:tc>
          <w:tcPr>
            <w:tcW w:type="dxa" w:w="155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278</w:t>
              <w:br/>
              <w:t>(77.0%)</w:t>
            </w:r>
          </w:p>
        </w:tc>
        <w:tc>
          <w:tcPr>
            <w:tcW w:type="dxa" w:w="144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  <w:br/>
              <w:t>(0.0%)</w:t>
            </w:r>
          </w:p>
        </w:tc>
      </w:tr>
      <w:tr>
        <w:tc>
          <w:tcPr>
            <w:tcW w:type="dxa" w:w="15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WAW-TACE</w:t>
            </w:r>
          </w:p>
        </w:tc>
        <w:tc>
          <w:tcPr>
            <w:tcW w:type="dxa" w:w="12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  <w:br/>
              <w:t>(0.0%)</w:t>
            </w:r>
          </w:p>
        </w:tc>
        <w:tc>
          <w:tcPr>
            <w:tcW w:type="dxa" w:w="12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  <w:br/>
              <w:t>(0.0%)</w:t>
            </w:r>
          </w:p>
        </w:tc>
        <w:tc>
          <w:tcPr>
            <w:tcW w:type="dxa" w:w="13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164</w:t>
              <w:br/>
              <w:t>(100.0%)</w:t>
            </w:r>
          </w:p>
        </w:tc>
        <w:tc>
          <w:tcPr>
            <w:tcW w:type="dxa" w:w="155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164</w:t>
              <w:br/>
              <w:t>(100.0%)</w:t>
            </w:r>
          </w:p>
        </w:tc>
        <w:tc>
          <w:tcPr>
            <w:tcW w:type="dxa" w:w="14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  <w:br/>
              <w:t>(0.0%)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Label interpretation</w:t>
      </w:r>
    </w:p>
    <w:p>
      <w:r>
        <w:rPr>
          <w:b/>
        </w:rPr>
        <w:t xml:space="preserve">MCT-LTDiag. </w:t>
      </w:r>
      <w:r>
        <w:t>All 517 cases contain a labelled lesion. The cohort includes one benign class, two primary hepatic malignancies and two site-specific metastatic malignancies.</w:t>
      </w:r>
    </w:p>
    <w:p>
      <w:r>
        <w:rPr>
          <w:b/>
        </w:rPr>
        <w:t xml:space="preserve">PLC-CECT. </w:t>
      </w:r>
      <w:r>
        <w:t>The 83 CN controls have no labelled tumour. HCC, ICC and cHCC-CCA account for the 278 lesion-positive malignant cases.</w:t>
      </w:r>
    </w:p>
    <w:p>
      <w:r>
        <w:rPr>
          <w:b/>
        </w:rPr>
        <w:t xml:space="preserve">WAW-TACE. </w:t>
      </w:r>
      <w:r>
        <w:t>All 164 cases are HCC cases from a TACE treatment setting. This dataset supports external HCC detection and segmentation evaluation, but it cannot independently evaluate multiclass diagnosis.</w:t>
      </w:r>
    </w:p>
    <w:p>
      <w:pPr>
        <w:pStyle w:val="Heading1"/>
        <w:keepNext/>
      </w:pPr>
      <w:r>
        <w:t>Statistical definitions and limitations</w:t>
      </w:r>
    </w:p>
    <w:p>
      <w:r>
        <w:t>The bins are 0 &lt; ESD &lt;= 5 mm, 5 &lt; ESD &lt;= 10 mm, 10 &lt; ESD &lt;= 15 mm and ESD &gt; 15 mm. ESD differs from the RECIST longest axial diameter. Counts describe the current processed masks; nearest-neighbour resampling can merge or remove tiny components. Use patient-level stratification, with no patient split across training, validation and test sets.</w:t>
      </w:r>
    </w:p>
    <w:p>
      <w:r>
        <w:rPr>
          <w:b/>
        </w:rPr>
        <w:t xml:space="preserve">Data source. </w:t>
      </w:r>
      <w:r>
        <w:t>unified_v1/dataset_manifest.csv, lesion_size_summary.csv and label_schema.json.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595959"/>
        <w:sz w:val="16"/>
      </w:rPr>
      <w:t>Liver Tumor Segmentation   Dataset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7E0BCECA1C4C74DAAF4E3E4186FA43F" ma:contentTypeVersion="0" ma:contentTypeDescription="新建文档。" ma:contentTypeScope="" ma:versionID="3a140b572bfddf37b37dcad0abbb8dc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78411db53ad265f06effec81d60ae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FFFCC0-437B-41FF-9350-523E4FB1CB92}"/>
</file>

<file path=customXml/itemProps3.xml><?xml version="1.0" encoding="utf-8"?>
<ds:datastoreItem xmlns:ds="http://schemas.openxmlformats.org/officeDocument/2006/customXml" ds:itemID="{AB7F0D37-005D-4FDC-A35F-4229334373DC}"/>
</file>

<file path=customXml/itemProps4.xml><?xml version="1.0" encoding="utf-8"?>
<ds:datastoreItem xmlns:ds="http://schemas.openxmlformats.org/officeDocument/2006/customXml" ds:itemID="{CACF9022-8C2C-4A8E-A44C-1C43E10CCD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Liver Tumor Dataset Statistics</dc:title>
  <dc:subject>MCT-LTDiag, PLC-CECT and WAW-TACE statistics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0x01010077E0BCECA1C4C74DAAF4E3E4186FA43F</vt:lpwstr>
  </property>
</Properties>
</file>