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4B4C19" w:rsidP="006B6B66">
      <w:pPr>
        <w:pStyle w:val="Heading1"/>
      </w:pPr>
      <w:r>
        <w:t>Device Design</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4B4C19" w:rsidP="006B6B66">
      <w:pPr>
        <w:pStyle w:val="Heading1"/>
      </w:pPr>
      <w:r>
        <w:lastRenderedPageBreak/>
        <w:t>Fabrication Process</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lastRenderedPageBreak/>
        <w:t>An excellent style manual for science writers is [7].</w:t>
      </w:r>
    </w:p>
    <w:p w:rsidR="009303D9" w:rsidRDefault="004B4C19" w:rsidP="006B6B66">
      <w:pPr>
        <w:pStyle w:val="Heading1"/>
      </w:pPr>
      <w:r>
        <w:t>Modeling Results or Calculations</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w:t>
      </w:r>
      <w:bookmarkStart w:id="0" w:name="_GoBack"/>
      <w:bookmarkEnd w:id="0"/>
      <w:r w:rsidRPr="005B520E">
        <w:t>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w:t>
      </w:r>
      <w:r w:rsidRPr="005B520E">
        <w:lastRenderedPageBreak/>
        <w:t>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BD123D"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6350" r="8255" b="1270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58F"/>
    <w:rsid w:val="000C1E68"/>
    <w:rsid w:val="001A2EFD"/>
    <w:rsid w:val="001B67DC"/>
    <w:rsid w:val="00207A29"/>
    <w:rsid w:val="002254A9"/>
    <w:rsid w:val="0031195E"/>
    <w:rsid w:val="003A19E2"/>
    <w:rsid w:val="004B4C19"/>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D123D"/>
    <w:rsid w:val="00BE7D3C"/>
    <w:rsid w:val="00BF5FF6"/>
    <w:rsid w:val="00C0207F"/>
    <w:rsid w:val="00C16117"/>
    <w:rsid w:val="00C919A4"/>
    <w:rsid w:val="00CC393F"/>
    <w:rsid w:val="00D632BE"/>
    <w:rsid w:val="00D7536F"/>
    <w:rsid w:val="00E61E12"/>
    <w:rsid w:val="00E7596C"/>
    <w:rsid w:val="00E878F2"/>
    <w:rsid w:val="00ED0149"/>
    <w:rsid w:val="00ED4405"/>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6D850"/>
  <w15:chartTrackingRefBased/>
  <w15:docId w15:val="{5A2408C3-B87A-482B-B9FA-922FA3DA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2075-F24F-4422-A265-7CB8EE71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Troy</cp:lastModifiedBy>
  <cp:revision>3</cp:revision>
  <dcterms:created xsi:type="dcterms:W3CDTF">2020-04-14T21:49:00Z</dcterms:created>
  <dcterms:modified xsi:type="dcterms:W3CDTF">2020-04-14T21:50:00Z</dcterms:modified>
</cp:coreProperties>
</file>