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CEB" w:rsidRPr="00855C6B" w:rsidRDefault="00406CEB" w:rsidP="00406CE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55C6B">
        <w:rPr>
          <w:rFonts w:ascii="Times New Roman" w:hAnsi="Times New Roman" w:cs="Times New Roman"/>
          <w:sz w:val="28"/>
          <w:szCs w:val="28"/>
          <w:u w:val="single"/>
        </w:rPr>
        <w:t>Project report</w:t>
      </w: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 xml:space="preserve">The Influence of daily share price movements of equity stocks of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Infosys</w:t>
      </w:r>
      <w:proofErr w:type="gramStart"/>
      <w:r w:rsidRPr="00D32F34">
        <w:rPr>
          <w:rFonts w:ascii="Times New Roman" w:hAnsi="Times New Roman" w:cs="Times New Roman"/>
          <w:sz w:val="24"/>
          <w:szCs w:val="24"/>
        </w:rPr>
        <w:t>,TCS</w:t>
      </w:r>
      <w:proofErr w:type="spellEnd"/>
      <w:proofErr w:type="gramEnd"/>
      <w:r w:rsidRPr="00D32F34">
        <w:rPr>
          <w:rFonts w:ascii="Times New Roman" w:hAnsi="Times New Roman" w:cs="Times New Roman"/>
          <w:sz w:val="24"/>
          <w:szCs w:val="24"/>
        </w:rPr>
        <w:t>, Tata motors,</w:t>
      </w:r>
      <w:r w:rsidR="00637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SunPharma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>,</w:t>
      </w:r>
      <w:r w:rsidR="00637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Axisbank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>,</w:t>
      </w:r>
      <w:r w:rsidR="00637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ICICIbank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>,</w:t>
      </w:r>
      <w:r w:rsidR="00637965">
        <w:rPr>
          <w:rFonts w:ascii="Times New Roman" w:hAnsi="Times New Roman" w:cs="Times New Roman"/>
          <w:sz w:val="24"/>
          <w:szCs w:val="24"/>
        </w:rPr>
        <w:t xml:space="preserve"> </w:t>
      </w:r>
      <w:r w:rsidRPr="00D32F34">
        <w:rPr>
          <w:rFonts w:ascii="Times New Roman" w:hAnsi="Times New Roman" w:cs="Times New Roman"/>
          <w:sz w:val="24"/>
          <w:szCs w:val="24"/>
        </w:rPr>
        <w:t xml:space="preserve">ITC and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AsainPaints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>, on daily movements of  Bombay Stock Exchange -SENSEX.</w:t>
      </w: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F34" w:rsidRPr="00D32F34" w:rsidRDefault="00D32F34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CEB" w:rsidRPr="00D32F34" w:rsidRDefault="00406CEB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 xml:space="preserve">Submitted to </w:t>
      </w:r>
    </w:p>
    <w:p w:rsidR="00406CEB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2F34">
        <w:rPr>
          <w:rFonts w:ascii="Times New Roman" w:hAnsi="Times New Roman" w:cs="Times New Roman"/>
          <w:sz w:val="24"/>
          <w:szCs w:val="24"/>
        </w:rPr>
        <w:t>Prof.Sameer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Mathur</w:t>
      </w:r>
      <w:proofErr w:type="spellEnd"/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>Marketing Professor</w:t>
      </w: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 xml:space="preserve">Indian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Institue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D32F34"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 w:rsidRPr="00D32F34">
        <w:rPr>
          <w:rFonts w:ascii="Times New Roman" w:hAnsi="Times New Roman" w:cs="Times New Roman"/>
          <w:sz w:val="24"/>
          <w:szCs w:val="24"/>
        </w:rPr>
        <w:t xml:space="preserve">IIM),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>.</w:t>
      </w: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F34" w:rsidRPr="00D32F34" w:rsidRDefault="00D32F34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32F34" w:rsidRPr="00D32F34" w:rsidRDefault="00D32F34" w:rsidP="00406CE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807" w:rsidRPr="00D32F34" w:rsidRDefault="00BE4807" w:rsidP="00D32F34">
      <w:pPr>
        <w:ind w:left="3600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>Report Prepared by</w:t>
      </w:r>
    </w:p>
    <w:p w:rsidR="00BE4807" w:rsidRPr="00D32F34" w:rsidRDefault="00BE4807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2F34">
        <w:rPr>
          <w:rFonts w:ascii="Times New Roman" w:hAnsi="Times New Roman" w:cs="Times New Roman"/>
          <w:sz w:val="24"/>
          <w:szCs w:val="24"/>
        </w:rPr>
        <w:t>Sambasiva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D3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34">
        <w:rPr>
          <w:rFonts w:ascii="Times New Roman" w:hAnsi="Times New Roman" w:cs="Times New Roman"/>
          <w:sz w:val="24"/>
          <w:szCs w:val="24"/>
        </w:rPr>
        <w:t>Kambala</w:t>
      </w:r>
      <w:proofErr w:type="spellEnd"/>
    </w:p>
    <w:p w:rsidR="00BE4807" w:rsidRPr="00D32F34" w:rsidRDefault="0038056C" w:rsidP="00406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F34">
        <w:rPr>
          <w:rFonts w:ascii="Times New Roman" w:hAnsi="Times New Roman" w:cs="Times New Roman"/>
          <w:sz w:val="24"/>
          <w:szCs w:val="24"/>
        </w:rPr>
        <w:t>M.B.A (</w:t>
      </w:r>
      <w:r w:rsidR="00BE4807" w:rsidRPr="00D32F34">
        <w:rPr>
          <w:rFonts w:ascii="Times New Roman" w:hAnsi="Times New Roman" w:cs="Times New Roman"/>
          <w:sz w:val="24"/>
          <w:szCs w:val="24"/>
        </w:rPr>
        <w:t>Finance</w:t>
      </w:r>
      <w:r w:rsidR="00D32F34" w:rsidRPr="00D32F34">
        <w:rPr>
          <w:rFonts w:ascii="Times New Roman" w:hAnsi="Times New Roman" w:cs="Times New Roman"/>
          <w:sz w:val="24"/>
          <w:szCs w:val="24"/>
        </w:rPr>
        <w:t xml:space="preserve"> &amp; Marketing)</w:t>
      </w:r>
    </w:p>
    <w:p w:rsidR="00555E7B" w:rsidRDefault="00555E7B" w:rsidP="00555E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Systems Engineer,</w:t>
      </w:r>
      <w:r w:rsidR="00ED1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Infosys</w:t>
      </w:r>
    </w:p>
    <w:p w:rsidR="007B35E2" w:rsidRDefault="007B35E2" w:rsidP="007B35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C69" w:rsidRDefault="00895560" w:rsidP="00171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970489">
        <w:rPr>
          <w:rFonts w:ascii="Times New Roman" w:hAnsi="Times New Roman" w:cs="Times New Roman"/>
          <w:sz w:val="24"/>
          <w:szCs w:val="24"/>
        </w:rPr>
        <w:t>June 16</w:t>
      </w:r>
      <w:r w:rsidR="00633DA6">
        <w:rPr>
          <w:rFonts w:ascii="Times New Roman" w:hAnsi="Times New Roman" w:cs="Times New Roman"/>
          <w:sz w:val="24"/>
          <w:szCs w:val="24"/>
        </w:rPr>
        <w:t xml:space="preserve">th, </w:t>
      </w:r>
      <w:r w:rsidR="007B35E2">
        <w:rPr>
          <w:rFonts w:ascii="Times New Roman" w:hAnsi="Times New Roman" w:cs="Times New Roman"/>
          <w:sz w:val="24"/>
          <w:szCs w:val="24"/>
        </w:rPr>
        <w:t>2017</w:t>
      </w: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Declaration</w:t>
      </w:r>
    </w:p>
    <w:p w:rsidR="00114604" w:rsidRDefault="00114604" w:rsidP="00114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4604" w:rsidRDefault="00114604" w:rsidP="00114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4604" w:rsidRDefault="00114604" w:rsidP="00114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4604" w:rsidRDefault="00114604" w:rsidP="001146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4604" w:rsidRDefault="00114604" w:rsidP="00136736">
      <w:pPr>
        <w:rPr>
          <w:rFonts w:ascii="Times New Roman" w:hAnsi="Times New Roman" w:cs="Times New Roman"/>
          <w:sz w:val="28"/>
          <w:szCs w:val="28"/>
        </w:rPr>
      </w:pPr>
    </w:p>
    <w:p w:rsidR="00114604" w:rsidRPr="00136736" w:rsidRDefault="00114604" w:rsidP="00136736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36736">
        <w:rPr>
          <w:rFonts w:ascii="Times New Roman" w:hAnsi="Times New Roman" w:cs="Times New Roman"/>
          <w:sz w:val="24"/>
          <w:szCs w:val="24"/>
        </w:rPr>
        <w:t xml:space="preserve">I hereby declare that the project report entitled “The Influence of daily share price movements of equity stocks of </w:t>
      </w:r>
      <w:proofErr w:type="spellStart"/>
      <w:r w:rsidRPr="00136736">
        <w:rPr>
          <w:rFonts w:ascii="Times New Roman" w:hAnsi="Times New Roman" w:cs="Times New Roman"/>
          <w:sz w:val="24"/>
          <w:szCs w:val="24"/>
        </w:rPr>
        <w:t>Infosys,TCS</w:t>
      </w:r>
      <w:proofErr w:type="spellEnd"/>
      <w:r w:rsidRPr="00136736">
        <w:rPr>
          <w:rFonts w:ascii="Times New Roman" w:hAnsi="Times New Roman" w:cs="Times New Roman"/>
          <w:sz w:val="24"/>
          <w:szCs w:val="24"/>
        </w:rPr>
        <w:t xml:space="preserve">, Tata motors, </w:t>
      </w:r>
      <w:proofErr w:type="spellStart"/>
      <w:r w:rsidRPr="00136736">
        <w:rPr>
          <w:rFonts w:ascii="Times New Roman" w:hAnsi="Times New Roman" w:cs="Times New Roman"/>
          <w:sz w:val="24"/>
          <w:szCs w:val="24"/>
        </w:rPr>
        <w:t>SunPharma</w:t>
      </w:r>
      <w:proofErr w:type="spellEnd"/>
      <w:r w:rsidRPr="00136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736">
        <w:rPr>
          <w:rFonts w:ascii="Times New Roman" w:hAnsi="Times New Roman" w:cs="Times New Roman"/>
          <w:sz w:val="24"/>
          <w:szCs w:val="24"/>
        </w:rPr>
        <w:t>Axisbank</w:t>
      </w:r>
      <w:proofErr w:type="spellEnd"/>
      <w:r w:rsidRPr="00136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6736">
        <w:rPr>
          <w:rFonts w:ascii="Times New Roman" w:hAnsi="Times New Roman" w:cs="Times New Roman"/>
          <w:sz w:val="24"/>
          <w:szCs w:val="24"/>
        </w:rPr>
        <w:t>ICICIbank</w:t>
      </w:r>
      <w:proofErr w:type="spellEnd"/>
      <w:r w:rsidRPr="00136736">
        <w:rPr>
          <w:rFonts w:ascii="Times New Roman" w:hAnsi="Times New Roman" w:cs="Times New Roman"/>
          <w:sz w:val="24"/>
          <w:szCs w:val="24"/>
        </w:rPr>
        <w:t xml:space="preserve">, ITC and </w:t>
      </w:r>
      <w:proofErr w:type="spellStart"/>
      <w:r w:rsidRPr="00136736">
        <w:rPr>
          <w:rFonts w:ascii="Times New Roman" w:hAnsi="Times New Roman" w:cs="Times New Roman"/>
          <w:sz w:val="24"/>
          <w:szCs w:val="24"/>
        </w:rPr>
        <w:t>AsainPaints</w:t>
      </w:r>
      <w:proofErr w:type="spellEnd"/>
      <w:r w:rsidRPr="00136736">
        <w:rPr>
          <w:rFonts w:ascii="Times New Roman" w:hAnsi="Times New Roman" w:cs="Times New Roman"/>
          <w:sz w:val="24"/>
          <w:szCs w:val="24"/>
        </w:rPr>
        <w:t>, on daily movements of</w:t>
      </w:r>
      <w:r w:rsidR="00136736" w:rsidRPr="00136736">
        <w:rPr>
          <w:rFonts w:ascii="Times New Roman" w:hAnsi="Times New Roman" w:cs="Times New Roman"/>
          <w:sz w:val="24"/>
          <w:szCs w:val="24"/>
        </w:rPr>
        <w:t xml:space="preserve">  Bombay Stock Exchange –SENSEX, has been prepared by me during the period May 15</w:t>
      </w:r>
      <w:r w:rsidR="00136736" w:rsidRPr="001367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6736" w:rsidRPr="00136736">
        <w:rPr>
          <w:rFonts w:ascii="Times New Roman" w:hAnsi="Times New Roman" w:cs="Times New Roman"/>
          <w:sz w:val="24"/>
          <w:szCs w:val="24"/>
        </w:rPr>
        <w:t>, 2017 to 10</w:t>
      </w:r>
      <w:r w:rsidR="00136736" w:rsidRPr="001367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36736" w:rsidRPr="00136736">
        <w:rPr>
          <w:rFonts w:ascii="Times New Roman" w:hAnsi="Times New Roman" w:cs="Times New Roman"/>
          <w:sz w:val="24"/>
          <w:szCs w:val="24"/>
        </w:rPr>
        <w:t xml:space="preserve"> June 2017 in partial fulfillment of requirement for the internship of  </w:t>
      </w:r>
      <w:r w:rsidR="00136736" w:rsidRPr="001367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"Data Science and Analytics using R, with Managerial Applications"  </w:t>
      </w:r>
      <w:r w:rsidR="00136736"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Professor </w:t>
      </w:r>
      <w:proofErr w:type="spellStart"/>
      <w:r w:rsidR="00136736"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>Sameer</w:t>
      </w:r>
      <w:proofErr w:type="spellEnd"/>
      <w:r w:rsidR="00136736"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36736"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>Mathur</w:t>
      </w:r>
      <w:proofErr w:type="spellEnd"/>
      <w:r w:rsidR="00136736"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136736" w:rsidRPr="001367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3673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assure that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project report is the result of my own effort and that it has not been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submitted  to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any other university or person for the award of any degree or diploma.</w:t>
      </w: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36736" w:rsidRDefault="00136736" w:rsidP="00136736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Place:</w:t>
      </w:r>
      <w:r w:rsidR="00F53B0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Vijayawada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Sambasiva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Kam</w:t>
      </w:r>
      <w:r w:rsidR="00BC0353">
        <w:rPr>
          <w:rFonts w:ascii="Times New Roman" w:hAnsi="Times New Roman" w:cs="Times New Roman"/>
          <w:bCs/>
          <w:color w:val="000000"/>
          <w:sz w:val="24"/>
          <w:szCs w:val="24"/>
        </w:rPr>
        <w:t>bala</w:t>
      </w:r>
      <w:proofErr w:type="spellEnd"/>
    </w:p>
    <w:p w:rsidR="00136736" w:rsidRPr="00136736" w:rsidRDefault="00136736" w:rsidP="0013673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Date: June 1</w:t>
      </w:r>
      <w:r w:rsidR="00482EB4"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 w:rsidRPr="00136736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1668D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2017</w:t>
      </w:r>
    </w:p>
    <w:p w:rsidR="00114604" w:rsidRPr="00114604" w:rsidRDefault="00114604" w:rsidP="00114604">
      <w:pPr>
        <w:ind w:left="2880" w:firstLine="720"/>
        <w:rPr>
          <w:rFonts w:ascii="Times New Roman" w:hAnsi="Times New Roman" w:cs="Times New Roman"/>
          <w:sz w:val="28"/>
          <w:szCs w:val="28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94040E" w:rsidRDefault="0094040E" w:rsidP="0094040E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Acknowledgement</w:t>
      </w:r>
    </w:p>
    <w:p w:rsidR="0094040E" w:rsidRDefault="0094040E" w:rsidP="009404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94040E" w:rsidRDefault="0094040E" w:rsidP="009404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94040E" w:rsidRDefault="0094040E" w:rsidP="009404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94040E" w:rsidRDefault="0094040E" w:rsidP="009404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94040E" w:rsidRDefault="0094040E" w:rsidP="0094040E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:rsidR="00114604" w:rsidRDefault="0094040E" w:rsidP="00D04E38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4040E">
        <w:rPr>
          <w:rFonts w:ascii="Times New Roman" w:hAnsi="Times New Roman" w:cs="Times New Roman"/>
          <w:sz w:val="24"/>
          <w:szCs w:val="24"/>
        </w:rPr>
        <w:t>It is my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F7335">
        <w:rPr>
          <w:rFonts w:ascii="Times New Roman" w:hAnsi="Times New Roman" w:cs="Times New Roman"/>
          <w:sz w:val="24"/>
          <w:szCs w:val="24"/>
        </w:rPr>
        <w:t xml:space="preserve">pleasure to </w:t>
      </w:r>
      <w:r w:rsidR="00625AE4">
        <w:rPr>
          <w:rFonts w:ascii="Times New Roman" w:hAnsi="Times New Roman" w:cs="Times New Roman"/>
          <w:sz w:val="24"/>
          <w:szCs w:val="24"/>
        </w:rPr>
        <w:t>convey heartiest</w:t>
      </w:r>
      <w:r>
        <w:rPr>
          <w:rFonts w:ascii="Times New Roman" w:hAnsi="Times New Roman" w:cs="Times New Roman"/>
          <w:sz w:val="24"/>
          <w:szCs w:val="24"/>
        </w:rPr>
        <w:t xml:space="preserve"> regards to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Marketing professor, Indian Institute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IIM)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giving me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opportunity </w:t>
      </w:r>
      <w:r w:rsidR="00DF733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67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"Data Science and Analytics using R, with Managerial Applications"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guiding me in successfully completing this </w:t>
      </w:r>
      <w:r w:rsidR="00DF7335">
        <w:rPr>
          <w:rFonts w:ascii="Times New Roman" w:hAnsi="Times New Roman" w:cs="Times New Roman"/>
          <w:bCs/>
          <w:color w:val="000000"/>
          <w:sz w:val="24"/>
          <w:szCs w:val="24"/>
        </w:rPr>
        <w:t>internship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F73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final project with in time.</w:t>
      </w: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B3E03" w:rsidRDefault="00EB3E03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B3E03" w:rsidRDefault="00EB3E03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B3E03" w:rsidRDefault="00EB3E03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5060E" w:rsidRDefault="0045060E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Place: Vijayawada,</w:t>
      </w:r>
    </w:p>
    <w:p w:rsidR="00E10CA8" w:rsidRDefault="00E10CA8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Date: June 1</w:t>
      </w:r>
      <w:r w:rsidR="00625AE4"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  <w:r w:rsidRPr="00E10CA8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2017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Sambasiva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Kambala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350856" w:rsidRDefault="00350856" w:rsidP="0094040E">
      <w:pPr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387A" w:rsidRPr="00D7387A" w:rsidRDefault="00D7387A" w:rsidP="00D738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8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Influence of daily share price movements of equity stocks of </w:t>
      </w:r>
      <w:proofErr w:type="spellStart"/>
      <w:r w:rsidRPr="00D7387A">
        <w:rPr>
          <w:rFonts w:ascii="Times New Roman" w:hAnsi="Times New Roman" w:cs="Times New Roman"/>
          <w:b/>
          <w:sz w:val="24"/>
          <w:szCs w:val="24"/>
        </w:rPr>
        <w:t>Infosys,TCS</w:t>
      </w:r>
      <w:proofErr w:type="spellEnd"/>
      <w:r w:rsidRPr="00D7387A">
        <w:rPr>
          <w:rFonts w:ascii="Times New Roman" w:hAnsi="Times New Roman" w:cs="Times New Roman"/>
          <w:b/>
          <w:sz w:val="24"/>
          <w:szCs w:val="24"/>
        </w:rPr>
        <w:t xml:space="preserve">, Tata motors, </w:t>
      </w:r>
      <w:proofErr w:type="spellStart"/>
      <w:r w:rsidRPr="00D7387A">
        <w:rPr>
          <w:rFonts w:ascii="Times New Roman" w:hAnsi="Times New Roman" w:cs="Times New Roman"/>
          <w:b/>
          <w:sz w:val="24"/>
          <w:szCs w:val="24"/>
        </w:rPr>
        <w:t>SunPharma</w:t>
      </w:r>
      <w:proofErr w:type="spellEnd"/>
      <w:r w:rsidRPr="00D738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7387A">
        <w:rPr>
          <w:rFonts w:ascii="Times New Roman" w:hAnsi="Times New Roman" w:cs="Times New Roman"/>
          <w:b/>
          <w:sz w:val="24"/>
          <w:szCs w:val="24"/>
        </w:rPr>
        <w:t>Axisbank</w:t>
      </w:r>
      <w:proofErr w:type="spellEnd"/>
      <w:r w:rsidRPr="00D738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7387A">
        <w:rPr>
          <w:rFonts w:ascii="Times New Roman" w:hAnsi="Times New Roman" w:cs="Times New Roman"/>
          <w:b/>
          <w:sz w:val="24"/>
          <w:szCs w:val="24"/>
        </w:rPr>
        <w:t>ICICIbank</w:t>
      </w:r>
      <w:proofErr w:type="spellEnd"/>
      <w:r w:rsidRPr="00D7387A">
        <w:rPr>
          <w:rFonts w:ascii="Times New Roman" w:hAnsi="Times New Roman" w:cs="Times New Roman"/>
          <w:b/>
          <w:sz w:val="24"/>
          <w:szCs w:val="24"/>
        </w:rPr>
        <w:t xml:space="preserve">, ITC and </w:t>
      </w:r>
      <w:proofErr w:type="spellStart"/>
      <w:r w:rsidRPr="00D7387A">
        <w:rPr>
          <w:rFonts w:ascii="Times New Roman" w:hAnsi="Times New Roman" w:cs="Times New Roman"/>
          <w:b/>
          <w:sz w:val="24"/>
          <w:szCs w:val="24"/>
        </w:rPr>
        <w:t>AsainPaints</w:t>
      </w:r>
      <w:proofErr w:type="spellEnd"/>
      <w:r w:rsidRPr="00D7387A">
        <w:rPr>
          <w:rFonts w:ascii="Times New Roman" w:hAnsi="Times New Roman" w:cs="Times New Roman"/>
          <w:b/>
          <w:sz w:val="24"/>
          <w:szCs w:val="24"/>
        </w:rPr>
        <w:t>, on daily movements of  Bombay Stock Exchange -SENSEX.</w:t>
      </w:r>
    </w:p>
    <w:p w:rsidR="00D7387A" w:rsidRPr="002A0763" w:rsidRDefault="00D7387A" w:rsidP="00D7387A">
      <w:pPr>
        <w:spacing w:before="240" w:after="0" w:line="360" w:lineRule="auto"/>
        <w:rPr>
          <w:rFonts w:ascii="Times New Roman" w:hAnsi="Times New Roman"/>
          <w:b/>
          <w:sz w:val="24"/>
          <w:szCs w:val="24"/>
        </w:rPr>
      </w:pPr>
    </w:p>
    <w:p w:rsidR="00D7387A" w:rsidRPr="00D7387A" w:rsidRDefault="00D7387A" w:rsidP="00D738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b/>
          <w:sz w:val="24"/>
          <w:szCs w:val="24"/>
        </w:rPr>
      </w:pPr>
      <w:r w:rsidRPr="00D7387A">
        <w:rPr>
          <w:rFonts w:ascii="Times New Roman" w:hAnsi="Times New Roman"/>
          <w:b/>
          <w:sz w:val="24"/>
          <w:szCs w:val="24"/>
        </w:rPr>
        <w:t>Introduction</w:t>
      </w:r>
    </w:p>
    <w:p w:rsidR="00047395" w:rsidRDefault="00D7387A" w:rsidP="00D7387A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605A">
        <w:rPr>
          <w:rFonts w:ascii="Times New Roman" w:hAnsi="Times New Roman" w:cs="Times New Roman"/>
          <w:sz w:val="24"/>
          <w:szCs w:val="24"/>
        </w:rPr>
        <w:t xml:space="preserve">The </w:t>
      </w:r>
      <w:r w:rsidRPr="004B605A">
        <w:rPr>
          <w:rFonts w:ascii="Times New Roman" w:hAnsi="Times New Roman" w:cs="Times New Roman"/>
          <w:bCs/>
          <w:sz w:val="24"/>
          <w:szCs w:val="24"/>
        </w:rPr>
        <w:t>S&amp;P BSE SENSEX</w:t>
      </w:r>
      <w:r w:rsidRPr="004B605A">
        <w:rPr>
          <w:rFonts w:ascii="Times New Roman" w:hAnsi="Times New Roman" w:cs="Times New Roman"/>
          <w:sz w:val="24"/>
          <w:szCs w:val="24"/>
        </w:rPr>
        <w:t xml:space="preserve"> (S&amp;P Bombay Stock Exchange Sensitive Index), also-called the </w:t>
      </w:r>
      <w:r w:rsidRPr="004B605A">
        <w:rPr>
          <w:rFonts w:ascii="Times New Roman" w:hAnsi="Times New Roman" w:cs="Times New Roman"/>
          <w:bCs/>
          <w:sz w:val="24"/>
          <w:szCs w:val="24"/>
        </w:rPr>
        <w:t>BSE 30</w:t>
      </w:r>
      <w:r w:rsidRPr="004B605A">
        <w:rPr>
          <w:rFonts w:ascii="Times New Roman" w:hAnsi="Times New Roman" w:cs="Times New Roman"/>
          <w:sz w:val="24"/>
          <w:szCs w:val="24"/>
        </w:rPr>
        <w:t xml:space="preserve"> or simply the </w:t>
      </w:r>
      <w:r w:rsidRPr="004B605A">
        <w:rPr>
          <w:rFonts w:ascii="Times New Roman" w:hAnsi="Times New Roman" w:cs="Times New Roman"/>
          <w:bCs/>
          <w:sz w:val="24"/>
          <w:szCs w:val="24"/>
        </w:rPr>
        <w:t>SENSEX</w:t>
      </w:r>
      <w:r w:rsidRPr="004B605A">
        <w:rPr>
          <w:rFonts w:ascii="Times New Roman" w:hAnsi="Times New Roman" w:cs="Times New Roman"/>
          <w:sz w:val="24"/>
          <w:szCs w:val="24"/>
        </w:rPr>
        <w:t xml:space="preserve">, is a </w:t>
      </w:r>
      <w:hyperlink r:id="rId5" w:tooltip="Capitalization-weighted index" w:history="1">
        <w:r w:rsidRPr="004B60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free-float market-weighted</w:t>
        </w:r>
      </w:hyperlink>
      <w:r w:rsidRPr="004B605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Stock market index" w:history="1">
        <w:r w:rsidRPr="004B60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stock market index</w:t>
        </w:r>
      </w:hyperlink>
      <w:r w:rsidRPr="004B605A">
        <w:rPr>
          <w:rFonts w:ascii="Times New Roman" w:hAnsi="Times New Roman" w:cs="Times New Roman"/>
          <w:sz w:val="24"/>
          <w:szCs w:val="24"/>
        </w:rPr>
        <w:t xml:space="preserve"> of 30 well-established and financially sound companies listed on </w:t>
      </w:r>
      <w:hyperlink r:id="rId7" w:tooltip="Bombay Stock Exchange" w:history="1">
        <w:r w:rsidRPr="004B60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Bombay Stock Exchange</w:t>
        </w:r>
      </w:hyperlink>
      <w:r w:rsidRPr="004B605A">
        <w:rPr>
          <w:rFonts w:ascii="Times New Roman" w:hAnsi="Times New Roman" w:cs="Times New Roman"/>
          <w:sz w:val="24"/>
          <w:szCs w:val="24"/>
        </w:rPr>
        <w:t xml:space="preserve">. The 30 component companies which are some of the largest and most actively traded </w:t>
      </w:r>
      <w:proofErr w:type="gramStart"/>
      <w:r w:rsidRPr="004B605A">
        <w:rPr>
          <w:rFonts w:ascii="Times New Roman" w:hAnsi="Times New Roman" w:cs="Times New Roman"/>
          <w:sz w:val="24"/>
          <w:szCs w:val="24"/>
        </w:rPr>
        <w:t>stocks,</w:t>
      </w:r>
      <w:proofErr w:type="gramEnd"/>
      <w:r w:rsidRPr="004B605A">
        <w:rPr>
          <w:rFonts w:ascii="Times New Roman" w:hAnsi="Times New Roman" w:cs="Times New Roman"/>
          <w:sz w:val="24"/>
          <w:szCs w:val="24"/>
        </w:rPr>
        <w:t xml:space="preserve"> are representative of various </w:t>
      </w:r>
      <w:hyperlink r:id="rId8" w:tooltip="Industry" w:history="1">
        <w:r w:rsidRPr="004B60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industrial sectors</w:t>
        </w:r>
      </w:hyperlink>
      <w:r w:rsidRPr="004B605A">
        <w:rPr>
          <w:rFonts w:ascii="Times New Roman" w:hAnsi="Times New Roman" w:cs="Times New Roman"/>
          <w:sz w:val="24"/>
          <w:szCs w:val="24"/>
        </w:rPr>
        <w:t xml:space="preserve"> of the Indian economy. Published since 1 January 1986, the S&amp;P BSE SENSEX is regarded as the pulse of the domestic stock markets in India. The base value of the S&amp;P BSE SENSEX is taken as </w:t>
      </w:r>
      <w:r w:rsidRPr="004B605A">
        <w:rPr>
          <w:rFonts w:ascii="Times New Roman" w:hAnsi="Times New Roman" w:cs="Times New Roman"/>
          <w:i/>
          <w:iCs/>
          <w:sz w:val="24"/>
          <w:szCs w:val="24"/>
        </w:rPr>
        <w:t>100</w:t>
      </w:r>
      <w:r w:rsidRPr="004B605A">
        <w:rPr>
          <w:rFonts w:ascii="Times New Roman" w:hAnsi="Times New Roman" w:cs="Times New Roman"/>
          <w:sz w:val="24"/>
          <w:szCs w:val="24"/>
        </w:rPr>
        <w:t xml:space="preserve"> on 1 April 1979, and its base year as </w:t>
      </w:r>
      <w:r w:rsidRPr="004B605A">
        <w:rPr>
          <w:rFonts w:ascii="Times New Roman" w:hAnsi="Times New Roman" w:cs="Times New Roman"/>
          <w:i/>
          <w:iCs/>
          <w:sz w:val="24"/>
          <w:szCs w:val="24"/>
        </w:rPr>
        <w:t>1978–79</w:t>
      </w:r>
      <w:r w:rsidRPr="004B605A">
        <w:rPr>
          <w:rFonts w:ascii="Times New Roman" w:hAnsi="Times New Roman" w:cs="Times New Roman"/>
          <w:sz w:val="24"/>
          <w:szCs w:val="24"/>
        </w:rPr>
        <w:t xml:space="preserve">. On 25 July 2001 BSE launched </w:t>
      </w:r>
      <w:r w:rsidRPr="004B605A">
        <w:rPr>
          <w:rFonts w:ascii="Times New Roman" w:hAnsi="Times New Roman" w:cs="Times New Roman"/>
          <w:bCs/>
          <w:sz w:val="24"/>
          <w:szCs w:val="24"/>
        </w:rPr>
        <w:t>DOLLEX-30</w:t>
      </w:r>
      <w:r w:rsidRPr="004B605A">
        <w:rPr>
          <w:rFonts w:ascii="Times New Roman" w:hAnsi="Times New Roman" w:cs="Times New Roman"/>
          <w:sz w:val="24"/>
          <w:szCs w:val="24"/>
        </w:rPr>
        <w:t xml:space="preserve">, a dollar-linked version of S&amp;P BSE SENSEX. As of 21 April 2011, the market </w:t>
      </w:r>
      <w:r w:rsidR="004B605A" w:rsidRPr="004B605A">
        <w:rPr>
          <w:rFonts w:ascii="Times New Roman" w:hAnsi="Times New Roman" w:cs="Times New Roman"/>
          <w:sz w:val="24"/>
          <w:szCs w:val="24"/>
        </w:rPr>
        <w:t>capitalization</w:t>
      </w:r>
      <w:r w:rsidRPr="004B605A">
        <w:rPr>
          <w:rFonts w:ascii="Times New Roman" w:hAnsi="Times New Roman" w:cs="Times New Roman"/>
          <w:sz w:val="24"/>
          <w:szCs w:val="24"/>
        </w:rPr>
        <w:t xml:space="preserve"> of S&amp;P BSE SENSEX was about </w:t>
      </w:r>
      <w:r w:rsidRPr="004B605A">
        <w:rPr>
          <w:rStyle w:val="nowrap"/>
          <w:rFonts w:ascii="Times New Roman" w:hAnsi="Calibri" w:cs="Times New Roman"/>
          <w:sz w:val="24"/>
          <w:szCs w:val="24"/>
        </w:rPr>
        <w:t>₹</w:t>
      </w:r>
      <w:r w:rsidRPr="004B605A">
        <w:rPr>
          <w:rStyle w:val="nowrap"/>
          <w:rFonts w:ascii="Times New Roman" w:hAnsi="Times New Roman" w:cs="Times New Roman"/>
          <w:sz w:val="24"/>
          <w:szCs w:val="24"/>
        </w:rPr>
        <w:t>29,733 billion</w:t>
      </w:r>
      <w:r w:rsidRPr="004B605A">
        <w:rPr>
          <w:rFonts w:ascii="Times New Roman" w:hAnsi="Times New Roman" w:cs="Times New Roman"/>
          <w:sz w:val="24"/>
          <w:szCs w:val="24"/>
        </w:rPr>
        <w:t xml:space="preserve"> (US$462 billion) (47.68% of market </w:t>
      </w:r>
      <w:r w:rsidR="004B605A" w:rsidRPr="004B605A">
        <w:rPr>
          <w:rFonts w:ascii="Times New Roman" w:hAnsi="Times New Roman" w:cs="Times New Roman"/>
          <w:sz w:val="24"/>
          <w:szCs w:val="24"/>
        </w:rPr>
        <w:t>capitalization</w:t>
      </w:r>
      <w:r w:rsidRPr="004B605A">
        <w:rPr>
          <w:rFonts w:ascii="Times New Roman" w:hAnsi="Times New Roman" w:cs="Times New Roman"/>
          <w:sz w:val="24"/>
          <w:szCs w:val="24"/>
        </w:rPr>
        <w:t xml:space="preserve"> of BSE), while its free-float market </w:t>
      </w:r>
      <w:r w:rsidR="004B605A" w:rsidRPr="004B605A">
        <w:rPr>
          <w:rFonts w:ascii="Times New Roman" w:hAnsi="Times New Roman" w:cs="Times New Roman"/>
          <w:sz w:val="24"/>
          <w:szCs w:val="24"/>
        </w:rPr>
        <w:t>capitalization</w:t>
      </w:r>
      <w:r w:rsidRPr="004B605A">
        <w:rPr>
          <w:rFonts w:ascii="Times New Roman" w:hAnsi="Times New Roman" w:cs="Times New Roman"/>
          <w:sz w:val="24"/>
          <w:szCs w:val="24"/>
        </w:rPr>
        <w:t xml:space="preserve"> was </w:t>
      </w:r>
      <w:r w:rsidRPr="004B605A">
        <w:rPr>
          <w:rStyle w:val="nowrap"/>
          <w:rFonts w:ascii="Times New Roman" w:hAnsi="Calibri" w:cs="Times New Roman"/>
          <w:sz w:val="24"/>
          <w:szCs w:val="24"/>
        </w:rPr>
        <w:t>₹</w:t>
      </w:r>
      <w:r w:rsidRPr="004B605A">
        <w:rPr>
          <w:rStyle w:val="nowrap"/>
          <w:rFonts w:ascii="Times New Roman" w:hAnsi="Times New Roman" w:cs="Times New Roman"/>
          <w:sz w:val="24"/>
          <w:szCs w:val="24"/>
        </w:rPr>
        <w:t>15,690 billion</w:t>
      </w:r>
      <w:r w:rsidRPr="004B605A">
        <w:rPr>
          <w:rFonts w:ascii="Times New Roman" w:hAnsi="Times New Roman" w:cs="Times New Roman"/>
          <w:sz w:val="24"/>
          <w:szCs w:val="24"/>
        </w:rPr>
        <w:t xml:space="preserve"> </w:t>
      </w:r>
      <w:r w:rsidR="00F25086">
        <w:rPr>
          <w:rFonts w:ascii="Times New Roman" w:hAnsi="Times New Roman" w:cs="Times New Roman"/>
          <w:sz w:val="24"/>
          <w:szCs w:val="24"/>
        </w:rPr>
        <w:t>(US$244 billion).</w:t>
      </w:r>
    </w:p>
    <w:p w:rsidR="009C292C" w:rsidRDefault="00047395" w:rsidP="000473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C292C">
        <w:rPr>
          <w:rFonts w:ascii="Times New Roman" w:hAnsi="Times New Roman" w:cs="Times New Roman"/>
          <w:sz w:val="24"/>
          <w:szCs w:val="24"/>
          <w:u w:val="single"/>
        </w:rPr>
        <w:t>List of 30 BSE index stocks:</w:t>
      </w:r>
    </w:p>
    <w:p w:rsidR="009C292C" w:rsidRDefault="009C292C" w:rsidP="009C29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C29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8828" cy="26376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40" cy="26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2C" w:rsidRPr="009C292C" w:rsidRDefault="009C292C" w:rsidP="000473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7387A" w:rsidRPr="004B605A" w:rsidRDefault="00F25086" w:rsidP="00D7387A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87A" w:rsidRPr="00F66602" w:rsidRDefault="00D7387A" w:rsidP="00D7387A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2A076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Overview of the Study</w:t>
      </w:r>
    </w:p>
    <w:p w:rsidR="00B92CD6" w:rsidRDefault="00025C48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Our field of study concerns with the impact of daily share price movements of eight major companies in list of BSE-SENSEX index on the SENSEX movement. To study this impact, we have picked up eight major stocks from different Industries namely IT services, Banking, </w:t>
      </w:r>
      <w:r w:rsidR="00A269C6">
        <w:rPr>
          <w:rFonts w:ascii="Times New Roman" w:hAnsi="Times New Roman"/>
          <w:sz w:val="24"/>
          <w:szCs w:val="24"/>
        </w:rPr>
        <w:t>Pharmacy</w:t>
      </w:r>
      <w:r>
        <w:rPr>
          <w:rFonts w:ascii="Times New Roman" w:hAnsi="Times New Roman"/>
          <w:sz w:val="24"/>
          <w:szCs w:val="24"/>
        </w:rPr>
        <w:t xml:space="preserve">, FMCG, Automobile </w:t>
      </w:r>
      <w:proofErr w:type="gramStart"/>
      <w:r>
        <w:rPr>
          <w:rFonts w:ascii="Times New Roman" w:hAnsi="Times New Roman"/>
          <w:sz w:val="24"/>
          <w:szCs w:val="24"/>
        </w:rPr>
        <w:t>and  Fur</w:t>
      </w:r>
      <w:r w:rsidR="00CE3250">
        <w:rPr>
          <w:rFonts w:ascii="Times New Roman" w:hAnsi="Times New Roman"/>
          <w:sz w:val="24"/>
          <w:szCs w:val="24"/>
        </w:rPr>
        <w:t>niture</w:t>
      </w:r>
      <w:proofErr w:type="gramEnd"/>
      <w:r w:rsidR="00CE3250">
        <w:rPr>
          <w:rFonts w:ascii="Times New Roman" w:hAnsi="Times New Roman"/>
          <w:sz w:val="24"/>
          <w:szCs w:val="24"/>
        </w:rPr>
        <w:t>, Furnishing and paints. We</w:t>
      </w:r>
      <w:r>
        <w:rPr>
          <w:rFonts w:ascii="Times New Roman" w:hAnsi="Times New Roman"/>
          <w:sz w:val="24"/>
          <w:szCs w:val="24"/>
        </w:rPr>
        <w:t xml:space="preserve"> want to study the movement of these prices bring how  much change in the whole index and fit a model using regression </w:t>
      </w:r>
      <w:r w:rsidR="00B92CD6">
        <w:rPr>
          <w:rFonts w:ascii="Times New Roman" w:hAnsi="Times New Roman"/>
          <w:sz w:val="24"/>
          <w:szCs w:val="24"/>
        </w:rPr>
        <w:t xml:space="preserve"> techniques </w:t>
      </w:r>
      <w:r>
        <w:rPr>
          <w:rFonts w:ascii="Times New Roman" w:hAnsi="Times New Roman"/>
          <w:sz w:val="24"/>
          <w:szCs w:val="24"/>
        </w:rPr>
        <w:t>to predict the future</w:t>
      </w:r>
      <w:r w:rsidR="00B92CD6">
        <w:rPr>
          <w:rFonts w:ascii="Times New Roman" w:hAnsi="Times New Roman"/>
          <w:sz w:val="24"/>
          <w:szCs w:val="24"/>
        </w:rPr>
        <w:t xml:space="preserve"> behavior </w:t>
      </w:r>
      <w:r w:rsidR="00CE3250">
        <w:rPr>
          <w:rFonts w:ascii="Times New Roman" w:hAnsi="Times New Roman"/>
          <w:sz w:val="24"/>
          <w:szCs w:val="24"/>
        </w:rPr>
        <w:t xml:space="preserve">of the </w:t>
      </w:r>
      <w:proofErr w:type="spellStart"/>
      <w:r w:rsidR="00CE3250">
        <w:rPr>
          <w:rFonts w:ascii="Times New Roman" w:hAnsi="Times New Roman"/>
          <w:sz w:val="24"/>
          <w:szCs w:val="24"/>
        </w:rPr>
        <w:t>S</w:t>
      </w:r>
      <w:r w:rsidR="00B92CD6">
        <w:rPr>
          <w:rFonts w:ascii="Times New Roman" w:hAnsi="Times New Roman"/>
          <w:sz w:val="24"/>
          <w:szCs w:val="24"/>
        </w:rPr>
        <w:t>ensex</w:t>
      </w:r>
      <w:proofErr w:type="spellEnd"/>
      <w:r w:rsidR="00B92CD6">
        <w:rPr>
          <w:rFonts w:ascii="Times New Roman" w:hAnsi="Times New Roman"/>
          <w:sz w:val="24"/>
          <w:szCs w:val="24"/>
        </w:rPr>
        <w:t>.</w:t>
      </w:r>
    </w:p>
    <w:p w:rsidR="00025C48" w:rsidRDefault="00B92CD6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 this study, we collected </w:t>
      </w:r>
      <w:proofErr w:type="gramStart"/>
      <w:r>
        <w:rPr>
          <w:rFonts w:ascii="Times New Roman" w:hAnsi="Times New Roman"/>
          <w:sz w:val="24"/>
          <w:szCs w:val="24"/>
        </w:rPr>
        <w:t>the  three</w:t>
      </w:r>
      <w:proofErr w:type="gramEnd"/>
      <w:r>
        <w:rPr>
          <w:rFonts w:ascii="Times New Roman" w:hAnsi="Times New Roman"/>
          <w:sz w:val="24"/>
          <w:szCs w:val="24"/>
        </w:rPr>
        <w:t xml:space="preserve"> years of data from 1</w:t>
      </w:r>
      <w:r w:rsidRPr="00B92CD6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January,2014 to 1</w:t>
      </w:r>
      <w:r w:rsidRPr="00B92CD6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January 2017.This three  data is daily closing stock prices data on each day. In the same way, we have collected the daily closing </w:t>
      </w:r>
      <w:r w:rsidR="00284A9E">
        <w:rPr>
          <w:rFonts w:ascii="Times New Roman" w:hAnsi="Times New Roman"/>
          <w:sz w:val="24"/>
          <w:szCs w:val="24"/>
        </w:rPr>
        <w:t xml:space="preserve">points of </w:t>
      </w:r>
      <w:proofErr w:type="spellStart"/>
      <w:r w:rsidR="00284A9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ensex</w:t>
      </w:r>
      <w:proofErr w:type="spellEnd"/>
      <w:r>
        <w:rPr>
          <w:rFonts w:ascii="Times New Roman" w:hAnsi="Times New Roman"/>
          <w:sz w:val="24"/>
          <w:szCs w:val="24"/>
        </w:rPr>
        <w:t xml:space="preserve"> on all trading days</w:t>
      </w:r>
      <w:r w:rsidR="00284A9E">
        <w:rPr>
          <w:rFonts w:ascii="Times New Roman" w:hAnsi="Times New Roman"/>
          <w:sz w:val="24"/>
          <w:szCs w:val="24"/>
        </w:rPr>
        <w:t xml:space="preserve"> for these three years</w:t>
      </w:r>
      <w:r>
        <w:rPr>
          <w:rFonts w:ascii="Times New Roman" w:hAnsi="Times New Roman"/>
          <w:sz w:val="24"/>
          <w:szCs w:val="24"/>
        </w:rPr>
        <w:t>.</w:t>
      </w:r>
      <w:r w:rsidR="00284A9E">
        <w:rPr>
          <w:rFonts w:ascii="Times New Roman" w:hAnsi="Times New Roman"/>
          <w:sz w:val="24"/>
          <w:szCs w:val="24"/>
        </w:rPr>
        <w:t xml:space="preserve"> This data set consists </w:t>
      </w:r>
      <w:r w:rsidR="00A269C6">
        <w:rPr>
          <w:rFonts w:ascii="Times New Roman" w:hAnsi="Times New Roman"/>
          <w:sz w:val="24"/>
          <w:szCs w:val="24"/>
        </w:rPr>
        <w:t>of 738</w:t>
      </w:r>
      <w:r w:rsidR="00D01C9E">
        <w:rPr>
          <w:rFonts w:ascii="Times New Roman" w:hAnsi="Times New Roman"/>
          <w:sz w:val="24"/>
          <w:szCs w:val="24"/>
        </w:rPr>
        <w:t xml:space="preserve"> records and 10 columns.</w:t>
      </w:r>
    </w:p>
    <w:p w:rsidR="00DB75A1" w:rsidRDefault="00A269C6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major eight stocks </w:t>
      </w:r>
      <w:r w:rsidR="00CE3250">
        <w:rPr>
          <w:rFonts w:ascii="Times New Roman" w:hAnsi="Times New Roman"/>
          <w:sz w:val="24"/>
          <w:szCs w:val="24"/>
        </w:rPr>
        <w:t xml:space="preserve">are </w:t>
      </w:r>
      <w:r w:rsidR="0035058A">
        <w:rPr>
          <w:rFonts w:ascii="Times New Roman" w:hAnsi="Times New Roman"/>
          <w:sz w:val="24"/>
          <w:szCs w:val="24"/>
        </w:rPr>
        <w:t xml:space="preserve"> </w:t>
      </w:r>
    </w:p>
    <w:p w:rsidR="00CE3250" w:rsidRPr="00DB75A1" w:rsidRDefault="00CE3250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lastRenderedPageBreak/>
        <w:t>Infosys –INFOSYS.BO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TCS –TCS.BO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Tata motors-TATA MOTORS.BO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SunPharma-SUNPHARMA.BO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Axisbank-AXISBANK.BO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ICICIbank-ICICIBANK.BO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ITC-ITC.BO</w:t>
      </w:r>
    </w:p>
    <w:p w:rsidR="00CE3250" w:rsidRDefault="00CE3250" w:rsidP="00D7387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AsainPaints-ASIANPAINTS.BO</w:t>
      </w:r>
    </w:p>
    <w:p w:rsidR="00CE3250" w:rsidRPr="00CE3250" w:rsidRDefault="00CE3250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labeled as SENSEX.BO</w:t>
      </w:r>
    </w:p>
    <w:p w:rsidR="00D7387A" w:rsidRDefault="00D7387A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F66C5D" w:rsidRDefault="00D7387A" w:rsidP="00D7387A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2A0763">
        <w:rPr>
          <w:rFonts w:ascii="Times New Roman" w:hAnsi="Times New Roman"/>
          <w:b/>
          <w:sz w:val="24"/>
          <w:szCs w:val="24"/>
        </w:rPr>
        <w:t xml:space="preserve">. An empirical field study </w:t>
      </w:r>
    </w:p>
    <w:p w:rsidR="00D7387A" w:rsidRDefault="00D7387A" w:rsidP="00D7387A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3.1 Overview</w:t>
      </w:r>
    </w:p>
    <w:p w:rsidR="00F66C5D" w:rsidRPr="00F66C5D" w:rsidRDefault="00F66C5D" w:rsidP="00D7387A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main objective of this study is to find out the influence of the daily price movements of the eights stock price movements on the entire index which</w:t>
      </w:r>
      <w:r w:rsidR="00321DA9">
        <w:rPr>
          <w:rFonts w:ascii="Times New Roman" w:hAnsi="Times New Roman"/>
          <w:sz w:val="24"/>
          <w:szCs w:val="24"/>
        </w:rPr>
        <w:t xml:space="preserve"> is constructed based on the weighted averages of </w:t>
      </w:r>
      <w:r>
        <w:rPr>
          <w:rFonts w:ascii="Times New Roman" w:hAnsi="Times New Roman"/>
          <w:sz w:val="24"/>
          <w:szCs w:val="24"/>
        </w:rPr>
        <w:t>30 Indian companies.</w:t>
      </w:r>
      <w:r w:rsidR="000D084C">
        <w:rPr>
          <w:rFonts w:ascii="Times New Roman" w:hAnsi="Times New Roman"/>
          <w:sz w:val="24"/>
          <w:szCs w:val="24"/>
        </w:rPr>
        <w:t xml:space="preserve"> But to make things simple, we have confined our study to three independent va</w:t>
      </w:r>
      <w:r w:rsidR="007B481F">
        <w:rPr>
          <w:rFonts w:ascii="Times New Roman" w:hAnsi="Times New Roman"/>
          <w:sz w:val="24"/>
          <w:szCs w:val="24"/>
        </w:rPr>
        <w:t xml:space="preserve">riables </w:t>
      </w:r>
      <w:r w:rsidR="000D084C">
        <w:rPr>
          <w:rFonts w:ascii="Times New Roman" w:hAnsi="Times New Roman"/>
          <w:sz w:val="24"/>
          <w:szCs w:val="24"/>
        </w:rPr>
        <w:t>which are TCS.BO</w:t>
      </w:r>
      <w:proofErr w:type="gramStart"/>
      <w:r w:rsidR="000D084C">
        <w:rPr>
          <w:rFonts w:ascii="Times New Roman" w:hAnsi="Times New Roman"/>
          <w:sz w:val="24"/>
          <w:szCs w:val="24"/>
        </w:rPr>
        <w:t>,ICICIBANK.BO</w:t>
      </w:r>
      <w:proofErr w:type="gramEnd"/>
      <w:r w:rsidR="000D084C">
        <w:rPr>
          <w:rFonts w:ascii="Times New Roman" w:hAnsi="Times New Roman"/>
          <w:sz w:val="24"/>
          <w:szCs w:val="24"/>
        </w:rPr>
        <w:t xml:space="preserve"> and ASIANPAINTS.BO</w:t>
      </w:r>
    </w:p>
    <w:p w:rsidR="00D7387A" w:rsidRPr="00CC0ED8" w:rsidRDefault="00D7387A" w:rsidP="00D738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7387A" w:rsidRPr="00E05856" w:rsidRDefault="00D7387A" w:rsidP="00D7387A">
      <w:pPr>
        <w:spacing w:line="480" w:lineRule="auto"/>
        <w:ind w:left="720"/>
        <w:jc w:val="both"/>
        <w:rPr>
          <w:rFonts w:ascii="Times New Roman" w:hAnsi="Times New Roman"/>
          <w:i/>
          <w:iCs/>
          <w:sz w:val="24"/>
          <w:szCs w:val="24"/>
        </w:rPr>
      </w:pPr>
      <w:r w:rsidRPr="00CC0ED8">
        <w:rPr>
          <w:rFonts w:ascii="Times New Roman" w:hAnsi="Times New Roman"/>
          <w:b/>
          <w:sz w:val="24"/>
          <w:szCs w:val="24"/>
        </w:rPr>
        <w:t>Hypothesis</w:t>
      </w:r>
      <w:r w:rsidRPr="00CC0ED8">
        <w:rPr>
          <w:rFonts w:ascii="Times New Roman" w:hAnsi="Times New Roman"/>
          <w:b/>
          <w:bCs/>
          <w:sz w:val="24"/>
          <w:szCs w:val="24"/>
        </w:rPr>
        <w:t xml:space="preserve"> H1:</w:t>
      </w:r>
      <w:r w:rsidRPr="00CC0ED8">
        <w:rPr>
          <w:rFonts w:ascii="Times New Roman" w:hAnsi="Times New Roman"/>
          <w:i/>
          <w:iCs/>
          <w:sz w:val="24"/>
          <w:szCs w:val="24"/>
        </w:rPr>
        <w:t xml:space="preserve"> The</w:t>
      </w:r>
      <w:r w:rsidR="000D084C">
        <w:rPr>
          <w:rFonts w:ascii="Times New Roman" w:hAnsi="Times New Roman"/>
          <w:i/>
          <w:iCs/>
          <w:sz w:val="24"/>
          <w:szCs w:val="24"/>
        </w:rPr>
        <w:t xml:space="preserve">re is a significant change in the </w:t>
      </w:r>
      <w:proofErr w:type="spellStart"/>
      <w:r w:rsidR="000D084C">
        <w:rPr>
          <w:rFonts w:ascii="Times New Roman" w:hAnsi="Times New Roman"/>
          <w:i/>
          <w:iCs/>
          <w:sz w:val="24"/>
          <w:szCs w:val="24"/>
        </w:rPr>
        <w:t>sensex</w:t>
      </w:r>
      <w:proofErr w:type="spellEnd"/>
      <w:r w:rsidR="000D084C">
        <w:rPr>
          <w:rFonts w:ascii="Times New Roman" w:hAnsi="Times New Roman"/>
          <w:i/>
          <w:iCs/>
          <w:sz w:val="24"/>
          <w:szCs w:val="24"/>
        </w:rPr>
        <w:t xml:space="preserve"> average due to the change in the average prices of stocks TCS</w:t>
      </w:r>
      <w:proofErr w:type="gramStart"/>
      <w:r w:rsidR="000D084C">
        <w:rPr>
          <w:rFonts w:ascii="Times New Roman" w:hAnsi="Times New Roman"/>
          <w:i/>
          <w:iCs/>
          <w:sz w:val="24"/>
          <w:szCs w:val="24"/>
        </w:rPr>
        <w:t>,ICICIBANK</w:t>
      </w:r>
      <w:proofErr w:type="gramEnd"/>
      <w:r w:rsidR="000D084C">
        <w:rPr>
          <w:rFonts w:ascii="Times New Roman" w:hAnsi="Times New Roman"/>
          <w:i/>
          <w:iCs/>
          <w:sz w:val="24"/>
          <w:szCs w:val="24"/>
        </w:rPr>
        <w:t xml:space="preserve"> and ASIAN PAINTS.</w:t>
      </w:r>
      <w:r w:rsidRPr="00CC0ED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D7387A" w:rsidRDefault="00D7387A" w:rsidP="00D7387A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CC0ED8">
        <w:rPr>
          <w:rFonts w:ascii="Times New Roman" w:hAnsi="Times New Roman"/>
          <w:b/>
          <w:sz w:val="24"/>
          <w:szCs w:val="24"/>
        </w:rPr>
        <w:t>.2 Data</w:t>
      </w:r>
    </w:p>
    <w:p w:rsidR="00C539BE" w:rsidRDefault="00C539BE" w:rsidP="00D7387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C539BE">
        <w:rPr>
          <w:rFonts w:ascii="Times New Roman" w:hAnsi="Times New Roman"/>
          <w:sz w:val="24"/>
          <w:szCs w:val="24"/>
        </w:rPr>
        <w:t>To ca</w:t>
      </w:r>
      <w:r>
        <w:rPr>
          <w:rFonts w:ascii="Times New Roman" w:hAnsi="Times New Roman"/>
          <w:sz w:val="24"/>
          <w:szCs w:val="24"/>
        </w:rPr>
        <w:t xml:space="preserve">rry out this study, I collected the data from the yahoo finance.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for this is </w:t>
      </w:r>
    </w:p>
    <w:p w:rsidR="00214FA0" w:rsidRDefault="00C22038" w:rsidP="00214F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539BE" w:rsidRPr="002F6CDB">
          <w:rPr>
            <w:rStyle w:val="Hyperlink"/>
            <w:rFonts w:ascii="Times New Roman" w:hAnsi="Times New Roman"/>
            <w:sz w:val="24"/>
            <w:szCs w:val="24"/>
          </w:rPr>
          <w:t>https://in.finance.yahoo.com/</w:t>
        </w:r>
      </w:hyperlink>
      <w:r w:rsidR="00C539BE">
        <w:rPr>
          <w:rFonts w:ascii="Times New Roman" w:hAnsi="Times New Roman"/>
          <w:sz w:val="24"/>
          <w:szCs w:val="24"/>
        </w:rPr>
        <w:t xml:space="preserve"> .Yahoo finance has a database of price movements of all the major stocks and stock indices of the globe. But, these are coded differently from </w:t>
      </w:r>
      <w:r w:rsidR="000E0BD5">
        <w:rPr>
          <w:rFonts w:ascii="Times New Roman" w:hAnsi="Times New Roman"/>
          <w:sz w:val="24"/>
          <w:szCs w:val="24"/>
        </w:rPr>
        <w:t>the local names.</w:t>
      </w:r>
      <w:r w:rsidR="00214FA0">
        <w:rPr>
          <w:rFonts w:ascii="Times New Roman" w:hAnsi="Times New Roman"/>
          <w:sz w:val="24"/>
          <w:szCs w:val="24"/>
        </w:rPr>
        <w:t xml:space="preserve"> </w:t>
      </w:r>
      <w:r w:rsidR="000E0BD5">
        <w:rPr>
          <w:rFonts w:ascii="Times New Roman" w:hAnsi="Times New Roman"/>
          <w:sz w:val="24"/>
          <w:szCs w:val="24"/>
        </w:rPr>
        <w:t xml:space="preserve">The index </w:t>
      </w:r>
      <w:proofErr w:type="spellStart"/>
      <w:r w:rsidR="000E0BD5">
        <w:rPr>
          <w:rFonts w:ascii="Times New Roman" w:hAnsi="Times New Roman"/>
          <w:sz w:val="24"/>
          <w:szCs w:val="24"/>
        </w:rPr>
        <w:t>Sensex</w:t>
      </w:r>
      <w:proofErr w:type="spellEnd"/>
      <w:r w:rsidR="000E0BD5">
        <w:rPr>
          <w:rFonts w:ascii="Times New Roman" w:hAnsi="Times New Roman"/>
          <w:sz w:val="24"/>
          <w:szCs w:val="24"/>
        </w:rPr>
        <w:t xml:space="preserve"> is named as SENSEX.BO ‘BO’ indicates Bombay. In the same way all the other eight stocks used for this study are </w:t>
      </w:r>
      <w:r w:rsidR="00214FA0">
        <w:rPr>
          <w:rFonts w:ascii="Times New Roman" w:hAnsi="Times New Roman"/>
          <w:sz w:val="24"/>
          <w:szCs w:val="24"/>
        </w:rPr>
        <w:t>labeled</w:t>
      </w:r>
      <w:r w:rsidR="000E0BD5">
        <w:rPr>
          <w:rFonts w:ascii="Times New Roman" w:hAnsi="Times New Roman"/>
          <w:sz w:val="24"/>
          <w:szCs w:val="24"/>
        </w:rPr>
        <w:t xml:space="preserve"> .BO at the end t</w:t>
      </w:r>
      <w:r w:rsidR="00214FA0">
        <w:rPr>
          <w:rFonts w:ascii="Times New Roman" w:hAnsi="Times New Roman"/>
          <w:sz w:val="24"/>
          <w:szCs w:val="24"/>
        </w:rPr>
        <w:t xml:space="preserve">o indicate that these are prices of those stocks on Bombay Stock Exchange. These eight stocks are </w:t>
      </w:r>
      <w:r w:rsidR="00214FA0" w:rsidRPr="00CE3250">
        <w:rPr>
          <w:rFonts w:ascii="Times New Roman" w:hAnsi="Times New Roman" w:cs="Times New Roman"/>
          <w:sz w:val="24"/>
          <w:szCs w:val="24"/>
        </w:rPr>
        <w:t>Infosys</w:t>
      </w:r>
      <w:r w:rsidR="00214FA0">
        <w:rPr>
          <w:rFonts w:ascii="Times New Roman" w:hAnsi="Times New Roman" w:cs="Times New Roman"/>
          <w:sz w:val="24"/>
          <w:szCs w:val="24"/>
        </w:rPr>
        <w:t>,</w:t>
      </w:r>
      <w:r w:rsidR="00214FA0">
        <w:rPr>
          <w:rFonts w:ascii="Times New Roman" w:hAnsi="Times New Roman"/>
          <w:sz w:val="24"/>
          <w:szCs w:val="24"/>
        </w:rPr>
        <w:t xml:space="preserve"> </w:t>
      </w:r>
      <w:r w:rsidR="00214FA0" w:rsidRPr="00CE3250">
        <w:rPr>
          <w:rFonts w:ascii="Times New Roman" w:hAnsi="Times New Roman" w:cs="Times New Roman"/>
          <w:sz w:val="24"/>
          <w:szCs w:val="24"/>
        </w:rPr>
        <w:t>TCS</w:t>
      </w:r>
      <w:r w:rsidR="00214FA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14FA0" w:rsidRPr="00CE3250">
        <w:rPr>
          <w:rFonts w:ascii="Times New Roman" w:hAnsi="Times New Roman" w:cs="Times New Roman"/>
          <w:sz w:val="24"/>
          <w:szCs w:val="24"/>
        </w:rPr>
        <w:t>Tata</w:t>
      </w:r>
      <w:proofErr w:type="gramEnd"/>
      <w:r w:rsidR="00214FA0" w:rsidRPr="00CE3250">
        <w:rPr>
          <w:rFonts w:ascii="Times New Roman" w:hAnsi="Times New Roman" w:cs="Times New Roman"/>
          <w:sz w:val="24"/>
          <w:szCs w:val="24"/>
        </w:rPr>
        <w:t xml:space="preserve"> motors</w:t>
      </w:r>
      <w:r w:rsidR="0021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FA0">
        <w:rPr>
          <w:rFonts w:ascii="Times New Roman" w:hAnsi="Times New Roman" w:cs="Times New Roman"/>
          <w:sz w:val="24"/>
          <w:szCs w:val="24"/>
        </w:rPr>
        <w:t>SunPharma</w:t>
      </w:r>
      <w:proofErr w:type="spellEnd"/>
      <w:r w:rsidR="0021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FA0" w:rsidRPr="00CE3250">
        <w:rPr>
          <w:rFonts w:ascii="Times New Roman" w:hAnsi="Times New Roman" w:cs="Times New Roman"/>
          <w:sz w:val="24"/>
          <w:szCs w:val="24"/>
        </w:rPr>
        <w:t>Axisbank</w:t>
      </w:r>
      <w:proofErr w:type="spellEnd"/>
      <w:r w:rsidR="00214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4FA0" w:rsidRPr="00CE3250">
        <w:rPr>
          <w:rFonts w:ascii="Times New Roman" w:hAnsi="Times New Roman" w:cs="Times New Roman"/>
          <w:sz w:val="24"/>
          <w:szCs w:val="24"/>
        </w:rPr>
        <w:t>ICICIbank</w:t>
      </w:r>
      <w:proofErr w:type="spellEnd"/>
      <w:r w:rsidR="00214FA0">
        <w:rPr>
          <w:rFonts w:ascii="Times New Roman" w:hAnsi="Times New Roman" w:cs="Times New Roman"/>
          <w:sz w:val="24"/>
          <w:szCs w:val="24"/>
        </w:rPr>
        <w:t xml:space="preserve">, </w:t>
      </w:r>
      <w:r w:rsidR="00214FA0" w:rsidRPr="00CE3250">
        <w:rPr>
          <w:rFonts w:ascii="Times New Roman" w:hAnsi="Times New Roman" w:cs="Times New Roman"/>
          <w:sz w:val="24"/>
          <w:szCs w:val="24"/>
        </w:rPr>
        <w:t>ITC</w:t>
      </w:r>
      <w:r w:rsidR="00214F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14FA0" w:rsidRPr="00CE3250">
        <w:rPr>
          <w:rFonts w:ascii="Times New Roman" w:hAnsi="Times New Roman" w:cs="Times New Roman"/>
          <w:sz w:val="24"/>
          <w:szCs w:val="24"/>
        </w:rPr>
        <w:t>AsainPaints</w:t>
      </w:r>
      <w:proofErr w:type="spellEnd"/>
      <w:r w:rsidR="00214FA0">
        <w:rPr>
          <w:rFonts w:ascii="Times New Roman" w:hAnsi="Times New Roman" w:cs="Times New Roman"/>
          <w:sz w:val="24"/>
          <w:szCs w:val="24"/>
        </w:rPr>
        <w:t xml:space="preserve">. For this study, I have collected the three years daily price movements of these eight major stocks and along with the daily movements of the </w:t>
      </w:r>
      <w:proofErr w:type="spellStart"/>
      <w:r w:rsidR="00214FA0">
        <w:rPr>
          <w:rFonts w:ascii="Times New Roman" w:hAnsi="Times New Roman" w:cs="Times New Roman"/>
          <w:sz w:val="24"/>
          <w:szCs w:val="24"/>
        </w:rPr>
        <w:t>sensex</w:t>
      </w:r>
      <w:proofErr w:type="spellEnd"/>
      <w:r w:rsidR="00214FA0">
        <w:rPr>
          <w:rFonts w:ascii="Times New Roman" w:hAnsi="Times New Roman" w:cs="Times New Roman"/>
          <w:sz w:val="24"/>
          <w:szCs w:val="24"/>
        </w:rPr>
        <w:t xml:space="preserve"> for the period starting from 1</w:t>
      </w:r>
      <w:r w:rsidR="00214FA0" w:rsidRPr="00214FA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14FA0">
        <w:rPr>
          <w:rFonts w:ascii="Times New Roman" w:hAnsi="Times New Roman" w:cs="Times New Roman"/>
          <w:sz w:val="24"/>
          <w:szCs w:val="24"/>
        </w:rPr>
        <w:t xml:space="preserve"> January 2014 to 1</w:t>
      </w:r>
      <w:r w:rsidR="00214FA0" w:rsidRPr="00214FA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14FA0">
        <w:rPr>
          <w:rFonts w:ascii="Times New Roman" w:hAnsi="Times New Roman" w:cs="Times New Roman"/>
          <w:sz w:val="24"/>
          <w:szCs w:val="24"/>
        </w:rPr>
        <w:t xml:space="preserve"> January 2017.</w:t>
      </w:r>
    </w:p>
    <w:p w:rsidR="00214FA0" w:rsidRDefault="00214FA0" w:rsidP="00214F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considered closing day prices for this study ignoring other prices as such as opening price, day high, day low etc.</w:t>
      </w:r>
      <w:r w:rsidR="0055068E">
        <w:rPr>
          <w:rFonts w:ascii="Times New Roman" w:hAnsi="Times New Roman" w:cs="Times New Roman"/>
          <w:sz w:val="24"/>
          <w:szCs w:val="24"/>
        </w:rPr>
        <w:t xml:space="preserve"> I removed 9 records as there were no price captures on those dates due to unknown reasons. Finally, I am left wi</w:t>
      </w:r>
      <w:r w:rsidR="00DB5F6B">
        <w:rPr>
          <w:rFonts w:ascii="Times New Roman" w:hAnsi="Times New Roman" w:cs="Times New Roman"/>
          <w:sz w:val="24"/>
          <w:szCs w:val="24"/>
        </w:rPr>
        <w:t>th a data set of 738 records of</w:t>
      </w:r>
      <w:r w:rsidR="0055068E">
        <w:rPr>
          <w:rFonts w:ascii="Times New Roman" w:hAnsi="Times New Roman" w:cs="Times New Roman"/>
          <w:sz w:val="24"/>
          <w:szCs w:val="24"/>
        </w:rPr>
        <w:t xml:space="preserve"> 10 </w:t>
      </w:r>
      <w:r w:rsidR="00F66C5D">
        <w:rPr>
          <w:rFonts w:ascii="Times New Roman" w:hAnsi="Times New Roman" w:cs="Times New Roman"/>
          <w:sz w:val="24"/>
          <w:szCs w:val="24"/>
        </w:rPr>
        <w:t>columns (</w:t>
      </w:r>
      <w:r w:rsidR="0055068E">
        <w:rPr>
          <w:rFonts w:ascii="Times New Roman" w:hAnsi="Times New Roman" w:cs="Times New Roman"/>
          <w:sz w:val="24"/>
          <w:szCs w:val="24"/>
        </w:rPr>
        <w:t>First column being the date)</w:t>
      </w:r>
      <w:r w:rsidR="00DB5F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Infosys –INFOSYS.BO</w:t>
      </w:r>
      <w:r>
        <w:rPr>
          <w:rFonts w:ascii="Times New Roman" w:hAnsi="Times New Roman" w:cs="Times New Roman"/>
          <w:sz w:val="24"/>
          <w:szCs w:val="24"/>
        </w:rPr>
        <w:t>: This variable collects the closing day price of s</w:t>
      </w:r>
      <w:r w:rsidR="00134308">
        <w:rPr>
          <w:rFonts w:ascii="Times New Roman" w:hAnsi="Times New Roman" w:cs="Times New Roman"/>
          <w:sz w:val="24"/>
          <w:szCs w:val="24"/>
        </w:rPr>
        <w:t>tock Infosys on Bombay stock ex</w:t>
      </w:r>
      <w:r>
        <w:rPr>
          <w:rFonts w:ascii="Times New Roman" w:hAnsi="Times New Roman" w:cs="Times New Roman"/>
          <w:sz w:val="24"/>
          <w:szCs w:val="24"/>
        </w:rPr>
        <w:t>change on a specific date.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3D4F16" w:rsidTr="00AA4F2C">
        <w:trPr>
          <w:trHeight w:val="594"/>
        </w:trPr>
        <w:tc>
          <w:tcPr>
            <w:tcW w:w="1428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3D4F16" w:rsidTr="00AA4F2C">
        <w:trPr>
          <w:trHeight w:val="625"/>
        </w:trPr>
        <w:tc>
          <w:tcPr>
            <w:tcW w:w="1428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1084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1626" w:type="dxa"/>
          </w:tcPr>
          <w:p w:rsidR="003D4F16" w:rsidRDefault="003D4F1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1229</w:t>
            </w:r>
          </w:p>
        </w:tc>
        <w:tc>
          <w:tcPr>
            <w:tcW w:w="1626" w:type="dxa"/>
          </w:tcPr>
          <w:p w:rsidR="003D4F16" w:rsidRDefault="003D4F16" w:rsidP="003D4F16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3202</w:t>
            </w:r>
          </w:p>
        </w:tc>
        <w:tc>
          <w:tcPr>
            <w:tcW w:w="1626" w:type="dxa"/>
          </w:tcPr>
          <w:p w:rsidR="003D4F16" w:rsidRDefault="003D4F16" w:rsidP="003D4F16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4367</w:t>
            </w:r>
          </w:p>
        </w:tc>
      </w:tr>
    </w:tbl>
    <w:p w:rsidR="003D4F16" w:rsidRPr="00DB75A1" w:rsidRDefault="003D4F16" w:rsidP="00321DA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321DA9" w:rsidRDefault="00321DA9" w:rsidP="00281B08">
      <w:pPr>
        <w:tabs>
          <w:tab w:val="left" w:pos="178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TCS –TCS.BO</w:t>
      </w:r>
      <w:r w:rsidR="00281B08">
        <w:rPr>
          <w:rFonts w:ascii="Times New Roman" w:hAnsi="Times New Roman" w:cs="Times New Roman"/>
          <w:sz w:val="24"/>
          <w:szCs w:val="24"/>
        </w:rPr>
        <w:t>: This variable collects the closing day price of stock TCS</w:t>
      </w:r>
      <w:r w:rsidR="00134308">
        <w:rPr>
          <w:rFonts w:ascii="Times New Roman" w:hAnsi="Times New Roman" w:cs="Times New Roman"/>
          <w:sz w:val="24"/>
          <w:szCs w:val="24"/>
        </w:rPr>
        <w:t xml:space="preserve"> on Bombay stock ex</w:t>
      </w:r>
      <w:r w:rsidR="00281B08">
        <w:rPr>
          <w:rFonts w:ascii="Times New Roman" w:hAnsi="Times New Roman" w:cs="Times New Roman"/>
          <w:sz w:val="24"/>
          <w:szCs w:val="24"/>
        </w:rPr>
        <w:t>change on a specific date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4B7E8D" w:rsidTr="00AA4F2C">
        <w:trPr>
          <w:trHeight w:val="594"/>
        </w:trPr>
        <w:tc>
          <w:tcPr>
            <w:tcW w:w="1428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4B7E8D" w:rsidTr="00AA4F2C">
        <w:trPr>
          <w:trHeight w:val="625"/>
        </w:trPr>
        <w:tc>
          <w:tcPr>
            <w:tcW w:w="1428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2293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2367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2472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2558</w:t>
            </w:r>
          </w:p>
        </w:tc>
        <w:tc>
          <w:tcPr>
            <w:tcW w:w="1626" w:type="dxa"/>
          </w:tcPr>
          <w:p w:rsidR="004B7E8D" w:rsidRDefault="004B7E8D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2776</w:t>
            </w:r>
          </w:p>
        </w:tc>
      </w:tr>
    </w:tbl>
    <w:p w:rsidR="004B7E8D" w:rsidRPr="00CE3250" w:rsidRDefault="004B7E8D" w:rsidP="00281B08">
      <w:pPr>
        <w:tabs>
          <w:tab w:val="left" w:pos="178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lastRenderedPageBreak/>
        <w:t>Tata motors-TATA MOTORS.BO</w:t>
      </w:r>
      <w:r w:rsidR="00281B08">
        <w:rPr>
          <w:rFonts w:ascii="Times New Roman" w:hAnsi="Times New Roman" w:cs="Times New Roman"/>
          <w:sz w:val="24"/>
          <w:szCs w:val="24"/>
        </w:rPr>
        <w:t>: This variable collects the closing day price of stock Tata motors on Bombay stock exchange on a specific date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4050C9" w:rsidTr="00AA4F2C">
        <w:trPr>
          <w:trHeight w:val="594"/>
        </w:trPr>
        <w:tc>
          <w:tcPr>
            <w:tcW w:w="1428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4050C9" w:rsidTr="00AA4F2C">
        <w:trPr>
          <w:trHeight w:val="625"/>
        </w:trPr>
        <w:tc>
          <w:tcPr>
            <w:tcW w:w="1428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377.0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414.4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433.2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503.6</w:t>
            </w:r>
          </w:p>
        </w:tc>
        <w:tc>
          <w:tcPr>
            <w:tcW w:w="1626" w:type="dxa"/>
          </w:tcPr>
          <w:p w:rsidR="004050C9" w:rsidRDefault="004050C9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605.1</w:t>
            </w:r>
          </w:p>
        </w:tc>
      </w:tr>
    </w:tbl>
    <w:p w:rsidR="004050C9" w:rsidRPr="00CE3250" w:rsidRDefault="004050C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>SunPharma-SUNPHARMA.BO</w:t>
      </w:r>
      <w:r w:rsidR="00281B08">
        <w:rPr>
          <w:rFonts w:ascii="Times New Roman" w:hAnsi="Times New Roman" w:cs="Times New Roman"/>
          <w:sz w:val="24"/>
          <w:szCs w:val="24"/>
        </w:rPr>
        <w:t xml:space="preserve">: This variable collects the closing day price of stock Sun </w:t>
      </w:r>
      <w:proofErr w:type="spellStart"/>
      <w:r w:rsidR="00281B08">
        <w:rPr>
          <w:rFonts w:ascii="Times New Roman" w:hAnsi="Times New Roman" w:cs="Times New Roman"/>
          <w:sz w:val="24"/>
          <w:szCs w:val="24"/>
        </w:rPr>
        <w:t>Pharma</w:t>
      </w:r>
      <w:proofErr w:type="spellEnd"/>
      <w:r w:rsidR="00281B08">
        <w:rPr>
          <w:rFonts w:ascii="Times New Roman" w:hAnsi="Times New Roman" w:cs="Times New Roman"/>
          <w:sz w:val="24"/>
          <w:szCs w:val="24"/>
        </w:rPr>
        <w:t xml:space="preserve"> on Bombay stock exchange on a specific date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0D415F" w:rsidTr="00AA4F2C">
        <w:trPr>
          <w:trHeight w:val="594"/>
        </w:trPr>
        <w:tc>
          <w:tcPr>
            <w:tcW w:w="1428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0D415F" w:rsidTr="00AA4F2C">
        <w:trPr>
          <w:trHeight w:val="625"/>
        </w:trPr>
        <w:tc>
          <w:tcPr>
            <w:tcW w:w="1428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706.7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763.6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798.5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856.8</w:t>
            </w:r>
          </w:p>
        </w:tc>
        <w:tc>
          <w:tcPr>
            <w:tcW w:w="1626" w:type="dxa"/>
          </w:tcPr>
          <w:p w:rsidR="000D415F" w:rsidRDefault="000D415F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1168.5</w:t>
            </w:r>
          </w:p>
        </w:tc>
      </w:tr>
    </w:tbl>
    <w:p w:rsidR="000D415F" w:rsidRPr="00CE3250" w:rsidRDefault="000D415F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Axisbank-AXISBANK.BO</w:t>
      </w:r>
      <w:r w:rsidR="00281B08">
        <w:rPr>
          <w:rFonts w:ascii="Times New Roman" w:hAnsi="Times New Roman" w:cs="Times New Roman"/>
          <w:sz w:val="24"/>
          <w:szCs w:val="24"/>
        </w:rPr>
        <w:t>: This variable collects the closing day price of stock Axis Bank on Bombay stock exchange on a specific date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6031C7" w:rsidTr="00AA4F2C">
        <w:trPr>
          <w:trHeight w:val="594"/>
        </w:trPr>
        <w:tc>
          <w:tcPr>
            <w:tcW w:w="1428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6031C7" w:rsidTr="00AA4F2C">
        <w:trPr>
          <w:trHeight w:val="625"/>
        </w:trPr>
        <w:tc>
          <w:tcPr>
            <w:tcW w:w="1428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1696.4</w:t>
            </w:r>
          </w:p>
        </w:tc>
        <w:tc>
          <w:tcPr>
            <w:tcW w:w="1626" w:type="dxa"/>
          </w:tcPr>
          <w:p w:rsidR="006031C7" w:rsidRDefault="006031C7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474.5</w:t>
            </w:r>
          </w:p>
        </w:tc>
        <w:tc>
          <w:tcPr>
            <w:tcW w:w="1626" w:type="dxa"/>
          </w:tcPr>
          <w:p w:rsidR="006031C7" w:rsidRDefault="00925AA8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580.1</w:t>
            </w:r>
          </w:p>
        </w:tc>
        <w:tc>
          <w:tcPr>
            <w:tcW w:w="1626" w:type="dxa"/>
          </w:tcPr>
          <w:p w:rsidR="006031C7" w:rsidRDefault="00925AA8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10115.8</w:t>
            </w:r>
          </w:p>
        </w:tc>
      </w:tr>
    </w:tbl>
    <w:p w:rsidR="006031C7" w:rsidRPr="00CE3250" w:rsidRDefault="006031C7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ICICIbank-ICICIBANK.BO</w:t>
      </w:r>
      <w:r w:rsidR="00281B08">
        <w:rPr>
          <w:rFonts w:ascii="Times New Roman" w:hAnsi="Times New Roman" w:cs="Times New Roman"/>
          <w:sz w:val="24"/>
          <w:szCs w:val="24"/>
        </w:rPr>
        <w:t>: This variable collects the closing day price of stock ICICI Bank on Bombay stock exchange on a specific date.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822C4B" w:rsidTr="00AA4F2C">
        <w:trPr>
          <w:trHeight w:val="594"/>
        </w:trPr>
        <w:tc>
          <w:tcPr>
            <w:tcW w:w="1428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822C4B" w:rsidTr="00AA4F2C">
        <w:trPr>
          <w:trHeight w:val="625"/>
        </w:trPr>
        <w:tc>
          <w:tcPr>
            <w:tcW w:w="1428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258.3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608.5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308.3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1077.9</w:t>
            </w:r>
          </w:p>
        </w:tc>
        <w:tc>
          <w:tcPr>
            <w:tcW w:w="1626" w:type="dxa"/>
          </w:tcPr>
          <w:p w:rsidR="00822C4B" w:rsidRDefault="00822C4B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1793.1</w:t>
            </w:r>
          </w:p>
        </w:tc>
      </w:tr>
    </w:tbl>
    <w:p w:rsidR="00822C4B" w:rsidRPr="00CE3250" w:rsidRDefault="00822C4B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648A8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ITC-ITC.BO</w:t>
      </w:r>
      <w:r w:rsidR="008648A8">
        <w:rPr>
          <w:rFonts w:ascii="Times New Roman" w:hAnsi="Times New Roman" w:cs="Times New Roman"/>
          <w:sz w:val="24"/>
          <w:szCs w:val="24"/>
        </w:rPr>
        <w:t>: This variable collects the closing day price of stock ITC</w:t>
      </w:r>
      <w:r w:rsidR="00DC67A8">
        <w:rPr>
          <w:rFonts w:ascii="Times New Roman" w:hAnsi="Times New Roman" w:cs="Times New Roman"/>
          <w:sz w:val="24"/>
          <w:szCs w:val="24"/>
        </w:rPr>
        <w:t xml:space="preserve"> on Bombay stock ex</w:t>
      </w:r>
      <w:r w:rsidR="008648A8">
        <w:rPr>
          <w:rFonts w:ascii="Times New Roman" w:hAnsi="Times New Roman" w:cs="Times New Roman"/>
          <w:sz w:val="24"/>
          <w:szCs w:val="24"/>
        </w:rPr>
        <w:t>change on a specific date.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CA0046" w:rsidTr="00AA4F2C">
        <w:trPr>
          <w:trHeight w:val="594"/>
        </w:trPr>
        <w:tc>
          <w:tcPr>
            <w:tcW w:w="1428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Min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CA0046" w:rsidTr="00AA4F2C">
        <w:trPr>
          <w:trHeight w:val="625"/>
        </w:trPr>
        <w:tc>
          <w:tcPr>
            <w:tcW w:w="1428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314.0</w:t>
            </w:r>
          </w:p>
        </w:tc>
        <w:tc>
          <w:tcPr>
            <w:tcW w:w="1626" w:type="dxa"/>
          </w:tcPr>
          <w:p w:rsidR="00CA0046" w:rsidRDefault="00CA0046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321.4</w:t>
            </w:r>
          </w:p>
        </w:tc>
        <w:tc>
          <w:tcPr>
            <w:tcW w:w="1626" w:type="dxa"/>
          </w:tcPr>
          <w:p w:rsidR="00CA0046" w:rsidRDefault="00F84FD5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327.8</w:t>
            </w:r>
          </w:p>
        </w:tc>
        <w:tc>
          <w:tcPr>
            <w:tcW w:w="1626" w:type="dxa"/>
          </w:tcPr>
          <w:p w:rsidR="00CA0046" w:rsidRDefault="00AA5C33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349.9</w:t>
            </w:r>
          </w:p>
        </w:tc>
        <w:tc>
          <w:tcPr>
            <w:tcW w:w="1626" w:type="dxa"/>
          </w:tcPr>
          <w:p w:rsidR="00CA0046" w:rsidRDefault="00AA5C33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399.6</w:t>
            </w:r>
          </w:p>
        </w:tc>
      </w:tr>
    </w:tbl>
    <w:p w:rsidR="00CA0046" w:rsidRPr="00CE3250" w:rsidRDefault="00CA0046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E3250">
        <w:rPr>
          <w:rFonts w:ascii="Times New Roman" w:hAnsi="Times New Roman" w:cs="Times New Roman"/>
          <w:sz w:val="24"/>
          <w:szCs w:val="24"/>
        </w:rPr>
        <w:t xml:space="preserve"> AsainPaints-ASIANPAINTS.BO</w:t>
      </w:r>
      <w:r w:rsidR="008648A8">
        <w:rPr>
          <w:rFonts w:ascii="Times New Roman" w:hAnsi="Times New Roman" w:cs="Times New Roman"/>
          <w:sz w:val="24"/>
          <w:szCs w:val="24"/>
        </w:rPr>
        <w:t>: This variable collects the closing day price of stock Asian paints on Bombay stock exchange on a specific date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8321EA" w:rsidTr="00AA4F2C">
        <w:trPr>
          <w:trHeight w:val="594"/>
        </w:trPr>
        <w:tc>
          <w:tcPr>
            <w:tcW w:w="1428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8321EA" w:rsidTr="00AA4F2C">
        <w:trPr>
          <w:trHeight w:val="625"/>
        </w:trPr>
        <w:tc>
          <w:tcPr>
            <w:tcW w:w="1428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585.9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736.5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814.7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882.1</w:t>
            </w:r>
          </w:p>
        </w:tc>
        <w:tc>
          <w:tcPr>
            <w:tcW w:w="1626" w:type="dxa"/>
          </w:tcPr>
          <w:p w:rsidR="008321EA" w:rsidRDefault="008321EA" w:rsidP="00AA4F2C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1212.9</w:t>
            </w:r>
          </w:p>
        </w:tc>
      </w:tr>
    </w:tbl>
    <w:p w:rsidR="008321EA" w:rsidRDefault="008321EA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21DA9" w:rsidRDefault="00321DA9" w:rsidP="00321DA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SENSEX.BO</w:t>
      </w:r>
      <w:r w:rsidR="008648A8">
        <w:rPr>
          <w:rFonts w:ascii="Times New Roman" w:hAnsi="Times New Roman" w:cs="Times New Roman"/>
          <w:sz w:val="24"/>
          <w:szCs w:val="24"/>
        </w:rPr>
        <w:t xml:space="preserve">: This variable collects the closing day points of </w:t>
      </w:r>
      <w:proofErr w:type="spellStart"/>
      <w:r w:rsidR="008648A8">
        <w:rPr>
          <w:rFonts w:ascii="Times New Roman" w:hAnsi="Times New Roman" w:cs="Times New Roman"/>
          <w:sz w:val="24"/>
          <w:szCs w:val="24"/>
        </w:rPr>
        <w:t>Sensex</w:t>
      </w:r>
      <w:proofErr w:type="spellEnd"/>
      <w:r w:rsidR="008648A8">
        <w:rPr>
          <w:rFonts w:ascii="Times New Roman" w:hAnsi="Times New Roman" w:cs="Times New Roman"/>
          <w:sz w:val="24"/>
          <w:szCs w:val="24"/>
        </w:rPr>
        <w:t xml:space="preserve"> on specific date.</w:t>
      </w:r>
    </w:p>
    <w:tbl>
      <w:tblPr>
        <w:tblStyle w:val="TableGrid"/>
        <w:tblW w:w="9558" w:type="dxa"/>
        <w:tblInd w:w="198" w:type="dxa"/>
        <w:tblLook w:val="04A0"/>
      </w:tblPr>
      <w:tblGrid>
        <w:gridCol w:w="1428"/>
        <w:gridCol w:w="1626"/>
        <w:gridCol w:w="1626"/>
        <w:gridCol w:w="1626"/>
        <w:gridCol w:w="1626"/>
        <w:gridCol w:w="1626"/>
      </w:tblGrid>
      <w:tr w:rsidR="00C63ACB" w:rsidTr="008321EA">
        <w:trPr>
          <w:trHeight w:val="594"/>
        </w:trPr>
        <w:tc>
          <w:tcPr>
            <w:tcW w:w="1428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Median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C63ACB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Qu.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Max.</w:t>
            </w:r>
          </w:p>
        </w:tc>
      </w:tr>
      <w:tr w:rsidR="00C63ACB" w:rsidTr="008321EA">
        <w:trPr>
          <w:trHeight w:val="625"/>
        </w:trPr>
        <w:tc>
          <w:tcPr>
            <w:tcW w:w="1428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25202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25803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26456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27811</w:t>
            </w:r>
          </w:p>
        </w:tc>
        <w:tc>
          <w:tcPr>
            <w:tcW w:w="1626" w:type="dxa"/>
          </w:tcPr>
          <w:p w:rsidR="00C63ACB" w:rsidRDefault="00C63ACB" w:rsidP="00321DA9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29682</w:t>
            </w:r>
          </w:p>
        </w:tc>
      </w:tr>
    </w:tbl>
    <w:p w:rsidR="00C63ACB" w:rsidRPr="00CE3250" w:rsidRDefault="00C63ACB" w:rsidP="00321DA9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321DA9" w:rsidRPr="00214FA0" w:rsidRDefault="00321DA9" w:rsidP="00214FA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D7387A" w:rsidRDefault="00D7387A" w:rsidP="00D7387A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2A0763">
        <w:rPr>
          <w:rFonts w:ascii="Times New Roman" w:hAnsi="Times New Roman"/>
          <w:b/>
          <w:sz w:val="24"/>
          <w:szCs w:val="24"/>
        </w:rPr>
        <w:t>.3 Model</w:t>
      </w:r>
    </w:p>
    <w:p w:rsidR="00D7387A" w:rsidRPr="000B267B" w:rsidRDefault="00D7387A" w:rsidP="00D7387A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order to test Hypothesis 1, we proposed the following model:</w:t>
      </w:r>
    </w:p>
    <w:p w:rsidR="00574C71" w:rsidRDefault="00574C71" w:rsidP="00D7387A">
      <w:pPr>
        <w:spacing w:line="24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SENSEX.BO=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TCS.BO+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ICICIBANK.BO+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ASIANPAINTS.BO+∈</m:t>
        </m:r>
      </m:oMath>
      <w:r w:rsidR="00D7387A">
        <w:rPr>
          <w:rFonts w:ascii="Times New Roman" w:hAnsi="Times New Roman"/>
          <w:sz w:val="24"/>
          <w:szCs w:val="24"/>
        </w:rPr>
        <w:tab/>
      </w:r>
    </w:p>
    <w:p w:rsidR="00574C71" w:rsidRDefault="00574C71" w:rsidP="00D7387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established a model which can study the impact of the three independent variables TCS.BO,</w:t>
      </w:r>
    </w:p>
    <w:p w:rsidR="00574C71" w:rsidRDefault="00574C71" w:rsidP="00D7387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ICICIBANK.BO and ASIANPAINTS.BO on the dependent variable </w:t>
      </w:r>
      <w:proofErr w:type="spellStart"/>
      <w:r>
        <w:rPr>
          <w:rFonts w:ascii="Times New Roman" w:hAnsi="Times New Roman"/>
          <w:sz w:val="24"/>
          <w:szCs w:val="24"/>
        </w:rPr>
        <w:t>SENSEX.BO.</w:t>
      </w:r>
      <w:r w:rsidR="00251C6B">
        <w:rPr>
          <w:rFonts w:ascii="Times New Roman" w:hAnsi="Times New Roman"/>
          <w:sz w:val="24"/>
          <w:szCs w:val="24"/>
        </w:rPr>
        <w:t>using</w:t>
      </w:r>
      <w:proofErr w:type="spellEnd"/>
      <w:r w:rsidR="00251C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linear  </w:t>
      </w:r>
    </w:p>
    <w:p w:rsidR="00D7387A" w:rsidRPr="00CC0ED8" w:rsidRDefault="00251C6B" w:rsidP="00D7387A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least</w:t>
      </w:r>
      <w:proofErr w:type="gramEnd"/>
      <w:r w:rsidR="00574C71">
        <w:rPr>
          <w:rFonts w:ascii="Times New Roman" w:hAnsi="Times New Roman"/>
          <w:sz w:val="24"/>
          <w:szCs w:val="24"/>
        </w:rPr>
        <w:t xml:space="preserve"> squares. </w:t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</w:r>
      <w:r w:rsidR="00D7387A">
        <w:rPr>
          <w:rFonts w:ascii="Times New Roman" w:hAnsi="Times New Roman"/>
          <w:sz w:val="24"/>
          <w:szCs w:val="24"/>
        </w:rPr>
        <w:tab/>
        <w:t xml:space="preserve">          </w:t>
      </w:r>
    </w:p>
    <w:p w:rsidR="003B6B64" w:rsidRDefault="00D7387A" w:rsidP="00D7387A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2A0763">
        <w:rPr>
          <w:rFonts w:ascii="Times New Roman" w:hAnsi="Times New Roman"/>
          <w:b/>
          <w:sz w:val="24"/>
          <w:szCs w:val="24"/>
        </w:rPr>
        <w:t>.4 Results</w:t>
      </w:r>
      <w:r w:rsidR="003B6B64">
        <w:rPr>
          <w:rFonts w:ascii="Times New Roman" w:hAnsi="Times New Roman"/>
          <w:b/>
          <w:sz w:val="24"/>
          <w:szCs w:val="24"/>
        </w:rPr>
        <w:t>:</w:t>
      </w:r>
    </w:p>
    <w:p w:rsidR="00D7387A" w:rsidRPr="005B253D" w:rsidRDefault="00D7387A" w:rsidP="003B6B64">
      <w:pPr>
        <w:spacing w:line="480" w:lineRule="auto"/>
        <w:rPr>
          <w:rFonts w:ascii="Times New Roman" w:hAnsi="Times New Roman"/>
          <w:sz w:val="24"/>
          <w:szCs w:val="24"/>
        </w:rPr>
      </w:pPr>
      <w:r w:rsidRPr="005B253D"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/>
          <w:sz w:val="24"/>
          <w:szCs w:val="24"/>
        </w:rPr>
        <w:t>found empirical support for H1.</w:t>
      </w:r>
      <w:r w:rsidR="003B6B64">
        <w:rPr>
          <w:rFonts w:ascii="Times New Roman" w:hAnsi="Times New Roman"/>
          <w:sz w:val="24"/>
          <w:szCs w:val="24"/>
        </w:rPr>
        <w:t xml:space="preserve">The average price change in the share of TCS.BO has brought </w:t>
      </w:r>
      <w:proofErr w:type="spellStart"/>
      <w:r w:rsidR="003B6B64">
        <w:rPr>
          <w:rFonts w:ascii="Times New Roman" w:hAnsi="Times New Roman"/>
          <w:sz w:val="24"/>
          <w:szCs w:val="24"/>
        </w:rPr>
        <w:t>siginificant</w:t>
      </w:r>
      <w:proofErr w:type="spellEnd"/>
      <w:r w:rsidR="003B6B64">
        <w:rPr>
          <w:rFonts w:ascii="Times New Roman" w:hAnsi="Times New Roman"/>
          <w:sz w:val="24"/>
          <w:szCs w:val="24"/>
        </w:rPr>
        <w:t xml:space="preserve"> change in the </w:t>
      </w:r>
      <w:proofErr w:type="spellStart"/>
      <w:r w:rsidR="003B6B64">
        <w:rPr>
          <w:rFonts w:ascii="Times New Roman" w:hAnsi="Times New Roman"/>
          <w:sz w:val="24"/>
          <w:szCs w:val="24"/>
        </w:rPr>
        <w:t>sensex</w:t>
      </w:r>
      <w:proofErr w:type="spellEnd"/>
      <w:r w:rsidR="003B6B6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B6B6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 </w:t>
      </w:r>
      <w:r w:rsidR="003B6B64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he</w:t>
      </w:r>
      <w:proofErr w:type="gramEnd"/>
      <w:r>
        <w:rPr>
          <w:rFonts w:ascii="Times New Roman" w:hAnsi="Times New Roman"/>
          <w:sz w:val="24"/>
          <w:szCs w:val="24"/>
        </w:rPr>
        <w:t xml:space="preserve"> regression analysis using Ordinary Least </w:t>
      </w:r>
      <w:r>
        <w:rPr>
          <w:rFonts w:ascii="Times New Roman" w:hAnsi="Times New Roman"/>
          <w:sz w:val="24"/>
          <w:szCs w:val="24"/>
        </w:rPr>
        <w:lastRenderedPageBreak/>
        <w:t xml:space="preserve">Squares yielded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B6B64">
        <w:rPr>
          <w:rFonts w:ascii="Times New Roman" w:hAnsi="Times New Roman"/>
          <w:sz w:val="24"/>
          <w:szCs w:val="24"/>
        </w:rPr>
        <w:t xml:space="preserve">&gt;0, with p&lt;0.05.Similarly </w:t>
      </w:r>
      <w:r>
        <w:rPr>
          <w:rFonts w:ascii="Times New Roman" w:hAnsi="Times New Roman"/>
          <w:sz w:val="24"/>
          <w:szCs w:val="24"/>
        </w:rPr>
        <w:t xml:space="preserve"> Th</w:t>
      </w:r>
      <w:r w:rsidR="003B6B64">
        <w:rPr>
          <w:rFonts w:ascii="Times New Roman" w:hAnsi="Times New Roman"/>
          <w:sz w:val="24"/>
          <w:szCs w:val="24"/>
        </w:rPr>
        <w:t xml:space="preserve">e average price of a ICICI BANK has brought </w:t>
      </w:r>
      <w:proofErr w:type="spellStart"/>
      <w:r w:rsidR="003B6B64">
        <w:rPr>
          <w:rFonts w:ascii="Times New Roman" w:hAnsi="Times New Roman"/>
          <w:sz w:val="24"/>
          <w:szCs w:val="24"/>
        </w:rPr>
        <w:t>siginificant</w:t>
      </w:r>
      <w:proofErr w:type="spellEnd"/>
      <w:r w:rsidR="003B6B64">
        <w:rPr>
          <w:rFonts w:ascii="Times New Roman" w:hAnsi="Times New Roman"/>
          <w:sz w:val="24"/>
          <w:szCs w:val="24"/>
        </w:rPr>
        <w:t xml:space="preserve"> change in the value of </w:t>
      </w:r>
      <w:proofErr w:type="spellStart"/>
      <w:r w:rsidR="003B6B64">
        <w:rPr>
          <w:rFonts w:ascii="Times New Roman" w:hAnsi="Times New Roman"/>
          <w:sz w:val="24"/>
          <w:szCs w:val="24"/>
        </w:rPr>
        <w:t>sensex</w:t>
      </w:r>
      <w:proofErr w:type="spellEnd"/>
      <w:r w:rsidR="003B6B64">
        <w:rPr>
          <w:rFonts w:ascii="Times New Roman" w:hAnsi="Times New Roman"/>
          <w:sz w:val="24"/>
          <w:szCs w:val="24"/>
        </w:rPr>
        <w:t xml:space="preserve"> movement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3B6B64">
        <w:rPr>
          <w:rFonts w:ascii="Times New Roman" w:hAnsi="Times New Roman"/>
          <w:sz w:val="24"/>
          <w:szCs w:val="24"/>
        </w:rPr>
        <w:t xml:space="preserve">&lt;0, with p&lt;0.05 and so does the </w:t>
      </w:r>
      <w:proofErr w:type="spellStart"/>
      <w:r w:rsidR="003B6B64">
        <w:rPr>
          <w:rFonts w:ascii="Times New Roman" w:hAnsi="Times New Roman"/>
          <w:sz w:val="24"/>
          <w:szCs w:val="24"/>
        </w:rPr>
        <w:t>Asain</w:t>
      </w:r>
      <w:proofErr w:type="spellEnd"/>
      <w:r w:rsidR="003B6B64">
        <w:rPr>
          <w:rFonts w:ascii="Times New Roman" w:hAnsi="Times New Roman"/>
          <w:sz w:val="24"/>
          <w:szCs w:val="24"/>
        </w:rPr>
        <w:t xml:space="preserve"> Paints share.</w:t>
      </w:r>
    </w:p>
    <w:p w:rsidR="00D7387A" w:rsidRPr="002A0763" w:rsidRDefault="00D7387A" w:rsidP="00D7387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2A0763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Conclusion</w:t>
      </w:r>
    </w:p>
    <w:p w:rsidR="00E33251" w:rsidRDefault="000A0748" w:rsidP="00E33251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study was motivated by the fact that stocks which considered for this study are having greater influence on the movements of SENSEX when the i</w:t>
      </w:r>
      <w:r w:rsidR="00D85E71">
        <w:rPr>
          <w:rFonts w:ascii="Times New Roman" w:hAnsi="Times New Roman"/>
          <w:sz w:val="24"/>
          <w:szCs w:val="24"/>
        </w:rPr>
        <w:t>ndividual stock prices either rise or fall</w:t>
      </w:r>
      <w:r>
        <w:rPr>
          <w:rFonts w:ascii="Times New Roman" w:hAnsi="Times New Roman"/>
          <w:sz w:val="24"/>
          <w:szCs w:val="24"/>
        </w:rPr>
        <w:t>. So, I conclude that there is an influence of the stocks TCS</w:t>
      </w:r>
      <w:proofErr w:type="gramStart"/>
      <w:r>
        <w:rPr>
          <w:rFonts w:ascii="Times New Roman" w:hAnsi="Times New Roman"/>
          <w:sz w:val="24"/>
          <w:szCs w:val="24"/>
        </w:rPr>
        <w:t>,ICICIBANK</w:t>
      </w:r>
      <w:proofErr w:type="gramEnd"/>
      <w:r>
        <w:rPr>
          <w:rFonts w:ascii="Times New Roman" w:hAnsi="Times New Roman"/>
          <w:sz w:val="24"/>
          <w:szCs w:val="24"/>
        </w:rPr>
        <w:t xml:space="preserve"> and ASIANPAINTS on the index SENSEX and this can be measured by using the prediction equation.</w:t>
      </w:r>
      <w:r w:rsidR="00D7387A">
        <w:rPr>
          <w:rFonts w:ascii="Times New Roman" w:hAnsi="Times New Roman"/>
          <w:sz w:val="24"/>
          <w:szCs w:val="24"/>
        </w:rPr>
        <w:t xml:space="preserve"> </w:t>
      </w:r>
    </w:p>
    <w:p w:rsidR="000A0748" w:rsidRPr="000509A2" w:rsidRDefault="000A0748" w:rsidP="000A0748">
      <w:pPr>
        <w:cnfStyle w:val="0000001000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/>
          <w:sz w:val="24"/>
          <w:szCs w:val="24"/>
        </w:rPr>
        <w:t xml:space="preserve">SENSEX.BO = </w:t>
      </w:r>
      <w:r w:rsidRPr="000509A2">
        <w:rPr>
          <w:rFonts w:ascii="Times New Roman" w:hAnsi="Times New Roman" w:cs="Times New Roman"/>
          <w:color w:val="000000"/>
        </w:rPr>
        <w:t>20447.3564</w:t>
      </w:r>
      <w:r>
        <w:rPr>
          <w:rFonts w:ascii="Times New Roman" w:hAnsi="Times New Roman" w:cs="Times New Roman"/>
          <w:color w:val="000000"/>
        </w:rPr>
        <w:t xml:space="preserve"> + 1.9586 * TCS. BO - 0.9677 * ICICIBANK .BO </w:t>
      </w:r>
      <w:proofErr w:type="gramStart"/>
      <w:r>
        <w:rPr>
          <w:rFonts w:ascii="Times New Roman" w:hAnsi="Times New Roman" w:cs="Times New Roman"/>
          <w:color w:val="000000"/>
        </w:rPr>
        <w:t xml:space="preserve">+  </w:t>
      </w:r>
      <w:r w:rsidR="00386CB7">
        <w:rPr>
          <w:rFonts w:ascii="Times New Roman" w:hAnsi="Times New Roman" w:cs="Times New Roman"/>
          <w:color w:val="000000"/>
        </w:rPr>
        <w:t>1.7753</w:t>
      </w:r>
      <w:proofErr w:type="gramEnd"/>
      <w:r w:rsidR="00386CB7">
        <w:rPr>
          <w:rFonts w:ascii="Times New Roman" w:hAnsi="Times New Roman" w:cs="Times New Roman"/>
          <w:color w:val="000000"/>
        </w:rPr>
        <w:t xml:space="preserve"> * ASIANPAINTS.BO</w:t>
      </w:r>
    </w:p>
    <w:p w:rsidR="000A0748" w:rsidRPr="000A0748" w:rsidRDefault="000A0748" w:rsidP="00A40E02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D7387A" w:rsidRPr="000A0748" w:rsidRDefault="00D7387A" w:rsidP="00A40E02">
      <w:pPr>
        <w:spacing w:line="48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Table 1</w:t>
      </w:r>
      <w:r w:rsidRPr="00EE26BA">
        <w:rPr>
          <w:rFonts w:ascii="Times New Roman" w:hAnsi="Times New Roman"/>
          <w:b/>
          <w:sz w:val="24"/>
          <w:szCs w:val="24"/>
        </w:rPr>
        <w:t xml:space="preserve">: </w:t>
      </w:r>
      <w:r w:rsidR="00C63ACB">
        <w:rPr>
          <w:rFonts w:ascii="Times New Roman" w:hAnsi="Times New Roman"/>
          <w:sz w:val="24"/>
          <w:szCs w:val="24"/>
        </w:rPr>
        <w:t>Summary statistics of the data.</w:t>
      </w:r>
      <w:proofErr w:type="gramEnd"/>
    </w:p>
    <w:tbl>
      <w:tblPr>
        <w:tblStyle w:val="PlainTable21"/>
        <w:tblW w:w="7268" w:type="dxa"/>
        <w:tblLook w:val="04A0"/>
      </w:tblPr>
      <w:tblGrid>
        <w:gridCol w:w="3431"/>
        <w:gridCol w:w="1747"/>
        <w:gridCol w:w="2090"/>
      </w:tblGrid>
      <w:tr w:rsidR="00D7387A" w:rsidRPr="00393B51" w:rsidTr="00AA4F2C">
        <w:trPr>
          <w:cnfStyle w:val="100000000000"/>
          <w:trHeight w:val="304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D7387A" w:rsidP="00AA4F2C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93B51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  <w:r w:rsidR="0030729D">
              <w:rPr>
                <w:rFonts w:ascii="Times New Roman" w:eastAsia="Times New Roman" w:hAnsi="Times New Roman" w:cs="Times New Roman"/>
                <w:lang w:val="en-IN" w:eastAsia="en-IN"/>
              </w:rPr>
              <w:t>Variable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D7387A" w:rsidP="00AA4F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93B51">
              <w:rPr>
                <w:rFonts w:ascii="Times New Roman" w:eastAsia="Times New Roman" w:hAnsi="Times New Roman" w:cs="Times New Roman"/>
                <w:lang w:val="en-IN" w:eastAsia="en-IN"/>
              </w:rPr>
              <w:t>Sample (N)</w:t>
            </w:r>
          </w:p>
        </w:tc>
        <w:tc>
          <w:tcPr>
            <w:tcW w:w="2090" w:type="dxa"/>
            <w:noWrap/>
            <w:hideMark/>
          </w:tcPr>
          <w:p w:rsidR="00D7387A" w:rsidRDefault="00D7387A" w:rsidP="00AA4F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93B5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Price in </w:t>
            </w:r>
            <w:r w:rsidR="0030729D">
              <w:rPr>
                <w:rFonts w:ascii="Times New Roman" w:eastAsia="Times New Roman" w:hAnsi="Times New Roman" w:cs="Times New Roman"/>
                <w:lang w:val="en-IN" w:eastAsia="en-IN"/>
              </w:rPr>
              <w:t>INR</w:t>
            </w:r>
          </w:p>
          <w:p w:rsidR="00D7387A" w:rsidRPr="00393B51" w:rsidRDefault="00D7387A" w:rsidP="00AA4F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Mean (SD)</w:t>
            </w:r>
          </w:p>
        </w:tc>
      </w:tr>
      <w:tr w:rsidR="00D7387A" w:rsidRPr="00393B51" w:rsidTr="00AA4F2C">
        <w:trPr>
          <w:cnfStyle w:val="000000100000"/>
          <w:trHeight w:val="304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03546C" w:rsidP="00AA4F2C">
            <w:pP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  <w:t>TCS.BO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03546C" w:rsidP="00AA4F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738</w:t>
            </w:r>
          </w:p>
        </w:tc>
        <w:tc>
          <w:tcPr>
            <w:tcW w:w="2090" w:type="dxa"/>
            <w:noWrap/>
            <w:hideMark/>
          </w:tcPr>
          <w:p w:rsidR="00D7387A" w:rsidRPr="00393B51" w:rsidRDefault="005F0B73" w:rsidP="00AA4F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2367.91</w:t>
            </w:r>
            <w:r w:rsidR="0003546C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(445.87</w:t>
            </w:r>
            <w:r w:rsidR="00D7387A">
              <w:rPr>
                <w:rFonts w:ascii="Times New Roman" w:eastAsia="Times New Roman" w:hAnsi="Times New Roman" w:cs="Times New Roman"/>
                <w:lang w:val="en-IN" w:eastAsia="en-IN"/>
              </w:rPr>
              <w:t>)</w:t>
            </w:r>
          </w:p>
        </w:tc>
      </w:tr>
      <w:tr w:rsidR="00D7387A" w:rsidRPr="00393B51" w:rsidTr="00AA4F2C">
        <w:trPr>
          <w:trHeight w:val="304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03546C" w:rsidP="00AA4F2C">
            <w:pP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  <w:t>ICICIBANK.BO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03546C" w:rsidP="00AA4F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738</w:t>
            </w:r>
          </w:p>
        </w:tc>
        <w:tc>
          <w:tcPr>
            <w:tcW w:w="2090" w:type="dxa"/>
            <w:noWrap/>
            <w:hideMark/>
          </w:tcPr>
          <w:p w:rsidR="00D7387A" w:rsidRPr="00393B51" w:rsidRDefault="005F0B73" w:rsidP="00AA4F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608.47</w:t>
            </w:r>
            <w:r w:rsidR="0003546C">
              <w:rPr>
                <w:rFonts w:ascii="Times New Roman" w:eastAsia="Times New Roman" w:hAnsi="Times New Roman" w:cs="Times New Roman"/>
                <w:lang w:val="en-IN" w:eastAsia="en-IN"/>
              </w:rPr>
              <w:t>(518.20</w:t>
            </w:r>
            <w:r w:rsidR="00D7387A">
              <w:rPr>
                <w:rFonts w:ascii="Times New Roman" w:eastAsia="Times New Roman" w:hAnsi="Times New Roman" w:cs="Times New Roman"/>
                <w:lang w:val="en-IN" w:eastAsia="en-IN"/>
              </w:rPr>
              <w:t>)</w:t>
            </w:r>
          </w:p>
        </w:tc>
      </w:tr>
      <w:tr w:rsidR="00D7387A" w:rsidRPr="00393B51" w:rsidTr="00AA4F2C">
        <w:trPr>
          <w:cnfStyle w:val="000000100000"/>
          <w:trHeight w:val="304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03546C" w:rsidP="00AA4F2C">
            <w:pP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  <w:t>ASIANPAINTS.BO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03546C" w:rsidP="0003546C">
            <w:pPr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         738</w:t>
            </w:r>
          </w:p>
        </w:tc>
        <w:tc>
          <w:tcPr>
            <w:tcW w:w="2090" w:type="dxa"/>
            <w:noWrap/>
            <w:hideMark/>
          </w:tcPr>
          <w:p w:rsidR="00D7387A" w:rsidRPr="00393B51" w:rsidRDefault="005F0B73" w:rsidP="00AA4F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736.54</w:t>
            </w:r>
            <w:r w:rsidR="0003546C">
              <w:rPr>
                <w:rFonts w:ascii="Times New Roman" w:eastAsia="Times New Roman" w:hAnsi="Times New Roman" w:cs="Times New Roman"/>
                <w:lang w:val="en-IN" w:eastAsia="en-IN"/>
              </w:rPr>
              <w:t>(278.952</w:t>
            </w:r>
            <w:r w:rsidR="00D7387A">
              <w:rPr>
                <w:rFonts w:ascii="Times New Roman" w:eastAsia="Times New Roman" w:hAnsi="Times New Roman" w:cs="Times New Roman"/>
                <w:lang w:val="en-IN" w:eastAsia="en-IN"/>
              </w:rPr>
              <w:t>)</w:t>
            </w:r>
          </w:p>
        </w:tc>
      </w:tr>
      <w:tr w:rsidR="00D7387A" w:rsidRPr="00393B51" w:rsidTr="00AA4F2C">
        <w:trPr>
          <w:trHeight w:val="304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D7387A" w:rsidP="00AA4F2C">
            <w:pPr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</w:pPr>
            <w:r w:rsidRPr="00393B51">
              <w:rPr>
                <w:rFonts w:ascii="Times New Roman" w:eastAsia="Times New Roman" w:hAnsi="Times New Roman" w:cs="Times New Roman"/>
                <w:b w:val="0"/>
                <w:lang w:val="en-IN" w:eastAsia="en-IN"/>
              </w:rPr>
              <w:t> 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D7387A" w:rsidP="00AA4F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93B51">
              <w:rPr>
                <w:rFonts w:ascii="Times New Roman" w:eastAsia="Times New Roman" w:hAnsi="Times New Roman" w:cs="Times New Roman"/>
                <w:lang w:val="en-IN" w:eastAsia="en-IN"/>
              </w:rPr>
              <w:t> </w:t>
            </w:r>
          </w:p>
        </w:tc>
        <w:tc>
          <w:tcPr>
            <w:tcW w:w="2090" w:type="dxa"/>
            <w:noWrap/>
            <w:hideMark/>
          </w:tcPr>
          <w:p w:rsidR="00D7387A" w:rsidRPr="00393B51" w:rsidRDefault="00D7387A" w:rsidP="00AA4F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D7387A" w:rsidRPr="00393B51" w:rsidTr="00AA4F2C">
        <w:trPr>
          <w:cnfStyle w:val="000000100000"/>
          <w:trHeight w:val="319"/>
        </w:trPr>
        <w:tc>
          <w:tcPr>
            <w:cnfStyle w:val="001000000000"/>
            <w:tcW w:w="3431" w:type="dxa"/>
            <w:noWrap/>
            <w:hideMark/>
          </w:tcPr>
          <w:p w:rsidR="00D7387A" w:rsidRPr="00393B51" w:rsidRDefault="0003546C" w:rsidP="00AA4F2C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SENSEX.BO</w:t>
            </w:r>
          </w:p>
        </w:tc>
        <w:tc>
          <w:tcPr>
            <w:tcW w:w="1747" w:type="dxa"/>
            <w:noWrap/>
            <w:hideMark/>
          </w:tcPr>
          <w:p w:rsidR="00D7387A" w:rsidRPr="00393B51" w:rsidRDefault="0003546C" w:rsidP="00AA4F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738</w:t>
            </w:r>
          </w:p>
        </w:tc>
        <w:tc>
          <w:tcPr>
            <w:tcW w:w="2090" w:type="dxa"/>
            <w:noWrap/>
            <w:hideMark/>
          </w:tcPr>
          <w:p w:rsidR="00D7387A" w:rsidRPr="00393B51" w:rsidRDefault="0003546C" w:rsidP="00AA4F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>25802.5(3585.124</w:t>
            </w:r>
            <w:r w:rsidR="00D7387A">
              <w:rPr>
                <w:rFonts w:ascii="Times New Roman" w:eastAsia="Times New Roman" w:hAnsi="Times New Roman" w:cs="Times New Roman"/>
                <w:lang w:val="en-IN" w:eastAsia="en-IN"/>
              </w:rPr>
              <w:t>)</w:t>
            </w:r>
          </w:p>
        </w:tc>
      </w:tr>
    </w:tbl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Pr="002A0763" w:rsidRDefault="00D7387A" w:rsidP="00D7387A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2</w:t>
      </w:r>
      <w:r w:rsidRPr="002A0763">
        <w:rPr>
          <w:rFonts w:ascii="Times New Roman" w:hAnsi="Times New Roman"/>
          <w:b/>
          <w:sz w:val="24"/>
          <w:szCs w:val="24"/>
        </w:rPr>
        <w:t xml:space="preserve">: </w:t>
      </w:r>
      <w:r w:rsidRPr="002A0763">
        <w:rPr>
          <w:rFonts w:ascii="Times New Roman" w:hAnsi="Times New Roman"/>
          <w:sz w:val="24"/>
          <w:szCs w:val="24"/>
        </w:rPr>
        <w:t xml:space="preserve">Regression Analysis </w:t>
      </w:r>
    </w:p>
    <w:tbl>
      <w:tblPr>
        <w:tblStyle w:val="PlainTable21"/>
        <w:tblW w:w="7670" w:type="dxa"/>
        <w:tblLayout w:type="fixed"/>
        <w:tblLook w:val="04A0"/>
      </w:tblPr>
      <w:tblGrid>
        <w:gridCol w:w="2836"/>
        <w:gridCol w:w="1375"/>
        <w:gridCol w:w="1618"/>
        <w:gridCol w:w="1841"/>
      </w:tblGrid>
      <w:tr w:rsidR="00D7387A" w:rsidRPr="009E14DC" w:rsidTr="00AA4F2C">
        <w:trPr>
          <w:cnfStyle w:val="100000000000"/>
          <w:trHeight w:val="506"/>
        </w:trPr>
        <w:tc>
          <w:tcPr>
            <w:cnfStyle w:val="001000000000"/>
            <w:tcW w:w="2836" w:type="dxa"/>
          </w:tcPr>
          <w:p w:rsidR="00D7387A" w:rsidRPr="009E14DC" w:rsidRDefault="00D7387A" w:rsidP="00AA4F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:rsidR="00D7387A" w:rsidRPr="003F008A" w:rsidRDefault="000E6A56" w:rsidP="00AA4F2C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F008A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618" w:type="dxa"/>
          </w:tcPr>
          <w:p w:rsidR="00D7387A" w:rsidRPr="003F008A" w:rsidRDefault="00D7387A" w:rsidP="00AA4F2C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F008A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841" w:type="dxa"/>
          </w:tcPr>
          <w:p w:rsidR="00D7387A" w:rsidRPr="003F008A" w:rsidRDefault="00D7387A" w:rsidP="00AA4F2C">
            <w:pPr>
              <w:jc w:val="center"/>
              <w:cnfStyle w:val="100000000000"/>
              <w:rPr>
                <w:rFonts w:ascii="Times New Roman" w:hAnsi="Times New Roman"/>
              </w:rPr>
            </w:pPr>
            <w:r w:rsidRPr="003F008A">
              <w:rPr>
                <w:rFonts w:ascii="Times New Roman" w:hAnsi="Times New Roman"/>
              </w:rPr>
              <w:t>t-statistics</w:t>
            </w:r>
          </w:p>
          <w:p w:rsidR="00D7387A" w:rsidRPr="003F008A" w:rsidRDefault="00D7387A" w:rsidP="00AA4F2C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</w:p>
        </w:tc>
      </w:tr>
      <w:tr w:rsidR="00D7387A" w:rsidRPr="009E14DC" w:rsidTr="00AA4F2C">
        <w:trPr>
          <w:cnfStyle w:val="000000100000"/>
          <w:trHeight w:val="506"/>
        </w:trPr>
        <w:tc>
          <w:tcPr>
            <w:cnfStyle w:val="001000000000"/>
            <w:tcW w:w="2836" w:type="dxa"/>
          </w:tcPr>
          <w:p w:rsidR="00D7387A" w:rsidRPr="003F008A" w:rsidRDefault="00D7387A" w:rsidP="00AA4F2C">
            <w:pPr>
              <w:rPr>
                <w:rFonts w:ascii="Times New Roman" w:hAnsi="Times New Roman" w:cs="Times New Roman"/>
                <w:b w:val="0"/>
              </w:rPr>
            </w:pPr>
            <w:r w:rsidRPr="003F008A">
              <w:rPr>
                <w:rFonts w:ascii="Times New Roman" w:hAnsi="Times New Roman" w:cs="Times New Roman"/>
                <w:b w:val="0"/>
              </w:rPr>
              <w:t>Intercept</w:t>
            </w:r>
          </w:p>
        </w:tc>
        <w:tc>
          <w:tcPr>
            <w:tcW w:w="1375" w:type="dxa"/>
          </w:tcPr>
          <w:p w:rsidR="000509A2" w:rsidRPr="000509A2" w:rsidRDefault="000509A2" w:rsidP="000509A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 w:rsidRPr="000509A2">
              <w:rPr>
                <w:rFonts w:ascii="Times New Roman" w:hAnsi="Times New Roman" w:cs="Times New Roman"/>
                <w:color w:val="000000"/>
              </w:rPr>
              <w:t>20447.3564</w:t>
            </w:r>
          </w:p>
          <w:p w:rsidR="00D7387A" w:rsidRPr="009E14DC" w:rsidRDefault="00D7387A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18" w:type="dxa"/>
          </w:tcPr>
          <w:p w:rsidR="000509A2" w:rsidRPr="000509A2" w:rsidRDefault="000509A2" w:rsidP="000509A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 w:rsidRPr="000509A2">
              <w:rPr>
                <w:rFonts w:ascii="Times New Roman" w:hAnsi="Times New Roman" w:cs="Times New Roman"/>
                <w:color w:val="000000"/>
              </w:rPr>
              <w:t>712.8694</w:t>
            </w:r>
          </w:p>
          <w:p w:rsidR="00D7387A" w:rsidRPr="009E14DC" w:rsidRDefault="00D7387A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1" w:type="dxa"/>
          </w:tcPr>
          <w:p w:rsidR="000509A2" w:rsidRPr="000509A2" w:rsidRDefault="000509A2" w:rsidP="000509A2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 w:rsidRPr="000509A2">
              <w:rPr>
                <w:rFonts w:ascii="Times New Roman" w:hAnsi="Times New Roman" w:cs="Times New Roman"/>
                <w:color w:val="000000"/>
              </w:rPr>
              <w:t>28.683</w:t>
            </w:r>
          </w:p>
          <w:p w:rsidR="00D7387A" w:rsidRPr="009E14DC" w:rsidRDefault="00D7387A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7387A" w:rsidRPr="009E14DC" w:rsidTr="00AA4F2C">
        <w:trPr>
          <w:trHeight w:val="506"/>
        </w:trPr>
        <w:tc>
          <w:tcPr>
            <w:cnfStyle w:val="001000000000"/>
            <w:tcW w:w="2836" w:type="dxa"/>
          </w:tcPr>
          <w:p w:rsidR="00D7387A" w:rsidRPr="003F008A" w:rsidRDefault="009C6FC9" w:rsidP="00AA4F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TCS.BO</w:t>
            </w:r>
          </w:p>
        </w:tc>
        <w:tc>
          <w:tcPr>
            <w:tcW w:w="1375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1.9586</w:t>
            </w:r>
          </w:p>
        </w:tc>
        <w:tc>
          <w:tcPr>
            <w:tcW w:w="1618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0.2916</w:t>
            </w:r>
          </w:p>
        </w:tc>
        <w:tc>
          <w:tcPr>
            <w:tcW w:w="1841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6.717</w:t>
            </w:r>
          </w:p>
        </w:tc>
      </w:tr>
      <w:tr w:rsidR="00D7387A" w:rsidRPr="009E14DC" w:rsidTr="00AA4F2C">
        <w:trPr>
          <w:cnfStyle w:val="000000100000"/>
          <w:trHeight w:val="506"/>
        </w:trPr>
        <w:tc>
          <w:tcPr>
            <w:cnfStyle w:val="001000000000"/>
            <w:tcW w:w="2836" w:type="dxa"/>
          </w:tcPr>
          <w:p w:rsidR="00D7387A" w:rsidRPr="003F008A" w:rsidRDefault="009C6FC9" w:rsidP="00AA4F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ICICIBANK.BO</w:t>
            </w:r>
          </w:p>
        </w:tc>
        <w:tc>
          <w:tcPr>
            <w:tcW w:w="1375" w:type="dxa"/>
          </w:tcPr>
          <w:p w:rsidR="00D7387A" w:rsidRPr="009E14DC" w:rsidRDefault="009C6FC9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-0.9677</w:t>
            </w:r>
          </w:p>
        </w:tc>
        <w:tc>
          <w:tcPr>
            <w:tcW w:w="1618" w:type="dxa"/>
          </w:tcPr>
          <w:p w:rsidR="00D7387A" w:rsidRPr="009E14DC" w:rsidRDefault="009C6FC9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0.2602</w:t>
            </w:r>
          </w:p>
        </w:tc>
        <w:tc>
          <w:tcPr>
            <w:tcW w:w="1841" w:type="dxa"/>
          </w:tcPr>
          <w:p w:rsidR="00D7387A" w:rsidRPr="009E14DC" w:rsidRDefault="009C6FC9" w:rsidP="00AA4F2C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-3.719</w:t>
            </w:r>
          </w:p>
        </w:tc>
      </w:tr>
      <w:tr w:rsidR="00D7387A" w:rsidRPr="009E14DC" w:rsidTr="00AA4F2C">
        <w:trPr>
          <w:trHeight w:val="506"/>
        </w:trPr>
        <w:tc>
          <w:tcPr>
            <w:cnfStyle w:val="001000000000"/>
            <w:tcW w:w="2836" w:type="dxa"/>
          </w:tcPr>
          <w:p w:rsidR="00D7387A" w:rsidRPr="003F008A" w:rsidRDefault="009C6FC9" w:rsidP="00AA4F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lastRenderedPageBreak/>
              <w:t>ASIANPAINTS.BO</w:t>
            </w:r>
          </w:p>
        </w:tc>
        <w:tc>
          <w:tcPr>
            <w:tcW w:w="1375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1.7753</w:t>
            </w:r>
          </w:p>
        </w:tc>
        <w:tc>
          <w:tcPr>
            <w:tcW w:w="1618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0.5017</w:t>
            </w:r>
          </w:p>
        </w:tc>
        <w:tc>
          <w:tcPr>
            <w:tcW w:w="1841" w:type="dxa"/>
          </w:tcPr>
          <w:p w:rsidR="00D7387A" w:rsidRPr="009E14DC" w:rsidRDefault="009C6FC9" w:rsidP="00AA4F2C">
            <w:pPr>
              <w:jc w:val="center"/>
              <w:cnfStyle w:val="00000000000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3.539</w:t>
            </w:r>
          </w:p>
        </w:tc>
      </w:tr>
    </w:tbl>
    <w:p w:rsidR="00D7387A" w:rsidRDefault="00D7387A" w:rsidP="00D7387A">
      <w:pPr>
        <w:spacing w:after="120"/>
        <w:rPr>
          <w:rFonts w:ascii="Times New Roman" w:hAnsi="Times New Roman"/>
          <w:sz w:val="24"/>
          <w:szCs w:val="24"/>
        </w:rPr>
      </w:pPr>
    </w:p>
    <w:p w:rsidR="00380B68" w:rsidRPr="00380B68" w:rsidRDefault="00380B68" w:rsidP="00380B68">
      <w:pPr>
        <w:spacing w:after="120"/>
        <w:rPr>
          <w:rFonts w:ascii="Times New Roman" w:hAnsi="Times New Roman"/>
          <w:sz w:val="24"/>
          <w:szCs w:val="24"/>
        </w:rPr>
      </w:pPr>
      <w:r w:rsidRPr="00380B68">
        <w:rPr>
          <w:rFonts w:ascii="Times New Roman" w:hAnsi="Times New Roman"/>
          <w:sz w:val="24"/>
          <w:szCs w:val="24"/>
        </w:rPr>
        <w:t>Residual standard error: 3355 on 734 degrees of freedom</w:t>
      </w:r>
    </w:p>
    <w:p w:rsidR="00380B68" w:rsidRPr="00380B68" w:rsidRDefault="00380B68" w:rsidP="00380B68">
      <w:pPr>
        <w:spacing w:after="120"/>
        <w:rPr>
          <w:rFonts w:ascii="Times New Roman" w:hAnsi="Times New Roman"/>
          <w:sz w:val="24"/>
          <w:szCs w:val="24"/>
        </w:rPr>
      </w:pPr>
      <w:r w:rsidRPr="00380B68">
        <w:rPr>
          <w:rFonts w:ascii="Times New Roman" w:hAnsi="Times New Roman"/>
          <w:sz w:val="24"/>
          <w:szCs w:val="24"/>
        </w:rPr>
        <w:t>Multiple R-squared:  0.1278,</w:t>
      </w:r>
      <w:r w:rsidRPr="00380B68">
        <w:rPr>
          <w:rFonts w:ascii="Times New Roman" w:hAnsi="Times New Roman"/>
          <w:sz w:val="24"/>
          <w:szCs w:val="24"/>
        </w:rPr>
        <w:tab/>
        <w:t xml:space="preserve">Adjusted R-squared:  0.1243 </w:t>
      </w:r>
    </w:p>
    <w:p w:rsidR="00380B68" w:rsidRDefault="00380B68" w:rsidP="00380B68">
      <w:pPr>
        <w:spacing w:after="120"/>
        <w:rPr>
          <w:rFonts w:ascii="Times New Roman" w:hAnsi="Times New Roman"/>
          <w:sz w:val="24"/>
          <w:szCs w:val="24"/>
        </w:rPr>
      </w:pPr>
      <w:r w:rsidRPr="00380B68">
        <w:rPr>
          <w:rFonts w:ascii="Times New Roman" w:hAnsi="Times New Roman"/>
          <w:sz w:val="24"/>
          <w:szCs w:val="24"/>
        </w:rPr>
        <w:t>F-statistic: 35.86 on 3 and 734 DF</w:t>
      </w:r>
      <w:proofErr w:type="gramStart"/>
      <w:r w:rsidRPr="00380B68">
        <w:rPr>
          <w:rFonts w:ascii="Times New Roman" w:hAnsi="Times New Roman"/>
          <w:sz w:val="24"/>
          <w:szCs w:val="24"/>
        </w:rPr>
        <w:t>,  p</w:t>
      </w:r>
      <w:proofErr w:type="gramEnd"/>
      <w:r w:rsidRPr="00380B68">
        <w:rPr>
          <w:rFonts w:ascii="Times New Roman" w:hAnsi="Times New Roman"/>
          <w:sz w:val="24"/>
          <w:szCs w:val="24"/>
        </w:rPr>
        <w:t>-value: &lt; 2.2e-16</w:t>
      </w:r>
    </w:p>
    <w:p w:rsidR="00E33251" w:rsidRDefault="00E33251" w:rsidP="00380B68">
      <w:pPr>
        <w:spacing w:after="120"/>
        <w:rPr>
          <w:rFonts w:ascii="Times New Roman" w:hAnsi="Times New Roman"/>
          <w:sz w:val="24"/>
          <w:szCs w:val="24"/>
        </w:rPr>
      </w:pPr>
    </w:p>
    <w:p w:rsidR="00E33251" w:rsidRDefault="00E33251" w:rsidP="00380B68">
      <w:pPr>
        <w:spacing w:after="120"/>
        <w:rPr>
          <w:rFonts w:ascii="Times New Roman" w:hAnsi="Times New Roman"/>
          <w:sz w:val="24"/>
          <w:szCs w:val="24"/>
        </w:rPr>
      </w:pPr>
    </w:p>
    <w:p w:rsidR="00E33251" w:rsidRDefault="00E33251" w:rsidP="00380B68">
      <w:pPr>
        <w:spacing w:after="120"/>
        <w:rPr>
          <w:rFonts w:ascii="Times New Roman" w:hAnsi="Times New Roman"/>
          <w:sz w:val="24"/>
          <w:szCs w:val="24"/>
        </w:rPr>
      </w:pPr>
    </w:p>
    <w:p w:rsidR="00E33251" w:rsidRDefault="00E33251" w:rsidP="00E3325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2A0763">
        <w:rPr>
          <w:rFonts w:ascii="Times New Roman" w:hAnsi="Times New Roman"/>
          <w:b/>
          <w:sz w:val="24"/>
          <w:szCs w:val="24"/>
        </w:rPr>
        <w:t>. References</w:t>
      </w:r>
    </w:p>
    <w:p w:rsidR="00E33251" w:rsidRDefault="00C22038" w:rsidP="00E3325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hyperlink r:id="rId11" w:history="1">
        <w:r w:rsidR="00E33251" w:rsidRPr="002F6CDB">
          <w:rPr>
            <w:rStyle w:val="Hyperlink"/>
            <w:rFonts w:ascii="Times New Roman" w:hAnsi="Times New Roman"/>
            <w:b/>
            <w:sz w:val="24"/>
            <w:szCs w:val="24"/>
          </w:rPr>
          <w:t>https://en.wikipedia.org/wiki/BSE_SENSEX</w:t>
        </w:r>
      </w:hyperlink>
    </w:p>
    <w:p w:rsidR="00E33251" w:rsidRPr="00E41530" w:rsidRDefault="00C22038" w:rsidP="00E3325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hyperlink r:id="rId12" w:history="1">
        <w:r w:rsidR="00E33251" w:rsidRPr="00E41530">
          <w:rPr>
            <w:rFonts w:ascii="Times New Roman" w:hAnsi="Times New Roman"/>
            <w:b/>
            <w:sz w:val="24"/>
            <w:szCs w:val="24"/>
          </w:rPr>
          <w:t>https://in.finance.yahoo.com/</w:t>
        </w:r>
      </w:hyperlink>
    </w:p>
    <w:p w:rsidR="00E33251" w:rsidRDefault="00C22038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3" w:history="1">
        <w:r w:rsidR="00E33251" w:rsidRPr="002F6CDB">
          <w:rPr>
            <w:rStyle w:val="Hyperlink"/>
            <w:rFonts w:ascii="Times New Roman" w:hAnsi="Times New Roman"/>
            <w:sz w:val="24"/>
            <w:szCs w:val="24"/>
          </w:rPr>
          <w:t>https://courses.edx.org/courses/course-v1:ColumbiaX+CSMM.102x+2T2017/courseware/72447618dfce491584fb7c45f709e99a/428689a35172423f9fd4c5c31ccf8bd9/?activate_block_id=block-v1%3AColumbiaX%2BCSMM.102x%2B2T2017%2Btype%40sequential%2Bblock%40428689a35172423f9fd4c5c31ccf8bd9</w:t>
        </w:r>
      </w:hyperlink>
    </w:p>
    <w:p w:rsidR="00E33251" w:rsidRDefault="00E33251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33251" w:rsidRDefault="00E33251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33251" w:rsidRDefault="00C22038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4" w:history="1">
        <w:r w:rsidR="00E33251" w:rsidRPr="002F6CDB">
          <w:rPr>
            <w:rStyle w:val="Hyperlink"/>
            <w:rFonts w:ascii="Times New Roman" w:hAnsi="Times New Roman"/>
            <w:sz w:val="24"/>
            <w:szCs w:val="24"/>
          </w:rPr>
          <w:t>https://www.udemy.com/courses/</w:t>
        </w:r>
      </w:hyperlink>
    </w:p>
    <w:p w:rsidR="00E33251" w:rsidRDefault="00E33251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33251" w:rsidRDefault="00C22038" w:rsidP="00E3325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hyperlink r:id="rId15" w:history="1">
        <w:r w:rsidR="00E33251" w:rsidRPr="002F6CDB">
          <w:rPr>
            <w:rStyle w:val="Hyperlink"/>
            <w:rFonts w:ascii="Times New Roman" w:hAnsi="Times New Roman"/>
            <w:sz w:val="24"/>
            <w:szCs w:val="24"/>
          </w:rPr>
          <w:t>https://www.r-bloggers.com/</w:t>
        </w:r>
      </w:hyperlink>
    </w:p>
    <w:p w:rsidR="00E33251" w:rsidRPr="00380B68" w:rsidRDefault="00E33251" w:rsidP="00380B68">
      <w:pPr>
        <w:spacing w:after="120"/>
        <w:rPr>
          <w:rFonts w:ascii="Times New Roman" w:hAnsi="Times New Roman"/>
          <w:sz w:val="24"/>
          <w:szCs w:val="24"/>
        </w:rPr>
      </w:pPr>
    </w:p>
    <w:p w:rsidR="00380B68" w:rsidRPr="002A0763" w:rsidRDefault="00380B68" w:rsidP="00D7387A">
      <w:pPr>
        <w:spacing w:after="120"/>
        <w:rPr>
          <w:rFonts w:ascii="Times New Roman" w:hAnsi="Times New Roman"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D7387A" w:rsidRDefault="00D7387A" w:rsidP="00D7387A">
      <w:pPr>
        <w:rPr>
          <w:rFonts w:ascii="Times New Roman" w:hAnsi="Times New Roman"/>
          <w:b/>
          <w:sz w:val="24"/>
          <w:szCs w:val="24"/>
        </w:rPr>
      </w:pPr>
    </w:p>
    <w:p w:rsidR="000C5EAB" w:rsidRDefault="00D7387A" w:rsidP="00EA79D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A0763">
        <w:rPr>
          <w:rFonts w:ascii="Times New Roman" w:hAnsi="Times New Roman"/>
          <w:sz w:val="24"/>
          <w:szCs w:val="24"/>
        </w:rPr>
        <w:br w:type="page"/>
      </w:r>
      <w:r w:rsidR="00EA79D7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</w:t>
      </w: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p w:rsidR="00114604" w:rsidRDefault="00114604" w:rsidP="00171C69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</w:p>
    <w:sectPr w:rsidR="00114604" w:rsidSect="006C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D25E7"/>
    <w:multiLevelType w:val="hybridMultilevel"/>
    <w:tmpl w:val="CF268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06CEB"/>
    <w:rsid w:val="00025C48"/>
    <w:rsid w:val="0003546C"/>
    <w:rsid w:val="00047395"/>
    <w:rsid w:val="000509A2"/>
    <w:rsid w:val="000A0748"/>
    <w:rsid w:val="000C5EAB"/>
    <w:rsid w:val="000D084C"/>
    <w:rsid w:val="000D415F"/>
    <w:rsid w:val="000E0BD5"/>
    <w:rsid w:val="000E6A56"/>
    <w:rsid w:val="00114604"/>
    <w:rsid w:val="00134308"/>
    <w:rsid w:val="00136736"/>
    <w:rsid w:val="001668D4"/>
    <w:rsid w:val="00171C69"/>
    <w:rsid w:val="00214FA0"/>
    <w:rsid w:val="00251C6B"/>
    <w:rsid w:val="00281B08"/>
    <w:rsid w:val="00284A9E"/>
    <w:rsid w:val="00293BF0"/>
    <w:rsid w:val="0030729D"/>
    <w:rsid w:val="00321DA9"/>
    <w:rsid w:val="0035058A"/>
    <w:rsid w:val="00350856"/>
    <w:rsid w:val="0038056C"/>
    <w:rsid w:val="00380B68"/>
    <w:rsid w:val="00386CB7"/>
    <w:rsid w:val="003B6B64"/>
    <w:rsid w:val="003D4F16"/>
    <w:rsid w:val="004050C9"/>
    <w:rsid w:val="00406CEB"/>
    <w:rsid w:val="0045060E"/>
    <w:rsid w:val="00482EB4"/>
    <w:rsid w:val="004A04D8"/>
    <w:rsid w:val="004B605A"/>
    <w:rsid w:val="004B7E8D"/>
    <w:rsid w:val="0055068E"/>
    <w:rsid w:val="00555E7B"/>
    <w:rsid w:val="00574C71"/>
    <w:rsid w:val="00580CD1"/>
    <w:rsid w:val="005F0B73"/>
    <w:rsid w:val="006031C7"/>
    <w:rsid w:val="00625AE4"/>
    <w:rsid w:val="00633DA6"/>
    <w:rsid w:val="00637965"/>
    <w:rsid w:val="0066467C"/>
    <w:rsid w:val="006C313A"/>
    <w:rsid w:val="007B35E2"/>
    <w:rsid w:val="007B481F"/>
    <w:rsid w:val="00822C4B"/>
    <w:rsid w:val="008321EA"/>
    <w:rsid w:val="00855C6B"/>
    <w:rsid w:val="008648A8"/>
    <w:rsid w:val="00895560"/>
    <w:rsid w:val="00925AA8"/>
    <w:rsid w:val="0094040E"/>
    <w:rsid w:val="00970489"/>
    <w:rsid w:val="009C292C"/>
    <w:rsid w:val="009C5247"/>
    <w:rsid w:val="009C6FC9"/>
    <w:rsid w:val="00A17A0C"/>
    <w:rsid w:val="00A269C6"/>
    <w:rsid w:val="00A40E02"/>
    <w:rsid w:val="00A57CC7"/>
    <w:rsid w:val="00A741BD"/>
    <w:rsid w:val="00A84A6D"/>
    <w:rsid w:val="00AA5C33"/>
    <w:rsid w:val="00AB4877"/>
    <w:rsid w:val="00AE7F9C"/>
    <w:rsid w:val="00B92CD6"/>
    <w:rsid w:val="00BC0353"/>
    <w:rsid w:val="00BE4807"/>
    <w:rsid w:val="00C22038"/>
    <w:rsid w:val="00C539BE"/>
    <w:rsid w:val="00C63ACB"/>
    <w:rsid w:val="00C81EC2"/>
    <w:rsid w:val="00CA0046"/>
    <w:rsid w:val="00CE3250"/>
    <w:rsid w:val="00D01C9E"/>
    <w:rsid w:val="00D04E38"/>
    <w:rsid w:val="00D103FD"/>
    <w:rsid w:val="00D32F34"/>
    <w:rsid w:val="00D579F0"/>
    <w:rsid w:val="00D7387A"/>
    <w:rsid w:val="00D85E71"/>
    <w:rsid w:val="00DB1069"/>
    <w:rsid w:val="00DB5F6B"/>
    <w:rsid w:val="00DB75A1"/>
    <w:rsid w:val="00DC67A8"/>
    <w:rsid w:val="00DF7335"/>
    <w:rsid w:val="00E10CA8"/>
    <w:rsid w:val="00E33251"/>
    <w:rsid w:val="00E41530"/>
    <w:rsid w:val="00EA79D7"/>
    <w:rsid w:val="00EB0B0A"/>
    <w:rsid w:val="00EB3E03"/>
    <w:rsid w:val="00ED1C7D"/>
    <w:rsid w:val="00F25086"/>
    <w:rsid w:val="00F53B07"/>
    <w:rsid w:val="00F66C5D"/>
    <w:rsid w:val="00F84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D7387A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7387A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D7387A"/>
  </w:style>
  <w:style w:type="paragraph" w:styleId="BalloonText">
    <w:name w:val="Balloon Text"/>
    <w:basedOn w:val="Normal"/>
    <w:link w:val="BalloonTextChar"/>
    <w:uiPriority w:val="99"/>
    <w:semiHidden/>
    <w:unhideWhenUsed/>
    <w:rsid w:val="00D7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87A"/>
    <w:pPr>
      <w:ind w:left="720"/>
      <w:contextualSpacing/>
    </w:pPr>
  </w:style>
  <w:style w:type="character" w:customStyle="1" w:styleId="nowrap">
    <w:name w:val="nowrap"/>
    <w:basedOn w:val="DefaultParagraphFont"/>
    <w:rsid w:val="00D73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ustry" TargetMode="External"/><Relationship Id="rId13" Type="http://schemas.openxmlformats.org/officeDocument/2006/relationships/hyperlink" Target="https://courses.edx.org/courses/course-v1:ColumbiaX+CSMM.102x+2T2017/courseware/72447618dfce491584fb7c45f709e99a/428689a35172423f9fd4c5c31ccf8bd9/?activate_block_id=block-v1%3AColumbiaX%2BCSMM.102x%2B2T2017%2Btype%40sequential%2Bblock%40428689a35172423f9fd4c5c31ccf8bd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mbay_Stock_Exchange" TargetMode="External"/><Relationship Id="rId12" Type="http://schemas.openxmlformats.org/officeDocument/2006/relationships/hyperlink" Target="https://in.finance.yaho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ock_market_index" TargetMode="External"/><Relationship Id="rId11" Type="http://schemas.openxmlformats.org/officeDocument/2006/relationships/hyperlink" Target="https://en.wikipedia.org/wiki/BSE_SENSEX" TargetMode="External"/><Relationship Id="rId5" Type="http://schemas.openxmlformats.org/officeDocument/2006/relationships/hyperlink" Target="https://en.wikipedia.org/wiki/Capitalization-weighted_index" TargetMode="External"/><Relationship Id="rId15" Type="http://schemas.openxmlformats.org/officeDocument/2006/relationships/hyperlink" Target="https://www.r-bloggers.com/" TargetMode="External"/><Relationship Id="rId10" Type="http://schemas.openxmlformats.org/officeDocument/2006/relationships/hyperlink" Target="https://in.finance.yaho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udemy.com/cour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271</cp:revision>
  <dcterms:created xsi:type="dcterms:W3CDTF">2017-06-12T04:20:00Z</dcterms:created>
  <dcterms:modified xsi:type="dcterms:W3CDTF">2017-06-16T10:04:00Z</dcterms:modified>
</cp:coreProperties>
</file>