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ELED 222: Educational Technology for PreK-6 Educators</w:t>
      </w:r>
    </w:p>
    <w:p>
      <w:pPr>
        <w:spacing w:after="200"/>
      </w:pPr>
      <w:r>
        <w:t xml:space="preserve">Fall 2025 - Fully Asynchronous Online Course</w:t>
      </w:r>
    </w:p>
    <w:p>
      <w:pPr>
        <w:pStyle w:val="Heading2"/>
        <w:spacing w:before="240" w:after="120"/>
      </w:pPr>
      <w:r>
        <w:t xml:space="preserve">Instructor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Contact Type</w:t>
            </w:r>
          </w:p>
        </w:tc>
        <w:tc>
          <w:tcPr>
            <w:shd w:fill="E8E8E8" w:color="E8E8E8" w:val="solid"/>
          </w:tcPr>
          <w:p>
            <w:r>
              <w:t xml:space="preserve">Details</w:t>
            </w:r>
          </w:p>
        </w:tc>
      </w:tr>
      <w:tr>
        <w:trPr>
          <w:tblHeader/>
        </w:trPr>
        <w:tc>
          <w:tcPr>
            <w:shd w:fill="E8E8E8" w:color="E8E8E8" w:val="solid"/>
          </w:tcPr>
          <w:p>
            <w:r>
              <w:t xml:space="preserve">Instructor</w:t>
            </w:r>
          </w:p>
        </w:tc>
        <w:tc>
          <w:p>
            <w:r>
              <w:t xml:space="preserve">Professor Shawn O'Neill</w:t>
            </w:r>
          </w:p>
        </w:tc>
      </w:tr>
      <w:tr>
        <w:trPr>
          <w:tblHeader/>
        </w:trPr>
        <w:tc>
          <w:tcPr>
            <w:shd w:fill="E8E8E8" w:color="E8E8E8" w:val="solid"/>
          </w:tcPr>
          <w:p>
            <w:r>
              <w:t xml:space="preserve">Office Hours</w:t>
            </w:r>
          </w:p>
        </w:tc>
        <w:tc>
          <w:p>
            <w:r>
              <w:t xml:space="preserve">Please contact me if you would like to meet. I am always happy to set up a meeting over Zoom. </w:t>
            </w:r>
            <w:r>
              <w:t xml:space="preserve">😊</w:t>
            </w:r>
          </w:p>
        </w:tc>
      </w:tr>
      <w:tr>
        <w:trPr>
          <w:tblHeader/>
        </w:trPr>
        <w:tc>
          <w:tcPr>
            <w:shd w:fill="E8E8E8" w:color="E8E8E8" w:val="solid"/>
          </w:tcPr>
          <w:p>
            <w:r>
              <w:t xml:space="preserve">Email</w:t>
            </w:r>
          </w:p>
        </w:tc>
        <w:tc>
          <w:p>
            <w:hyperlink w:history="1" r:id="rIdnggo4lpyjmhjxyaslcrxz">
              <w:r>
                <w:rPr>
                  <w:rStyle w:val="Hyperlink"/>
                </w:rPr>
                <w:t xml:space="preserve">s4oneill@bridgew.edu</w:t>
              </w:r>
            </w:hyperlink>
            <w:r>
              <w:br/>
              <w:t xml:space="preserve"/>
            </w:r>
            <w:r>
              <w:t xml:space="preserve">I will respond within 2 business days, but usually sooner! </w:t>
            </w:r>
          </w:p>
        </w:tc>
      </w:tr>
    </w:tbl>
    <w:p>
      <w:pPr>
        <w:spacing w:after="200"/>
      </w:pPr>
      <w:r>
        <w:rPr>
          <w:b/>
          <w:bCs/>
        </w:rPr>
        <w:t xml:space="preserve">Work/Life Balance Policy:</w:t>
      </w:r>
      <w:r>
        <w:t xml:space="preserve"> Work/Life balance is very important, and I try very hard to maintain it. My working hours are Monday-Friday, 8 am - 5 pm. I DO NOT check email on Saturday, Sunday, holidays, or after 5 pm. Please feel free to send a message over the weekend; however, I will not reply until Monday.</w:t>
      </w:r>
    </w:p>
    <w:p>
      <w:pPr>
        <w:pStyle w:val="Heading2"/>
        <w:spacing w:before="240" w:after="120"/>
      </w:pPr>
      <w:r>
        <w:t xml:space="preserve">Welcome to ELED 222</w:t>
      </w:r>
    </w:p>
    <w:p>
      <w:pPr>
        <w:spacing w:after="200"/>
      </w:pPr>
      <w:r>
        <w:t xml:space="preserve">Whether you're a tech wiz or tech novice, you'll leave this course with an increased digital literacy and an understanding of how technology can be used in PK-6 classroom teaching. This is going to be a fun semester!</w:t>
      </w:r>
    </w:p>
    <w:p>
      <w:pPr>
        <w:pStyle w:val="Heading2"/>
        <w:spacing w:before="240" w:after="120"/>
      </w:pPr>
      <w:r>
        <w:t xml:space="preserve">What Will You Need for This Course?</w:t>
      </w:r>
    </w:p>
    <w:p>
      <w:pPr>
        <w:spacing w:after="200"/>
      </w:pPr>
      <w:r>
        <w:t xml:space="preserve">For information about the digital tools we use in this course as well as links to BSU resources that support student learning and success, go to Online Student Support &amp; Success.</w:t>
      </w:r>
    </w:p>
    <w:p>
      <w:pPr>
        <w:pStyle w:val="Heading3"/>
        <w:spacing w:before="240" w:after="120"/>
      </w:pPr>
      <w:r>
        <w:t xml:space="preserve">Blackboard Learning Management System</w:t>
      </w:r>
    </w:p>
    <w:p>
      <w:pPr>
        <w:spacing w:after="200"/>
      </w:pPr>
      <w:r>
        <w:t xml:space="preserve">Blackboard is the Learning Management System for this course. You are automatically enrolled in our Blackboard course site. You need novice-level abilities to navigate the course site, access course resources, take part in learning activities, and check your grades. This short video shows how to navigate Blackboard.</w:t>
      </w:r>
    </w:p>
    <w:p>
      <w:pPr>
        <w:spacing w:after="200"/>
      </w:pPr>
      <w:r>
        <w:t xml:space="preserve">The readings and course materials are available on Blackboard or will be given to you in class.</w:t>
      </w:r>
    </w:p>
    <w:p>
      <w:pPr>
        <w:pStyle w:val="Heading2"/>
        <w:spacing w:before="240" w:after="120"/>
      </w:pPr>
      <w:r>
        <w:t xml:space="preserve">Course Description</w:t>
      </w:r>
    </w:p>
    <w:p>
      <w:pPr>
        <w:spacing w:after="200"/>
      </w:pPr>
      <w:r>
        <w:t xml:space="preserve">This course will help students develop a conceptual framework to integrate technology effectively into the prek-6 classroom. Students will analyze strategies and tools for implementing technology into the prek-6 classroom and will evaluate these strategies in relation to the Massachusetts Digital Literacy and Computer Science Framework. Students will gain an understanding of developmentally appropriate digital literacy skills for children and will acquire the strategies to use technology to increase learning success in the preK-6 classroom.</w:t>
      </w:r>
    </w:p>
    <w:p>
      <w:pPr>
        <w:pStyle w:val="Heading2"/>
        <w:spacing w:before="240" w:after="120"/>
      </w:pPr>
      <w:r>
        <w:t xml:space="preserve">Fall 2025 ELED 222 Course Schedule: Asynchronous / Fully Web</w:t>
      </w:r>
    </w:p>
    <w:p>
      <w:pPr>
        <w:spacing w:after="200"/>
      </w:pPr>
      <w:r>
        <w:t xml:space="preserve">This is a fully asynchronous course, so we do not have class meeting times.</w:t>
      </w:r>
    </w:p>
    <w:p>
      <w:pPr>
        <w:pStyle w:val="ListParagraph"/>
        <w:numPr>
          <w:ilvl w:val="0"/>
          <w:numId w:val="2"/>
        </w:numPr>
      </w:pPr>
      <w:r>
        <w:t xml:space="preserve">You can complete your weekly assignments at your own pace.</w:t>
      </w:r>
    </w:p>
    <w:p>
      <w:pPr>
        <w:pStyle w:val="ListParagraph"/>
        <w:numPr>
          <w:ilvl w:val="0"/>
          <w:numId w:val="2"/>
        </w:numPr>
      </w:pPr>
      <w:r>
        <w:t xml:space="preserve">All assignments will be released on Monday and due the following Sunday at 11:59 pm. You will be notified well in advance if there are any changes to this.</w:t>
      </w:r>
    </w:p>
    <w:p>
      <w:pPr>
        <w:pStyle w:val="ListParagraph"/>
        <w:numPr>
          <w:ilvl w:val="0"/>
          <w:numId w:val="2"/>
        </w:numPr>
      </w:pPr>
      <w:r>
        <w:t xml:space="preserve">You will have opportunities to engage with me and peers from class, but these, too, are asynchronous, and you can do this on your schedule within the due date.</w:t>
      </w:r>
    </w:p>
    <w:p>
      <w:pPr>
        <w:pStyle w:val="Heading2"/>
        <w:spacing w:before="240" w:after="120"/>
      </w:pPr>
      <w:r>
        <w:t xml:space="preserve">Outcomes and Standards</w:t>
      </w:r>
    </w:p>
    <w:p>
      <w:pPr>
        <w:pStyle w:val="Heading3"/>
        <w:spacing w:before="240" w:after="120"/>
      </w:pPr>
      <w:r>
        <w:t xml:space="preserve">Course Outcomes</w:t>
      </w:r>
    </w:p>
    <w:p>
      <w:pPr>
        <w:spacing w:after="200"/>
      </w:pPr>
      <w:r>
        <w:t xml:space="preserve">By the end of this course, you will be able to:</w:t>
      </w:r>
    </w:p>
    <w:p>
      <w:pPr>
        <w:pStyle w:val="ListParagraph"/>
        <w:numPr>
          <w:ilvl w:val="0"/>
          <w:numId w:val="3"/>
        </w:numPr>
      </w:pPr>
      <w:r>
        <w:t xml:space="preserve">Be able to articulate the role of digital media and mobile devices as learning tools using the ISTE Standards.</w:t>
      </w:r>
    </w:p>
    <w:p>
      <w:pPr>
        <w:pStyle w:val="ListParagraph"/>
        <w:numPr>
          <w:ilvl w:val="0"/>
          <w:numId w:val="3"/>
        </w:numPr>
      </w:pPr>
      <w:r>
        <w:t xml:space="preserve">Explore the current and potential future uses for delivering content, creating products and measuring student performance using digital media and mobile devices in a K-12 classroom.</w:t>
      </w:r>
    </w:p>
    <w:p>
      <w:pPr>
        <w:pStyle w:val="ListParagraph"/>
        <w:numPr>
          <w:ilvl w:val="0"/>
          <w:numId w:val="3"/>
        </w:numPr>
      </w:pPr>
      <w:r>
        <w:t xml:space="preserve">Identify and implement ethical practices concerning digital media and mobile devices.</w:t>
      </w:r>
    </w:p>
    <w:p>
      <w:pPr>
        <w:pStyle w:val="ListParagraph"/>
        <w:numPr>
          <w:ilvl w:val="0"/>
          <w:numId w:val="3"/>
        </w:numPr>
      </w:pPr>
      <w:r>
        <w:t xml:space="preserve">Read and analyze digital media and mobile device data to implement effective learning practices in the K-12 classroom.</w:t>
      </w:r>
    </w:p>
    <w:p>
      <w:pPr>
        <w:pStyle w:val="ListParagraph"/>
        <w:numPr>
          <w:ilvl w:val="0"/>
          <w:numId w:val="3"/>
        </w:numPr>
      </w:pPr>
      <w:r>
        <w:t xml:space="preserve">Evaluate existing curricula for the use and application of digital media and mobile devices in the K-12 classroom.</w:t>
      </w:r>
    </w:p>
    <w:p>
      <w:pPr>
        <w:pStyle w:val="ListParagraph"/>
        <w:numPr>
          <w:ilvl w:val="0"/>
          <w:numId w:val="3"/>
        </w:numPr>
      </w:pPr>
      <w:r>
        <w:t xml:space="preserve">Create a curriculum integrating digital media and mobile devices for differentiated instruction.</w:t>
      </w:r>
    </w:p>
    <w:p>
      <w:pPr>
        <w:pStyle w:val="ListParagraph"/>
        <w:numPr>
          <w:ilvl w:val="0"/>
          <w:numId w:val="3"/>
        </w:numPr>
      </w:pPr>
      <w:r>
        <w:t xml:space="preserve">Collect and organize all materials on an electronic and publicly available site.</w:t>
      </w:r>
    </w:p>
    <w:p>
      <w:pPr>
        <w:pStyle w:val="ListParagraph"/>
        <w:numPr>
          <w:ilvl w:val="0"/>
          <w:numId w:val="3"/>
        </w:numPr>
      </w:pPr>
      <w:r>
        <w:t xml:space="preserve">Analyze the use of these technologies in their current teaching situation at the grade level, school building or district level. Provide evidence-based suggestions for expanding the opportunities for students, teachers, and administrators.</w:t>
      </w:r>
    </w:p>
    <w:p>
      <w:pPr>
        <w:pStyle w:val="ListParagraph"/>
        <w:numPr>
          <w:ilvl w:val="0"/>
          <w:numId w:val="3"/>
        </w:numPr>
      </w:pPr>
      <w:r>
        <w:t xml:space="preserve">Provide a scope and sequence for technology integration at the grade level, building or district level.</w:t>
      </w:r>
    </w:p>
    <w:p>
      <w:pPr>
        <w:pStyle w:val="ListParagraph"/>
        <w:numPr>
          <w:ilvl w:val="0"/>
          <w:numId w:val="3"/>
        </w:numPr>
      </w:pPr>
      <w:r>
        <w:t xml:space="preserve">Apply research-based knowledge of learner differences, culture/ethnicity, ability/disability, gender, age, and socio-economic status in curricular delivery using digital media and mobile devices.</w:t>
      </w:r>
    </w:p>
    <w:p>
      <w:pPr>
        <w:pStyle w:val="ListParagraph"/>
        <w:numPr>
          <w:ilvl w:val="0"/>
          <w:numId w:val="3"/>
        </w:numPr>
      </w:pPr>
      <w:r>
        <w:t xml:space="preserve">Identify and implement digital media and mobile devices (including software, Apps, and other evolving technologies) to scaffold learning for success for diverse learners.</w:t>
      </w:r>
    </w:p>
    <w:p>
      <w:pPr>
        <w:pStyle w:val="Heading3"/>
        <w:spacing w:before="240" w:after="120"/>
      </w:pPr>
      <w:r>
        <w:t xml:space="preserve">Standards Alignment</w:t>
      </w:r>
    </w:p>
    <w:p>
      <w:pPr>
        <w:spacing w:after="200"/>
      </w:pPr>
      <w:r>
        <w:t xml:space="preserve">This course is designed to demonstrate the following standards to support specific content domains and skill-driven standards for:</w:t>
      </w:r>
    </w:p>
    <w:p>
      <w:pPr>
        <w:pStyle w:val="ListParagraph"/>
        <w:numPr>
          <w:ilvl w:val="0"/>
          <w:numId w:val="2"/>
        </w:numPr>
      </w:pPr>
      <w:r>
        <w:t xml:space="preserve">Massachusetts Digital Literacy and Computer Science Standards</w:t>
      </w:r>
    </w:p>
    <w:p>
      <w:pPr>
        <w:pStyle w:val="ListParagraph"/>
        <w:numPr>
          <w:ilvl w:val="0"/>
          <w:numId w:val="2"/>
        </w:numPr>
      </w:pPr>
      <w:r>
        <w:t xml:space="preserve">ISTE Standards for Educators</w:t>
      </w:r>
    </w:p>
    <w:p>
      <w:pPr>
        <w:pStyle w:val="Heading2"/>
        <w:spacing w:before="240" w:after="120"/>
      </w:pPr>
      <w:r>
        <w:t xml:space="preserve">Required Materials and Resources</w:t>
      </w:r>
    </w:p>
    <w:p>
      <w:pPr>
        <w:pStyle w:val="Heading3"/>
        <w:spacing w:before="240" w:after="120"/>
      </w:pPr>
      <w:r>
        <w:t xml:space="preserve">1. Textbook Resource</w:t>
      </w:r>
    </w:p>
    <w:p>
      <w:pPr>
        <w:spacing w:after="200"/>
      </w:pPr>
      <w:r>
        <w:t xml:space="preserve">Title:</w:t>
      </w:r>
      <w:r>
        <w:t xml:space="preserve">From Pencils to Pixels: Practical Strategies for PreK-8 Educators in 21st Century Classrooms</w:t>
      </w:r>
      <w:r>
        <w:t xml:space="preserve">Author:</w:t>
      </w:r>
      <w:r>
        <w:t xml:space="preserve">Jeanne Ingle, Heather Pacheco-Guffrey &amp; Shawn O'Neill</w:t>
      </w:r>
      <w:r>
        <w:t xml:space="preserve">Product:</w:t>
      </w:r>
      <w:r>
        <w:t xml:space="preserve">Digital-Only</w:t>
      </w:r>
      <w:r>
        <w:t xml:space="preserve">ISBN:</w:t>
      </w:r>
      <w:r>
        <w:t xml:space="preserve">9798385138746</w:t>
      </w:r>
      <w:r>
        <w:t xml:space="preserve">Cost:</w:t>
      </w:r>
    </w:p>
    <w:p>
      <w:pPr>
        <w:pStyle w:val="Heading3"/>
        <w:spacing w:before="240" w:after="120"/>
      </w:pPr>
      <w:r>
        <w:t xml:space="preserve">2. Technology</w:t>
      </w:r>
    </w:p>
    <w:p>
      <w:pPr>
        <w:spacing w:after="200"/>
      </w:pPr>
      <w:r>
        <w:t xml:space="preserve">You will need the following technology resources for this course:</w:t>
      </w:r>
    </w:p>
    <w:p>
      <w:pPr>
        <w:pStyle w:val="ListParagraph"/>
        <w:numPr>
          <w:ilvl w:val="0"/>
          <w:numId w:val="2"/>
        </w:numPr>
      </w:pPr>
      <w:r>
        <w:t xml:space="preserve">Computer (laptop or desktop)</w:t>
      </w:r>
    </w:p>
    <w:p>
      <w:pPr>
        <w:pStyle w:val="ListParagraph"/>
        <w:numPr>
          <w:ilvl w:val="0"/>
          <w:numId w:val="2"/>
        </w:numPr>
      </w:pPr>
      <w:r>
        <w:t xml:space="preserve">BSU email account</w:t>
      </w:r>
    </w:p>
    <w:p>
      <w:pPr>
        <w:pStyle w:val="ListParagraph"/>
        <w:numPr>
          <w:ilvl w:val="0"/>
          <w:numId w:val="2"/>
        </w:numPr>
      </w:pPr>
      <w:r>
        <w:t xml:space="preserve">Access to Google Docs, Slides, Google Sites, etc.</w:t>
      </w:r>
    </w:p>
    <w:p>
      <w:pPr>
        <w:pStyle w:val="ListParagraph"/>
        <w:numPr>
          <w:ilvl w:val="0"/>
          <w:numId w:val="2"/>
        </w:numPr>
      </w:pPr>
      <w:r>
        <w:t xml:space="preserve">A (free) personal Gmail account. If you do not already have one, please create one. You will use this for your Google Educator Level 1 Training and Google Site assignments.</w:t>
      </w:r>
    </w:p>
    <w:p>
      <w:pPr>
        <w:pStyle w:val="ListParagraph"/>
        <w:numPr>
          <w:ilvl w:val="0"/>
          <w:numId w:val="2"/>
        </w:numPr>
      </w:pPr>
      <w:r>
        <w:t xml:space="preserve">Access to Blackboard. All online work will be made available through Blackboard</w:t>
      </w:r>
    </w:p>
    <w:p>
      <w:pPr>
        <w:pStyle w:val="Heading4"/>
        <w:spacing w:before="240" w:after="120"/>
      </w:pPr>
      <w:r>
        <w:t xml:space="preserve">Please sign up for or bookmark the following:</w:t>
      </w:r>
    </w:p>
    <w:p>
      <w:pPr>
        <w:pStyle w:val="ListParagraph"/>
        <w:numPr>
          <w:ilvl w:val="0"/>
          <w:numId w:val="2"/>
        </w:numPr>
      </w:pPr>
      <w:hyperlink w:history="1" r:id="rIdxrasc6pjg8mgcxxztjv09">
        <w:r>
          <w:rPr>
            <w:rStyle w:val="Hyperlink"/>
          </w:rPr>
          <w:t xml:space="preserve">Wakelet.com</w:t>
        </w:r>
      </w:hyperlink>
    </w:p>
    <w:p>
      <w:pPr>
        <w:pStyle w:val="ListParagraph"/>
        <w:numPr>
          <w:ilvl w:val="0"/>
          <w:numId w:val="2"/>
        </w:numPr>
      </w:pPr>
      <w:hyperlink w:history="1" r:id="rId9hoon4e4g4tab4ytttryc">
        <w:r>
          <w:rPr>
            <w:rStyle w:val="Hyperlink"/>
          </w:rPr>
          <w:t xml:space="preserve">PBS Learning Media</w:t>
        </w:r>
      </w:hyperlink>
      <w:r>
        <w:t xml:space="preserve"> - Sign up as a Teacher</w:t>
      </w:r>
    </w:p>
    <w:p>
      <w:pPr>
        <w:pStyle w:val="ListParagraph"/>
        <w:numPr>
          <w:ilvl w:val="0"/>
          <w:numId w:val="2"/>
        </w:numPr>
      </w:pPr>
      <w:hyperlink w:history="1" r:id="rIdq0ignpltbta1bimbwjjjr">
        <w:r>
          <w:rPr>
            <w:rStyle w:val="Hyperlink"/>
          </w:rPr>
          <w:t xml:space="preserve">CK-12</w:t>
        </w:r>
      </w:hyperlink>
      <w:r>
        <w:t xml:space="preserve"> - Sign up as a Teacher</w:t>
      </w:r>
    </w:p>
    <w:p>
      <w:pPr>
        <w:pStyle w:val="ListParagraph"/>
        <w:numPr>
          <w:ilvl w:val="0"/>
          <w:numId w:val="2"/>
        </w:numPr>
      </w:pPr>
      <w:hyperlink w:history="1" r:id="rIdottsweq3dnm6hbu7xsmc1">
        <w:r>
          <w:rPr>
            <w:rStyle w:val="Hyperlink"/>
          </w:rPr>
          <w:t xml:space="preserve">Edutopia.org</w:t>
        </w:r>
      </w:hyperlink>
    </w:p>
    <w:p>
      <w:pPr>
        <w:pStyle w:val="ListParagraph"/>
        <w:numPr>
          <w:ilvl w:val="0"/>
          <w:numId w:val="2"/>
        </w:numPr>
      </w:pPr>
      <w:hyperlink w:history="1" r:id="rIdgyxzh3tgnpwtijfpr3st7">
        <w:r>
          <w:rPr>
            <w:rStyle w:val="Hyperlink"/>
          </w:rPr>
          <w:t xml:space="preserve">Catlin Tucker</w:t>
        </w:r>
      </w:hyperlink>
    </w:p>
    <w:p>
      <w:pPr>
        <w:pStyle w:val="ListParagraph"/>
        <w:numPr>
          <w:ilvl w:val="0"/>
          <w:numId w:val="2"/>
        </w:numPr>
      </w:pPr>
      <w:hyperlink w:history="1" r:id="rIdgtbongli0ddfjp89mb9q6">
        <w:r>
          <w:rPr>
            <w:rStyle w:val="Hyperlink"/>
          </w:rPr>
          <w:t xml:space="preserve">ISTE.org</w:t>
        </w:r>
      </w:hyperlink>
    </w:p>
    <w:p>
      <w:pPr>
        <w:pStyle w:val="ListParagraph"/>
        <w:numPr>
          <w:ilvl w:val="0"/>
          <w:numId w:val="2"/>
        </w:numPr>
      </w:pPr>
      <w:hyperlink w:history="1" r:id="rIdjik13qvy3ojp4sr9q6zuf">
        <w:r>
          <w:rPr>
            <w:rStyle w:val="Hyperlink"/>
          </w:rPr>
          <w:t xml:space="preserve">National Council of Teachers of Math - Teaching Activities</w:t>
        </w:r>
      </w:hyperlink>
    </w:p>
    <w:p>
      <w:pPr>
        <w:pStyle w:val="ListParagraph"/>
        <w:numPr>
          <w:ilvl w:val="0"/>
          <w:numId w:val="2"/>
        </w:numPr>
      </w:pPr>
      <w:hyperlink w:history="1" r:id="rIderyh3afojusp4bssjvquf">
        <w:r>
          <w:rPr>
            <w:rStyle w:val="Hyperlink"/>
          </w:rPr>
          <w:t xml:space="preserve">Readwritethink.org</w:t>
        </w:r>
      </w:hyperlink>
    </w:p>
    <w:p>
      <w:pPr>
        <w:pStyle w:val="ListParagraph"/>
        <w:numPr>
          <w:ilvl w:val="0"/>
          <w:numId w:val="2"/>
        </w:numPr>
      </w:pPr>
      <w:hyperlink w:history="1" r:id="rIdaip3klbsj6ihrtzsz6rcz">
        <w:r>
          <w:rPr>
            <w:rStyle w:val="Hyperlink"/>
          </w:rPr>
          <w:t xml:space="preserve">Library of Congress – Teacher Materials</w:t>
        </w:r>
      </w:hyperlink>
    </w:p>
    <w:p>
      <w:pPr>
        <w:pStyle w:val="ListParagraph"/>
        <w:numPr>
          <w:ilvl w:val="0"/>
          <w:numId w:val="2"/>
        </w:numPr>
      </w:pPr>
      <w:hyperlink w:history="1" r:id="rIdlxuljj-mnzljeocgku9pn">
        <w:r>
          <w:rPr>
            <w:rStyle w:val="Hyperlink"/>
          </w:rPr>
          <w:t xml:space="preserve">PBSLearningmedia.org</w:t>
        </w:r>
      </w:hyperlink>
    </w:p>
    <w:p>
      <w:pPr>
        <w:pStyle w:val="ListParagraph"/>
        <w:numPr>
          <w:ilvl w:val="0"/>
          <w:numId w:val="2"/>
        </w:numPr>
      </w:pPr>
      <w:hyperlink w:history="1" r:id="rIdepi3-nj2gfaquooj8lu4-">
        <w:r>
          <w:rPr>
            <w:rStyle w:val="Hyperlink"/>
          </w:rPr>
          <w:t xml:space="preserve">Cultofpedagogy.com</w:t>
        </w:r>
      </w:hyperlink>
    </w:p>
    <w:p>
      <w:pPr>
        <w:pStyle w:val="ListParagraph"/>
        <w:numPr>
          <w:ilvl w:val="0"/>
          <w:numId w:val="2"/>
        </w:numPr>
      </w:pPr>
      <w:hyperlink w:history="1" r:id="rId4yxo5_wbjrgzegdk7d3sd">
        <w:r>
          <w:rPr>
            <w:rStyle w:val="Hyperlink"/>
          </w:rPr>
          <w:t xml:space="preserve">Commonsensemedia.org</w:t>
        </w:r>
      </w:hyperlink>
    </w:p>
    <w:p>
      <w:pPr>
        <w:pStyle w:val="ListParagraph"/>
        <w:numPr>
          <w:ilvl w:val="0"/>
          <w:numId w:val="2"/>
        </w:numPr>
      </w:pPr>
      <w:hyperlink w:history="1" r:id="rId9m1-b99ori1fxwjld_dpo">
        <w:r>
          <w:rPr>
            <w:rStyle w:val="Hyperlink"/>
          </w:rPr>
          <w:t xml:space="preserve">Commonsense.org - Digital Citizenship</w:t>
        </w:r>
      </w:hyperlink>
    </w:p>
    <w:p>
      <w:pPr>
        <w:pStyle w:val="Heading4"/>
        <w:spacing w:before="240" w:after="120"/>
      </w:pPr>
      <w:r>
        <w:t xml:space="preserve">Please have these standards downloaded and available to you:</w:t>
      </w:r>
    </w:p>
    <w:p>
      <w:pPr>
        <w:pStyle w:val="ListParagraph"/>
        <w:numPr>
          <w:ilvl w:val="0"/>
          <w:numId w:val="2"/>
        </w:numPr>
      </w:pPr>
      <w:r>
        <w:t xml:space="preserve">ISTE Standards</w:t>
      </w:r>
    </w:p>
    <w:p>
      <w:pPr>
        <w:pStyle w:val="ListParagraph"/>
        <w:numPr>
          <w:ilvl w:val="0"/>
          <w:numId w:val="2"/>
        </w:numPr>
      </w:pPr>
      <w:r>
        <w:t xml:space="preserve">Massachusetts' Curriculum Framework</w:t>
      </w:r>
    </w:p>
    <w:p>
      <w:pPr>
        <w:pStyle w:val="Heading3"/>
        <w:spacing w:before="240" w:after="120"/>
      </w:pPr>
      <w:r>
        <w:t xml:space="preserve">3. Class Field Work</w:t>
      </w:r>
    </w:p>
    <w:p>
      <w:pPr>
        <w:spacing w:after="200"/>
      </w:pPr>
      <w:r>
        <w:t xml:space="preserve">This course includes a 3-hour field component.</w:t>
      </w:r>
    </w:p>
    <w:p>
      <w:pPr>
        <w:spacing w:after="200"/>
      </w:pPr>
      <w:r>
        <w:t xml:space="preserve">You have two options to complete this classroom-based field work:</w:t>
      </w:r>
    </w:p>
    <w:p>
      <w:pPr>
        <w:pStyle w:val="Heading4"/>
        <w:spacing w:before="240" w:after="120"/>
      </w:pPr>
      <w:r>
        <w:t xml:space="preserve">Option 1: Classroom observations (Preferred Option)</w:t>
      </w:r>
    </w:p>
    <w:p>
      <w:pPr>
        <w:spacing w:after="200"/>
      </w:pPr>
      <w:r>
        <w:t xml:space="preserve">Go to a school of your choosing, request permission, and conduct 3 hours of classroom observations of teachers within 2 grades of your licensure range teaching with technology (up to 2 grades above or 2 grades below your licensure range). Respond to the provided questions. There is a space in Bb where you will see the assignment.</w:t>
      </w:r>
    </w:p>
    <w:p>
      <w:pPr>
        <w:pStyle w:val="Heading4"/>
        <w:spacing w:before="240" w:after="120"/>
      </w:pPr>
      <w:r>
        <w:t xml:space="preserve">Option 2: Two classroom teacher interviews + video observations</w:t>
      </w:r>
    </w:p>
    <w:p>
      <w:pPr>
        <w:spacing w:after="200"/>
      </w:pPr>
      <w:r>
        <w:t xml:space="preserve">If you are unable to secure access to a school to conduct classroom observations, you can opt for this option.</w:t>
      </w:r>
    </w:p>
    <w:p>
      <w:pPr>
        <w:pStyle w:val="ListParagraph"/>
        <w:numPr>
          <w:ilvl w:val="0"/>
          <w:numId w:val="2"/>
        </w:numPr>
      </w:pPr>
      <w:r>
        <w:t xml:space="preserve">Connect with two different classroom teachers who teach in classrooms within 2 grades of your licensure range, teaching with technology (up to 2 grades above or 2 grades below your licensure range).</w:t>
      </w:r>
    </w:p>
    <w:p>
      <w:pPr>
        <w:pStyle w:val="ListParagraph"/>
        <w:numPr>
          <w:ilvl w:val="0"/>
          <w:numId w:val="2"/>
        </w:numPr>
      </w:pPr>
      <w:r>
        <w:t xml:space="preserve">Conduct interviews about their technology use using the questions above.</w:t>
      </w:r>
    </w:p>
    <w:p>
      <w:pPr>
        <w:pStyle w:val="ListParagraph"/>
        <w:numPr>
          <w:ilvl w:val="0"/>
          <w:numId w:val="2"/>
        </w:numPr>
      </w:pPr>
      <w:r>
        <w:t xml:space="preserve">In addition, watch a set of teaching videos provided in class showing teachers using technology. Respond to the provided questions.</w:t>
      </w:r>
    </w:p>
    <w:p>
      <w:pPr>
        <w:pStyle w:val="Heading2"/>
        <w:spacing w:before="240" w:after="120"/>
      </w:pPr>
      <w:r>
        <w:t xml:space="preserve">Course Calendar</w:t>
      </w:r>
    </w:p>
    <w:p>
      <w:pPr>
        <w:spacing w:after="200"/>
      </w:pPr>
      <w:r>
        <w:rPr>
          <w:i/>
          <w:iCs/>
        </w:rPr>
        <w:t xml:space="preserve">The last day of the date range (Sunday) is the day that week's assignments are due! All assignments are due at 11:59 pm Sunday unless otherwise noted. Late assignments will NOT be accepted! This is a working document that will be updated throughout the semester. All assignments will be posted weekly in Blackboard!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E8E8E8" w:val="solid"/>
          </w:tcPr>
          <w:p>
            <w:r>
              <w:t xml:space="preserve">Week</w:t>
            </w:r>
          </w:p>
        </w:tc>
        <w:tc>
          <w:tcPr>
            <w:shd w:fill="E8E8E8" w:color="E8E8E8" w:val="solid"/>
          </w:tcPr>
          <w:p>
            <w:r>
              <w:t xml:space="preserve">Date Range</w:t>
            </w:r>
          </w:p>
        </w:tc>
        <w:tc>
          <w:tcPr>
            <w:shd w:fill="E8E8E8" w:color="E8E8E8" w:val="solid"/>
          </w:tcPr>
          <w:p>
            <w:r>
              <w:t xml:space="preserve">Assignments Due</w:t>
            </w:r>
          </w:p>
        </w:tc>
      </w:tr>
      <w:tr>
        <w:trPr>
          <w:tblHeader/>
        </w:trPr>
        <w:tc>
          <w:tcPr>
            <w:shd w:fill="E8E8E8" w:color="E8E8E8" w:val="solid"/>
          </w:tcPr>
          <w:p>
            <w:r>
              <w:t xml:space="preserve">Week 1</w:t>
            </w:r>
          </w:p>
        </w:tc>
        <w:tc>
          <w:p>
            <w:r>
              <w:t xml:space="preserve">Jan 21 - 25</w:t>
            </w:r>
          </w:p>
        </w:tc>
        <w:tc>
          <w:p>
            <w:r>
              <w:t xml:space="preserve"/>
            </w:r>
          </w:p>
        </w:tc>
      </w:tr>
      <w:tr>
        <w:trPr>
          <w:tblHeader/>
        </w:trPr>
        <w:tc>
          <w:tcPr>
            <w:shd w:fill="E8E8E8" w:color="E8E8E8" w:val="solid"/>
          </w:tcPr>
          <w:p>
            <w:r>
              <w:t xml:space="preserve">Week 2</w:t>
            </w:r>
          </w:p>
        </w:tc>
        <w:tc>
          <w:p>
            <w:r>
              <w:t xml:space="preserve">Jan 26 - Feb 1</w:t>
            </w:r>
          </w:p>
        </w:tc>
        <w:tc>
          <w:p>
            <w:r>
              <w:t xml:space="preserve"/>
            </w:r>
          </w:p>
        </w:tc>
      </w:tr>
      <w:tr>
        <w:trPr>
          <w:tblHeader/>
        </w:trPr>
        <w:tc>
          <w:tcPr>
            <w:shd w:fill="E8E8E8" w:color="E8E8E8" w:val="solid"/>
          </w:tcPr>
          <w:p>
            <w:r>
              <w:t xml:space="preserve">Week 3</w:t>
            </w:r>
          </w:p>
        </w:tc>
        <w:tc>
          <w:p>
            <w:r>
              <w:t xml:space="preserve">Feb 2 - 8</w:t>
            </w:r>
          </w:p>
        </w:tc>
        <w:tc>
          <w:p>
            <w:r>
              <w:t xml:space="preserve"/>
            </w:r>
          </w:p>
        </w:tc>
      </w:tr>
      <w:tr>
        <w:trPr>
          <w:tblHeader/>
        </w:trPr>
        <w:tc>
          <w:tcPr>
            <w:shd w:fill="E8E8E8" w:color="E8E8E8" w:val="solid"/>
          </w:tcPr>
          <w:p>
            <w:r>
              <w:t xml:space="preserve">Week 4</w:t>
            </w:r>
          </w:p>
        </w:tc>
        <w:tc>
          <w:p>
            <w:r>
              <w:t xml:space="preserve">Feb 9 - 15</w:t>
            </w:r>
          </w:p>
        </w:tc>
        <w:tc>
          <w:p>
            <w:r>
              <w:t xml:space="preserve"/>
            </w:r>
          </w:p>
        </w:tc>
      </w:tr>
      <w:tr>
        <w:trPr>
          <w:tblHeader/>
        </w:trPr>
        <w:tc>
          <w:tcPr>
            <w:shd w:fill="E8E8E8" w:color="E8E8E8" w:val="solid"/>
          </w:tcPr>
          <w:p>
            <w:r>
              <w:t xml:space="preserve">Week 5</w:t>
            </w:r>
          </w:p>
        </w:tc>
        <w:tc>
          <w:p>
            <w:r>
              <w:t xml:space="preserve">Feb 16 - 22</w:t>
            </w:r>
          </w:p>
        </w:tc>
        <w:tc>
          <w:p>
            <w:r>
              <w:t xml:space="preserve"/>
            </w:r>
          </w:p>
        </w:tc>
      </w:tr>
      <w:tr>
        <w:trPr>
          <w:tblHeader/>
        </w:trPr>
        <w:tc>
          <w:tcPr>
            <w:shd w:fill="E8E8E8" w:color="E8E8E8" w:val="solid"/>
          </w:tcPr>
          <w:p>
            <w:r>
              <w:t xml:space="preserve">Week 6</w:t>
            </w:r>
          </w:p>
        </w:tc>
        <w:tc>
          <w:p>
            <w:r>
              <w:t xml:space="preserve">Feb 23 - Mar 1</w:t>
            </w:r>
          </w:p>
        </w:tc>
        <w:tc>
          <w:p>
            <w:r>
              <w:t xml:space="preserve"/>
            </w:r>
          </w:p>
        </w:tc>
      </w:tr>
      <w:tr>
        <w:trPr>
          <w:tblHeader/>
        </w:trPr>
        <w:tc>
          <w:tcPr>
            <w:shd w:fill="E8E8E8" w:color="E8E8E8" w:val="solid"/>
          </w:tcPr>
          <w:p>
            <w:r>
              <w:t xml:space="preserve">Week 7</w:t>
            </w:r>
          </w:p>
        </w:tc>
        <w:tc>
          <w:p>
            <w:r>
              <w:t xml:space="preserve">Mar 2 - 8</w:t>
            </w:r>
          </w:p>
        </w:tc>
        <w:tc>
          <w:p>
            <w:r>
              <w:t xml:space="preserve"/>
            </w:r>
          </w:p>
        </w:tc>
      </w:tr>
      <w:tr>
        <w:trPr>
          <w:tblHeader/>
        </w:trPr>
        <w:tc>
          <w:tcPr>
            <w:shd w:fill="E8E8E8" w:color="E8E8E8" w:val="solid"/>
          </w:tcPr>
          <w:p>
            <w:r>
              <w:t xml:space="preserve">Spring Break</w:t>
            </w:r>
          </w:p>
        </w:tc>
        <w:tc>
          <w:p>
            <w:r>
              <w:t xml:space="preserve">March 9 - 15</w:t>
            </w:r>
          </w:p>
        </w:tc>
        <w:tc>
          <w:p>
            <w:r>
              <w:t xml:space="preserve">No assignments</w:t>
            </w:r>
          </w:p>
        </w:tc>
      </w:tr>
      <w:tr>
        <w:trPr>
          <w:tblHeader/>
        </w:trPr>
        <w:tc>
          <w:tcPr>
            <w:shd w:fill="E8E8E8" w:color="E8E8E8" w:val="solid"/>
          </w:tcPr>
          <w:p>
            <w:r>
              <w:t xml:space="preserve">Week 8</w:t>
            </w:r>
          </w:p>
        </w:tc>
        <w:tc>
          <w:p>
            <w:r>
              <w:t xml:space="preserve">Mar 16 - 22</w:t>
            </w:r>
          </w:p>
        </w:tc>
        <w:tc>
          <w:p>
            <w:r>
              <w:t xml:space="preserve"/>
            </w:r>
          </w:p>
        </w:tc>
      </w:tr>
      <w:tr>
        <w:trPr>
          <w:tblHeader/>
        </w:trPr>
        <w:tc>
          <w:tcPr>
            <w:shd w:fill="E8E8E8" w:color="E8E8E8" w:val="solid"/>
          </w:tcPr>
          <w:p>
            <w:r>
              <w:t xml:space="preserve">Week 9</w:t>
            </w:r>
          </w:p>
        </w:tc>
        <w:tc>
          <w:p>
            <w:r>
              <w:t xml:space="preserve">Mar 23 - 29</w:t>
            </w:r>
          </w:p>
        </w:tc>
        <w:tc>
          <w:p>
            <w:r>
              <w:t xml:space="preserve"/>
            </w:r>
          </w:p>
        </w:tc>
      </w:tr>
      <w:tr>
        <w:trPr>
          <w:tblHeader/>
        </w:trPr>
        <w:tc>
          <w:tcPr>
            <w:shd w:fill="E8E8E8" w:color="E8E8E8" w:val="solid"/>
          </w:tcPr>
          <w:p>
            <w:r>
              <w:t xml:space="preserve">Week 10</w:t>
            </w:r>
          </w:p>
        </w:tc>
        <w:tc>
          <w:p>
            <w:r>
              <w:t xml:space="preserve">Mar 30 - April 5</w:t>
            </w:r>
          </w:p>
        </w:tc>
        <w:tc>
          <w:p>
            <w:r>
              <w:t xml:space="preserve"/>
            </w:r>
          </w:p>
        </w:tc>
      </w:tr>
      <w:tr>
        <w:trPr>
          <w:tblHeader/>
        </w:trPr>
        <w:tc>
          <w:tcPr>
            <w:shd w:fill="E8E8E8" w:color="E8E8E8" w:val="solid"/>
          </w:tcPr>
          <w:p>
            <w:r>
              <w:t xml:space="preserve">Week 11</w:t>
            </w:r>
          </w:p>
        </w:tc>
        <w:tc>
          <w:p>
            <w:r>
              <w:t xml:space="preserve">April 6 - 12</w:t>
            </w:r>
          </w:p>
        </w:tc>
        <w:tc>
          <w:p>
            <w:r>
              <w:t xml:space="preserve"/>
            </w:r>
          </w:p>
        </w:tc>
      </w:tr>
      <w:tr>
        <w:trPr>
          <w:tblHeader/>
        </w:trPr>
        <w:tc>
          <w:tcPr>
            <w:shd w:fill="E8E8E8" w:color="E8E8E8" w:val="solid"/>
          </w:tcPr>
          <w:p>
            <w:r>
              <w:t xml:space="preserve">Week 12</w:t>
            </w:r>
          </w:p>
        </w:tc>
        <w:tc>
          <w:p>
            <w:r>
              <w:t xml:space="preserve">April 13 - 19</w:t>
            </w:r>
          </w:p>
        </w:tc>
        <w:tc>
          <w:p>
            <w:r>
              <w:t xml:space="preserve"/>
            </w:r>
          </w:p>
        </w:tc>
      </w:tr>
      <w:tr>
        <w:trPr>
          <w:tblHeader/>
        </w:trPr>
        <w:tc>
          <w:tcPr>
            <w:shd w:fill="E8E8E8" w:color="E8E8E8" w:val="solid"/>
          </w:tcPr>
          <w:p>
            <w:r>
              <w:t xml:space="preserve">Week 13</w:t>
            </w:r>
          </w:p>
        </w:tc>
        <w:tc>
          <w:p>
            <w:r>
              <w:t xml:space="preserve">April 20 - 26</w:t>
            </w:r>
          </w:p>
        </w:tc>
        <w:tc>
          <w:p>
            <w:r>
              <w:t xml:space="preserve"/>
            </w:r>
          </w:p>
        </w:tc>
      </w:tr>
      <w:tr>
        <w:trPr>
          <w:tblHeader/>
        </w:trPr>
        <w:tc>
          <w:tcPr>
            <w:shd w:fill="E8E8E8" w:color="E8E8E8" w:val="solid"/>
          </w:tcPr>
          <w:p>
            <w:r>
              <w:t xml:space="preserve">Week 14</w:t>
            </w:r>
          </w:p>
        </w:tc>
        <w:tc>
          <w:p>
            <w:r>
              <w:t xml:space="preserve">April 27 - May 3</w:t>
            </w:r>
          </w:p>
        </w:tc>
        <w:tc>
          <w:p>
            <w:r>
              <w:t xml:space="preserve"/>
            </w:r>
          </w:p>
        </w:tc>
      </w:tr>
      <w:tr>
        <w:trPr>
          <w:tblHeader/>
        </w:trPr>
        <w:tc>
          <w:tcPr>
            <w:shd w:fill="E8E8E8" w:color="E8E8E8" w:val="solid"/>
          </w:tcPr>
          <w:p>
            <w:r>
              <w:t xml:space="preserve">Final Week</w:t>
            </w:r>
          </w:p>
        </w:tc>
        <w:tc>
          <w:p>
            <w:r>
              <w:t xml:space="preserve">Due May 10</w:t>
            </w:r>
          </w:p>
        </w:tc>
        <w:tc>
          <w:p>
            <w:r>
              <w:t xml:space="preserve"/>
            </w:r>
          </w:p>
        </w:tc>
      </w:tr>
    </w:tbl>
    <w:p>
      <w:pPr>
        <w:pStyle w:val="Heading2"/>
        <w:spacing w:before="240" w:after="120"/>
      </w:pPr>
      <w:r>
        <w:t xml:space="preserve">Course Grade Breakdown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8E8E8" w:color="E8E8E8" w:val="solid"/>
          </w:tcPr>
          <w:p>
            <w:r>
              <w:t xml:space="preserve">Assignment</w:t>
            </w:r>
          </w:p>
        </w:tc>
        <w:tc>
          <w:tcPr>
            <w:shd w:fill="E8E8E8" w:color="E8E8E8" w:val="solid"/>
          </w:tcPr>
          <w:p>
            <w:r>
              <w:t xml:space="preserve">Alignment</w:t>
            </w:r>
          </w:p>
        </w:tc>
        <w:tc>
          <w:tcPr>
            <w:shd w:fill="E8E8E8" w:color="E8E8E8" w:val="solid"/>
          </w:tcPr>
          <w:p>
            <w:r>
              <w:t xml:space="preserve">Due Date</w:t>
            </w:r>
          </w:p>
        </w:tc>
        <w:tc>
          <w:tcPr>
            <w:shd w:fill="E8E8E8" w:color="E8E8E8" w:val="solid"/>
          </w:tcPr>
          <w:p>
            <w:r>
              <w:t xml:space="preserve">Point Totals</w:t>
            </w:r>
          </w:p>
        </w:tc>
      </w:tr>
      <w:tr>
        <w:trPr>
          <w:tblHeader/>
        </w:trPr>
        <w:tc>
          <w:tcPr>
            <w:shd w:fill="E8E8E8" w:color="E8E8E8" w:val="solid"/>
          </w:tcPr>
          <w:p>
            <w:r>
              <w:t xml:space="preserve">1. Coursework &amp; Participation - Throughout this class, you will be asked to complete assignments each week in addition to the assignments below.</w:t>
            </w:r>
          </w:p>
        </w:tc>
        <w:tc>
          <w:p>
            <w:r>
              <w:t xml:space="preserve">Outcomes 1-11</w:t>
            </w:r>
          </w:p>
        </w:tc>
        <w:tc>
          <w:p>
            <w:r>
              <w:t xml:space="preserve">Ongoing</w:t>
            </w:r>
          </w:p>
        </w:tc>
        <w:tc>
          <w:p>
            <w:r>
              <w:t xml:space="preserve">50 Points (weekly assignments/5 pts each)</w:t>
            </w:r>
          </w:p>
        </w:tc>
      </w:tr>
      <w:tr>
        <w:trPr>
          <w:tblHeader/>
        </w:trPr>
        <w:tc>
          <w:tcPr>
            <w:shd w:fill="E8E8E8" w:color="E8E8E8" w:val="solid"/>
          </w:tcPr>
          <w:p>
            <w:r>
              <w:t xml:space="preserve">2. 2 Online Certifications - You will choose 2 certification programs to complete from the list of approved educator certification sites.</w:t>
            </w:r>
          </w:p>
        </w:tc>
        <w:tc>
          <w:p>
            <w:r>
              <w:t xml:space="preserve">Outcomes 1-11</w:t>
            </w:r>
          </w:p>
        </w:tc>
        <w:tc>
          <w:p>
            <w:r>
              <w:t xml:space="preserve">Due: 10/19 - Open throughout the course!</w:t>
            </w:r>
          </w:p>
        </w:tc>
        <w:tc>
          <w:p>
            <w:r>
              <w:t xml:space="preserve">25 points</w:t>
            </w:r>
          </w:p>
        </w:tc>
      </w:tr>
      <w:tr>
        <w:trPr>
          <w:tblHeader/>
        </w:trPr>
        <w:tc>
          <w:tcPr>
            <w:shd w:fill="E8E8E8" w:color="E8E8E8" w:val="solid"/>
          </w:tcPr>
          <w:p>
            <w:r>
              <w:t xml:space="preserve">3. Google Level 1 Certification</w:t>
            </w:r>
          </w:p>
        </w:tc>
        <w:tc>
          <w:p>
            <w:r>
              <w:t xml:space="preserve">Outcomes 1-11</w:t>
            </w:r>
          </w:p>
        </w:tc>
        <w:tc>
          <w:p>
            <w:r>
              <w:t xml:space="preserve">Weekly, Final Certification Due: 12/14 - Open throughout the course! *It takes about a week to get your grade back, so plan accordingly!</w:t>
            </w:r>
          </w:p>
        </w:tc>
        <w:tc>
          <w:p>
            <w:r>
              <w:t xml:space="preserve">75 points</w:t>
            </w:r>
          </w:p>
        </w:tc>
      </w:tr>
      <w:tr>
        <w:trPr>
          <w:tblHeader/>
        </w:trPr>
        <w:tc>
          <w:tcPr>
            <w:shd w:fill="E8E8E8" w:color="E8E8E8" w:val="solid"/>
          </w:tcPr>
          <w:p>
            <w:r>
              <w:t xml:space="preserve">4. Fieldwork Assignment/Observation</w:t>
            </w:r>
          </w:p>
        </w:tc>
        <w:tc>
          <w:p>
            <w:r>
              <w:t xml:space="preserve">Outcomes 1-11</w:t>
            </w:r>
          </w:p>
        </w:tc>
        <w:tc>
          <w:p>
            <w:r>
              <w:t xml:space="preserve">Due: 12/5</w:t>
            </w:r>
          </w:p>
        </w:tc>
        <w:tc>
          <w:p>
            <w:r>
              <w:t xml:space="preserve">20 points</w:t>
            </w:r>
          </w:p>
        </w:tc>
      </w:tr>
      <w:tr>
        <w:trPr>
          <w:tblHeader/>
        </w:trPr>
        <w:tc>
          <w:tcPr>
            <w:shd w:fill="E8E8E8" w:color="E8E8E8" w:val="solid"/>
          </w:tcPr>
          <w:p>
            <w:r>
              <w:t xml:space="preserve">5. Google Site Final Project</w:t>
            </w:r>
          </w:p>
        </w:tc>
        <w:tc>
          <w:p>
            <w:r>
              <w:t xml:space="preserve">Outcomes 1-11</w:t>
            </w:r>
          </w:p>
        </w:tc>
        <w:tc>
          <w:p>
            <w:r>
              <w:t xml:space="preserve">Final Website Due: 12/14</w:t>
            </w:r>
          </w:p>
        </w:tc>
        <w:tc>
          <w:p>
            <w:r>
              <w:t xml:space="preserve">30 points</w:t>
            </w:r>
          </w:p>
        </w:tc>
      </w:tr>
      <w:tr>
        <w:trPr>
          <w:tblHeader/>
        </w:trPr>
        <w:tc>
          <w:tcPr>
            <w:gridSpan w:val="3"/>
            <w:shd w:fill="E8E8E8" w:color="E8E8E8" w:val="solid"/>
          </w:tcPr>
          <w:p>
            <w:r>
              <w:t xml:space="preserve">TOTAL POSSIBLE POINTS:</w:t>
            </w:r>
          </w:p>
        </w:tc>
        <w:tc>
          <w:p>
            <w:r>
              <w:rPr>
                <w:b/>
                <w:bCs/>
              </w:rPr>
              <w:t xml:space="preserve">200</w:t>
            </w:r>
          </w:p>
        </w:tc>
      </w:tr>
    </w:tbl>
    <w:p>
      <w:pPr>
        <w:pStyle w:val="Heading3"/>
        <w:spacing w:before="240" w:after="120"/>
      </w:pPr>
      <w:r>
        <w:t xml:space="preserve">Grading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8E8E8" w:color="E8E8E8" w:val="solid"/>
          </w:tcPr>
          <w:p>
            <w:r>
              <w:t xml:space="preserve">Points</w:t>
            </w:r>
          </w:p>
        </w:tc>
        <w:tc>
          <w:tcPr>
            <w:shd w:fill="E8E8E8" w:color="E8E8E8" w:val="solid"/>
          </w:tcPr>
          <w:p>
            <w:r>
              <w:t xml:space="preserve">Grade</w:t>
            </w:r>
          </w:p>
        </w:tc>
        <w:tc>
          <w:tcPr>
            <w:shd w:fill="E8E8E8" w:color="E8E8E8" w:val="solid"/>
          </w:tcPr>
          <w:p>
            <w:r>
              <w:t xml:space="preserve">Points</w:t>
            </w:r>
          </w:p>
        </w:tc>
        <w:tc>
          <w:tcPr>
            <w:shd w:fill="E8E8E8" w:color="E8E8E8" w:val="solid"/>
          </w:tcPr>
          <w:p>
            <w:r>
              <w:t xml:space="preserve">Grade</w:t>
            </w:r>
          </w:p>
        </w:tc>
        <w:tc>
          <w:tcPr>
            <w:shd w:fill="E8E8E8" w:color="E8E8E8" w:val="solid"/>
          </w:tcPr>
          <w:p>
            <w:r>
              <w:t xml:space="preserve">Points</w:t>
            </w:r>
          </w:p>
        </w:tc>
        <w:tc>
          <w:tcPr>
            <w:shd w:fill="E8E8E8" w:color="E8E8E8" w:val="solid"/>
          </w:tcPr>
          <w:p>
            <w:r>
              <w:t xml:space="preserve">Grade</w:t>
            </w:r>
          </w:p>
        </w:tc>
      </w:tr>
      <w:tr>
        <w:tc>
          <w:p>
            <w:r>
              <w:t xml:space="preserve">190</w:t>
            </w:r>
          </w:p>
        </w:tc>
        <w:tc>
          <w:p>
            <w:r>
              <w:t xml:space="preserve">A</w:t>
            </w:r>
          </w:p>
        </w:tc>
        <w:tc>
          <w:p>
            <w:r>
              <w:t xml:space="preserve">180</w:t>
            </w:r>
          </w:p>
        </w:tc>
        <w:tc>
          <w:p>
            <w:r>
              <w:t xml:space="preserve">A-</w:t>
            </w:r>
          </w:p>
        </w:tc>
        <w:tc>
          <w:p>
            <w:r>
              <w:t xml:space="preserve">174</w:t>
            </w:r>
          </w:p>
        </w:tc>
        <w:tc>
          <w:p>
            <w:r>
              <w:t xml:space="preserve">B+</w:t>
            </w:r>
          </w:p>
        </w:tc>
      </w:tr>
      <w:tr>
        <w:tc>
          <w:p>
            <w:r>
              <w:t xml:space="preserve">170</w:t>
            </w:r>
          </w:p>
        </w:tc>
        <w:tc>
          <w:p>
            <w:r>
              <w:t xml:space="preserve">B</w:t>
            </w:r>
          </w:p>
        </w:tc>
        <w:tc>
          <w:p>
            <w:r>
              <w:t xml:space="preserve">160</w:t>
            </w:r>
          </w:p>
        </w:tc>
        <w:tc>
          <w:p>
            <w:r>
              <w:t xml:space="preserve">B-</w:t>
            </w:r>
          </w:p>
        </w:tc>
        <w:tc>
          <w:p>
            <w:r>
              <w:t xml:space="preserve">154</w:t>
            </w:r>
          </w:p>
        </w:tc>
        <w:tc>
          <w:p>
            <w:r>
              <w:t xml:space="preserve">C+</w:t>
            </w:r>
          </w:p>
        </w:tc>
      </w:tr>
      <w:tr>
        <w:tc>
          <w:p>
            <w:r>
              <w:t xml:space="preserve">150</w:t>
            </w:r>
          </w:p>
        </w:tc>
        <w:tc>
          <w:p>
            <w:r>
              <w:t xml:space="preserve">C</w:t>
            </w:r>
          </w:p>
        </w:tc>
        <w:tc>
          <w:p>
            <w:r>
              <w:t xml:space="preserve">140</w:t>
            </w:r>
          </w:p>
        </w:tc>
        <w:tc>
          <w:p>
            <w:r>
              <w:t xml:space="preserve">C-</w:t>
            </w:r>
          </w:p>
        </w:tc>
        <w:tc>
          <w:p>
            <w:r>
              <w:t xml:space="preserve">134</w:t>
            </w:r>
          </w:p>
        </w:tc>
        <w:tc>
          <w:p>
            <w:r>
              <w:t xml:space="preserve">D+</w:t>
            </w:r>
          </w:p>
        </w:tc>
      </w:tr>
      <w:tr>
        <w:tc>
          <w:p>
            <w:r>
              <w:t xml:space="preserve">130</w:t>
            </w:r>
          </w:p>
        </w:tc>
        <w:tc>
          <w:p>
            <w:r>
              <w:t xml:space="preserve">D</w:t>
            </w:r>
          </w:p>
        </w:tc>
        <w:tc>
          <w:p>
            <w:r>
              <w:t xml:space="preserve">120</w:t>
            </w:r>
          </w:p>
        </w:tc>
        <w:tc>
          <w:p>
            <w:r>
              <w:t xml:space="preserve">D-</w:t>
            </w:r>
          </w:p>
        </w:tc>
        <w:tc>
          <w:p>
            <w:r>
              <w:t xml:space="preserve">&amp;lt; 120</w:t>
            </w:r>
          </w:p>
        </w:tc>
        <w:tc>
          <w:p>
            <w:r>
              <w:t xml:space="preserve">F</w:t>
            </w:r>
          </w:p>
        </w:tc>
      </w:tr>
    </w:tbl>
    <w:p>
      <w:pPr>
        <w:spacing w:after="200"/>
      </w:pPr>
      <w:r>
        <w:t xml:space="preserve">All assignments will be handed in on Blackboard. All assignments should be in APA format. There are numerous APA resources – I highly recommend </w:t>
      </w:r>
      <w:hyperlink w:history="1" r:id="rIdeghzyyr0ctb4staer113b">
        <w:r>
          <w:rPr>
            <w:rStyle w:val="Hyperlink"/>
          </w:rPr>
          <w:t xml:space="preserve">Purdue OWL APA Formatting and Style Guide</w:t>
        </w:r>
      </w:hyperlink>
      <w:r>
        <w:t xml:space="preserve">.</w:t>
      </w:r>
    </w:p>
    <w:p>
      <w:pPr>
        <w:pStyle w:val="Heading2"/>
        <w:spacing w:before="240" w:after="120"/>
      </w:pPr>
      <w:r>
        <w:t xml:space="preserve">Late Work Policy</w:t>
      </w:r>
    </w:p>
    <w:p>
      <w:pPr>
        <w:spacing w:after="200"/>
      </w:pPr>
      <w:r>
        <w:t xml:space="preserve">You are expected to complete work on time unless prior arrangements have been made with the instructor. Because you have a full week to complete your work, late work is not accepted.</w:t>
      </w:r>
    </w:p>
    <w:p>
      <w:pPr>
        <w:spacing w:after="200"/>
      </w:pPr>
      <w:r>
        <w:t xml:space="preserve">You have enrolled in an online course, which means that you are expected to complete the work assigned each week. Because everyone has different vacations and different access to technology on vacations, the instructor cannot release course modules early to accommodate vacations.</w:t>
      </w:r>
    </w:p>
    <w:p>
      <w:pPr>
        <w:spacing w:after="200"/>
      </w:pPr>
      <w:r>
        <w:t xml:space="preserve">As with any course, you must keep up with the pace of instruction and complete assignments as they are assigned each week because the concepts and skills introduced each week build upon those from previous weeks. All assignments are due as indicated in the course syllabus.</w:t>
      </w:r>
    </w:p>
    <w:p>
      <w:pPr>
        <w:pStyle w:val="Heading2"/>
        <w:spacing w:before="240" w:after="120"/>
      </w:pPr>
      <w:r>
        <w:t xml:space="preserve">AI Use Policy</w:t>
      </w:r>
    </w:p>
    <w:p>
      <w:pPr>
        <w:spacing w:after="200"/>
      </w:pPr>
      <w:r>
        <w:t xml:space="preserve">Artificial Intelligence (AI) tools, such as ChatGPT and others, can be powerful resources for brainstorming, organizing ideas, and enhancing learning. When used responsibly, they can support your academic growth and creativity. However, it is essential to understand that submitting AI-generated content as your own original work is considered plagiarism and is a violation of academic integrity.</w:t>
      </w:r>
    </w:p>
    <w:p>
      <w:pPr>
        <w:spacing w:after="200"/>
      </w:pPr>
      <w:r>
        <w:t xml:space="preserve">You are welcome to use AI to support your learning, such as to clarify concepts, generate ideas, or review drafts, but you must do your own thinking and writing. If you use AI in any part of an assignment, you are required to disclose how it was used (e.g., "Used ChatGPT to brainstorm research questions"). Failure to do so or presenting AI-generated work as solely your own will be treated as a serious academic offense and handled according to the college's plagiarism policy.</w:t>
      </w:r>
    </w:p>
    <w:p>
      <w:pPr>
        <w:spacing w:after="200"/>
      </w:pPr>
      <w:r>
        <w:rPr>
          <w:b/>
          <w:bCs/>
        </w:rPr>
        <w:t xml:space="preserve">When in doubt, ask.</w:t>
      </w:r>
    </w:p>
    <w:p>
      <w:pPr>
        <w:pStyle w:val="Heading2"/>
        <w:spacing w:before="240" w:after="120"/>
      </w:pPr>
      <w:r>
        <w:t xml:space="preserve">Professionalism</w:t>
      </w:r>
    </w:p>
    <w:p>
      <w:pPr>
        <w:pStyle w:val="Heading3"/>
        <w:spacing w:before="240" w:after="120"/>
      </w:pPr>
      <w:r>
        <w:t xml:space="preserve">Communication</w:t>
      </w:r>
    </w:p>
    <w:p>
      <w:pPr>
        <w:spacing w:after="200"/>
      </w:pPr>
      <w:r>
        <w:t xml:space="preserve">You must communicate with me about questions, concerns, or feedback about your work, etc.</w:t>
      </w:r>
    </w:p>
    <w:p>
      <w:pPr>
        <w:spacing w:after="200"/>
      </w:pPr>
      <w:r>
        <w:rPr>
          <w:b/>
          <w:bCs/>
        </w:rPr>
        <w:t xml:space="preserve">ALL communication should be done through BSU email.</w:t>
      </w:r>
      <w:r>
        <w:t xml:space="preserve"> It is university policy that you check your BSU email regularly or forward it to another email you check regularly. Please respond to emails promptly when they are geared to you personally.</w:t>
      </w:r>
    </w:p>
    <w:p>
      <w:pPr>
        <w:pStyle w:val="Heading3"/>
        <w:spacing w:before="240" w:after="120"/>
      </w:pPr>
      <w:r>
        <w:t xml:space="preserve">Netiquette</w:t>
      </w:r>
    </w:p>
    <w:p>
      <w:pPr>
        <w:spacing w:after="200"/>
      </w:pPr>
      <w:r>
        <w:t xml:space="preserve">Before posting to a course discussion forum, please consider the following guidelines for appropriate web-based communications:</w:t>
      </w:r>
    </w:p>
    <w:p>
      <w:pPr>
        <w:pStyle w:val="ListParagraph"/>
        <w:numPr>
          <w:ilvl w:val="0"/>
          <w:numId w:val="2"/>
        </w:numPr>
      </w:pPr>
      <w:r>
        <w:t xml:space="preserve">Passion is great; positivity and politeness should also be in step with your passion when communicating with peers and the instructor.</w:t>
      </w:r>
    </w:p>
    <w:p>
      <w:pPr>
        <w:pStyle w:val="ListParagraph"/>
        <w:numPr>
          <w:ilvl w:val="0"/>
          <w:numId w:val="2"/>
        </w:numPr>
      </w:pPr>
      <w:r>
        <w:t xml:space="preserve">To err is human; to forgive is divine. Be gracious when others make spelling or grammatical errors.</w:t>
      </w:r>
    </w:p>
    <w:p>
      <w:pPr>
        <w:pStyle w:val="ListParagraph"/>
        <w:numPr>
          <w:ilvl w:val="0"/>
          <w:numId w:val="2"/>
        </w:numPr>
      </w:pPr>
      <w:r>
        <w:t xml:space="preserve">Even with emoticons, tone and context can often be lost in text-based communications. Keep that in mind when sharing a post that is comical or satirical.</w:t>
      </w:r>
    </w:p>
    <w:p>
      <w:pPr>
        <w:pStyle w:val="ListParagraph"/>
        <w:numPr>
          <w:ilvl w:val="0"/>
          <w:numId w:val="2"/>
        </w:numPr>
      </w:pPr>
      <w:r>
        <w:t xml:space="preserve">Respect the privacy of others. If you are sharing information of a personal nature that affects a classmate, check with that classmate before posting.</w:t>
      </w:r>
    </w:p>
    <w:p>
      <w:pPr>
        <w:pStyle w:val="ListParagraph"/>
        <w:numPr>
          <w:ilvl w:val="0"/>
          <w:numId w:val="2"/>
        </w:numPr>
      </w:pPr>
      <w:r>
        <w:t xml:space="preserve">Proofread your responses before submitting. Maintain the mindset that anything posted on the web is permanent.</w:t>
      </w:r>
    </w:p>
    <w:p>
      <w:pPr>
        <w:pStyle w:val="ListParagraph"/>
        <w:numPr>
          <w:ilvl w:val="0"/>
          <w:numId w:val="2"/>
        </w:numPr>
      </w:pPr>
      <w:r>
        <w:t xml:space="preserve">Let your instructor know if something posted in our discussion forum is inappropriate or offensive to you.</w:t>
      </w:r>
    </w:p>
    <w:p>
      <w:pPr>
        <w:pStyle w:val="Heading2"/>
        <w:spacing w:before="240" w:after="120"/>
      </w:pPr>
      <w:r>
        <w:t xml:space="preserve">Academic Integrity</w:t>
      </w:r>
    </w:p>
    <w:p>
      <w:pPr>
        <w:spacing w:after="200"/>
      </w:pPr>
      <w:r>
        <w:t xml:space="preserve">At Bridgewater State University, every community member's academic integrity in all endeavors is expected. Academic integrity includes a commitment to the values of honesty, trustworthiness, fairness, and respect. These values are essential to the overall success of an academic society. In addition, each member of the university community has a right to expect the highest standards of academic integrity from all other community members. Academic integrity is violated by any dishonest act which is committed in an academic context including, but not limited to: plagiarism; fabrication, falsification, or misrepresentation of data, results, or sources for papers or reports; copying from another student's work; actions that destroy or alter the work of another student; and unauthorized cooperation in completing assignments or examinations.</w:t>
      </w:r>
    </w:p>
    <w:p>
      <w:pPr>
        <w:spacing w:after="200"/>
      </w:pPr>
      <w:r>
        <w:t xml:space="preserve">The culture of K-12 education in the United States encourages teachers to share materials with each other and to adopt and adapt commercially published materials for their particular teaching contexts. It may be quite appropriate, therefore, for you to use in your coursework or field placements activities, handouts, and/or lesson plans that you obtained from a mentor teacher, found on the Internet, or developed with another teacher. At the same time, units, lesson plans, and curriculum materials are products used in many College of Education courses, including this one, to gauge your individual mastery of concepts and skills central to your success in the profession. Consequently, you are expected to cite sources, including personal communication or professional development workshops, for any material in those assignments that you did not create on your own. Please see me if you have questions about how to do this accurately.</w:t>
      </w:r>
    </w:p>
    <w:p>
      <w:pPr>
        <w:pStyle w:val="Heading2"/>
        <w:spacing w:before="240" w:after="120"/>
      </w:pPr>
      <w:r>
        <w:t xml:space="preserve">Professional Behavior</w:t>
      </w:r>
    </w:p>
    <w:p>
      <w:pPr>
        <w:spacing w:after="200"/>
      </w:pPr>
      <w:r>
        <w:t xml:space="preserve">Professional behavior is necessary to succeed in your future career as an educator. Therefore, the following College of Education and Health Sciences Dispositions should be upheld as you move through the BSU elementary education program. Failure to uphold these dispositions can affect your course participation grade and/or require intervention from the ELED faculty.</w:t>
      </w:r>
    </w:p>
    <w:p>
      <w:pPr>
        <w:pStyle w:val="Heading3"/>
        <w:spacing w:before="240" w:after="120"/>
      </w:pPr>
      <w:r>
        <w:t xml:space="preserve">College of Education and Health Sciences Dispositions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E8E8E8" w:color="E8E8E8" w:val="solid"/>
          </w:tcPr>
          <w:p>
            <w:r>
              <w:t xml:space="preserve">CEHS Dispositions</w:t>
            </w:r>
          </w:p>
        </w:tc>
        <w:tc>
          <w:tcPr>
            <w:shd w:fill="E8E8E8" w:color="E8E8E8" w:val="solid"/>
          </w:tcPr>
          <w:p>
            <w:r>
              <w:t xml:space="preserve">Indicators/Behaviors Demonstrating Dispositional Outcomes</w:t>
            </w:r>
          </w:p>
        </w:tc>
      </w:tr>
      <w:tr>
        <w:trPr>
          <w:tblHeader/>
        </w:trPr>
        <w:tc>
          <w:tcPr>
            <w:shd w:fill="E8E8E8" w:color="E8E8E8" w:val="solid"/>
          </w:tcPr>
          <w:p>
            <w:r>
              <w:t xml:space="preserve">1. Demonstrates respect for human diversity, community and cultural perspectives.</w:t>
            </w:r>
          </w:p>
        </w:tc>
        <w:tc>
          <w:p>
            <w:r>
              <w:t xml:space="preserve"/>
            </w:r>
          </w:p>
        </w:tc>
      </w:tr>
      <w:tr>
        <w:trPr>
          <w:tblHeader/>
        </w:trPr>
        <w:tc>
          <w:tcPr>
            <w:shd w:fill="E8E8E8" w:color="E8E8E8" w:val="solid"/>
          </w:tcPr>
          <w:p>
            <w:r>
              <w:t xml:space="preserve">2. Collaborates with others (faculty, supervising practitioners, peers, students, and parents) in a thoughtful and considerate manner.</w:t>
            </w:r>
          </w:p>
        </w:tc>
        <w:tc>
          <w:p>
            <w:r>
              <w:t xml:space="preserve"/>
            </w:r>
          </w:p>
        </w:tc>
      </w:tr>
      <w:tr>
        <w:trPr>
          <w:tblHeader/>
        </w:trPr>
        <w:tc>
          <w:tcPr>
            <w:shd w:fill="E8E8E8" w:color="E8E8E8" w:val="solid"/>
          </w:tcPr>
          <w:p>
            <w:r>
              <w:t xml:space="preserve">3. Demonstrates a clear understanding of legal and moral obligations of the profession, mandated reporting responsibilities, and confidentiality.</w:t>
            </w:r>
          </w:p>
        </w:tc>
        <w:tc>
          <w:p>
            <w:r>
              <w:t xml:space="preserve"/>
            </w:r>
          </w:p>
        </w:tc>
      </w:tr>
      <w:tr>
        <w:trPr>
          <w:tblHeader/>
        </w:trPr>
        <w:tc>
          <w:tcPr>
            <w:shd w:fill="E8E8E8" w:color="E8E8E8" w:val="solid"/>
          </w:tcPr>
          <w:p>
            <w:r>
              <w:t xml:space="preserve">4. (a) Believes in creating a safe learning environment demonstrating respect for students' differences, provides fair and equitable access to all learners including vulnerable populations; (b) Believes that all students can learn.</w:t>
            </w:r>
          </w:p>
        </w:tc>
        <w:tc>
          <w:p>
            <w:r>
              <w:t xml:space="preserve"/>
            </w:r>
          </w:p>
        </w:tc>
      </w:tr>
      <w:tr>
        <w:trPr>
          <w:tblHeader/>
        </w:trPr>
        <w:tc>
          <w:tcPr>
            <w:shd w:fill="E8E8E8" w:color="E8E8E8" w:val="solid"/>
          </w:tcPr>
          <w:p>
            <w:r>
              <w:t xml:space="preserve">5. Communicates effectively and professionally in speech, writing, and nonverbal contexts.</w:t>
            </w:r>
          </w:p>
        </w:tc>
        <w:tc>
          <w:p>
            <w:r>
              <w:t xml:space="preserve"/>
            </w:r>
          </w:p>
        </w:tc>
      </w:tr>
      <w:tr>
        <w:trPr>
          <w:tblHeader/>
        </w:trPr>
        <w:tc>
          <w:tcPr>
            <w:shd w:fill="E8E8E8" w:color="E8E8E8" w:val="solid"/>
          </w:tcPr>
          <w:p>
            <w:r>
              <w:t xml:space="preserve">6. Demonstrates professional demeanor and a passion for their chosen profession.</w:t>
            </w:r>
          </w:p>
        </w:tc>
        <w:tc>
          <w:p>
            <w:r>
              <w:t xml:space="preserve"/>
            </w:r>
          </w:p>
        </w:tc>
      </w:tr>
      <w:tr>
        <w:trPr>
          <w:tblHeader/>
        </w:trPr>
        <w:tc>
          <w:tcPr>
            <w:shd w:fill="E8E8E8" w:color="E8E8E8" w:val="solid"/>
          </w:tcPr>
          <w:p>
            <w:r>
              <w:t xml:space="preserve">7. Demonstrates their own social emotional skills</w:t>
            </w:r>
          </w:p>
        </w:tc>
        <w:tc>
          <w:p>
            <w:r>
              <w:t xml:space="preserve"/>
            </w:r>
          </w:p>
        </w:tc>
      </w:tr>
      <w:tr>
        <w:trPr>
          <w:tblHeader/>
        </w:trPr>
        <w:tc>
          <w:tcPr>
            <w:shd w:fill="E8E8E8" w:color="E8E8E8" w:val="solid"/>
          </w:tcPr>
          <w:p>
            <w:r>
              <w:t xml:space="preserve">8. Understands the importance of fostering social-emotional skills in their students</w:t>
            </w:r>
          </w:p>
        </w:tc>
        <w:tc>
          <w:p>
            <w:r>
              <w:t xml:space="preserve"/>
            </w:r>
          </w:p>
        </w:tc>
      </w:tr>
      <w:tr>
        <w:trPr>
          <w:tblHeader/>
        </w:trPr>
        <w:tc>
          <w:tcPr>
            <w:shd w:fill="E8E8E8" w:color="E8E8E8" w:val="solid"/>
          </w:tcPr>
          <w:p>
            <w:r>
              <w:t xml:space="preserve">9. Exhibits personal integrity and professional conduct with all members of the learning community.</w:t>
            </w:r>
          </w:p>
        </w:tc>
        <w:tc>
          <w:p>
            <w:r>
              <w:t xml:space="preserve"/>
            </w:r>
          </w:p>
        </w:tc>
      </w:tr>
    </w:tbl>
    <w:p>
      <w:pPr>
        <w:spacing w:after="200"/>
      </w:pPr>
      <w:r>
        <w:t xml:space="preserve">"The Growth of the Professional Educator" is the Conceptual Framework for all educator preparation programs in the College of Education and Health Studies at Bridgewater State University. It articulates the mission, philosophy, and beliefs of our educational programs. The three major tenets of The Conceptual Framework, based on current and research-based pedagogy, are: Effective Practice, Student Learning, and Collaboration.</w:t>
      </w:r>
    </w:p>
    <w:p>
      <w:pPr>
        <w:pStyle w:val="Heading2"/>
        <w:spacing w:before="240" w:after="120"/>
      </w:pPr>
      <w:r>
        <w:t xml:space="preserve">Available Supports</w:t>
      </w:r>
    </w:p>
    <w:p>
      <w:pPr>
        <w:pStyle w:val="Heading3"/>
        <w:spacing w:before="240" w:after="120"/>
      </w:pPr>
      <w:r>
        <w:t xml:space="preserve">Technical Issues</w:t>
      </w:r>
    </w:p>
    <w:p>
      <w:pPr>
        <w:spacing w:after="200"/>
      </w:pPr>
      <w:r>
        <w:t xml:space="preserve">Back up coursework often, for you are responsible for coursework lost to technical difficulties. When contributing to online discussion assignments, consider composing your discussion post in Microsoft Word, saving the document, and then copying and pasting the text into the course discussion forum. Do not wait until the last moment to work on video project and presentation slideshow files, for if you encounter technical difficulties, you risk turning in your assignment late and losing points or receiving a zero per the Late Assignments policy. Work on these files in advance of your due dates and contact your instructor immediately with questions regarding technical issues.</w:t>
      </w:r>
    </w:p>
    <w:p>
      <w:pPr>
        <w:spacing w:after="200"/>
      </w:pPr>
      <w:r>
        <w:t xml:space="preserve">If there are system-wide issues with Blackboard, BSU email, or the social media solutions we will be using for this course, the instructor will contact you via email and/or our class social media outlets to provide you with an alternative means of completing course assignments or due date extensions.</w:t>
      </w:r>
    </w:p>
    <w:p>
      <w:pPr>
        <w:pStyle w:val="Heading3"/>
        <w:spacing w:before="240" w:after="120"/>
      </w:pPr>
      <w:r>
        <w:t xml:space="preserve">Academic Accommodations</w:t>
      </w:r>
    </w:p>
    <w:p>
      <w:pPr>
        <w:spacing w:after="200"/>
      </w:pPr>
      <w:r>
        <w:t xml:space="preserve">In compliance with Section 504 and the Americans with Disabilities Act (ADA), Bridgewater State University is committed to providing equal and integrated access for individuals with disabilities to all the academic, social, cultural, and recreational programs it offers. If you feel that you are a student who may need academic accommodations due to a disability, you are encouraged to register with the Disability Resources Office in Maxwell Library for disability verification and determination of reasonable academic accommodations.</w:t>
      </w:r>
    </w:p>
    <w:p>
      <w:pPr>
        <w:spacing w:after="200"/>
      </w:pPr>
      <w:r>
        <w:t xml:space="preserve">BSU is committed to ensuring all individuals have equal access to its programs and services. The university offers a number of services to students who have a documented medical condition, are physically challenged, or have psychological or learning disabilities. If you think you may have a learning disability or wish to request support services, please contact the Office of Disability Resources in the Academic Achievement Center, Maxwell Library, (508) 531-2194, at </w:t>
      </w:r>
      <w:hyperlink w:history="1" r:id="rIdhnirzfgtvlyx80oqaeovo">
        <w:r>
          <w:rPr>
            <w:rStyle w:val="Hyperlink"/>
          </w:rPr>
          <w:t xml:space="preserve">Disability_Resources@bridgew.edu</w:t>
        </w:r>
      </w:hyperlink>
      <w:r>
        <w:t xml:space="preserve">.</w:t>
      </w:r>
    </w:p>
    <w:p>
      <w:pPr>
        <w:spacing w:after="200"/>
      </w:pPr>
      <w:r>
        <w:t xml:space="preserve">You can still receive services even after the semester has begun.</w:t>
      </w:r>
    </w:p>
    <w:p>
      <w:pPr>
        <w:spacing w:after="200"/>
      </w:pPr>
      <w:r>
        <w:t xml:space="preserve">Any student who faces challenges securing their food or housing and believes this may affect their performance in this course is urged to contact the Dean of Students for support. Furthermore, please notify the professor if you are comfortable doing so. This will enable her to provide any resources that she may possess.</w:t>
      </w:r>
    </w:p>
    <w:p>
      <w:pPr>
        <w:spacing w:after="200"/>
      </w:pPr>
      <w:r>
        <w:t xml:space="preserve">If you are granted accommodations, please meet with me confidentially as soon as possible to review how they will be applied in this course.</w:t>
      </w:r>
    </w:p>
    <w:p>
      <w:pPr>
        <w:pStyle w:val="Heading3"/>
        <w:spacing w:before="240" w:after="120"/>
      </w:pPr>
      <w:r>
        <w:t xml:space="preserve">The Academic Achievement Center (AAC)</w:t>
      </w:r>
    </w:p>
    <w:p>
      <w:pPr>
        <w:spacing w:after="200"/>
      </w:pPr>
      <w:r>
        <w:t xml:space="preserve">The AAC provides students with academic services and resources that propel them toward successful and timely degree completion. With all the services available in the center, the AAC is the largest hub of student academic services on campus. Ideally located on the ground floor of the Maxwell Library in the center of the BSU Campus, the AAC is comprised of four major support areas: Academic Advising (first-semester freshmen), the Disability Resources Office, Learning Assistance (tutoring and academic coaching), and Testing Services. Drop-in learning support areas (Math Services, Accounting &amp; Finance Lab, Writing Studio, Second Language Services), open study space, study rooms available for reserve, and computers are all available for student use. Stop by or call 508-531-1214 for more information about any of the services offered by the Academic Achievement Center.</w:t>
      </w:r>
    </w:p>
    <w:p>
      <w:pPr>
        <w:pStyle w:val="Heading3"/>
        <w:spacing w:before="240" w:after="120"/>
      </w:pPr>
      <w:r>
        <w:t xml:space="preserve">Title IX and Sexual Violence</w:t>
      </w:r>
    </w:p>
    <w:p>
      <w:pPr>
        <w:spacing w:after="200"/>
      </w:pPr>
      <w:r>
        <w:t xml:space="preserve">The Office of Equal Opportunity and the Title IX Coordinator work to ensure that all members of the campus community flourish in a supportive and fair climate. See </w:t>
      </w:r>
      <w:hyperlink w:history="1" r:id="rIdus5nnawn5azhtxtrrf0z5">
        <w:r>
          <w:rPr>
            <w:rStyle w:val="Hyperlink"/>
          </w:rPr>
          <w:t xml:space="preserve">Office of Equal Opportunity</w:t>
        </w:r>
      </w:hyperlink>
      <w:r>
        <w:t xml:space="preserve"> to learn more. Note that the site provides a page for Title IX and a page for Discrimination and Harassment. Each page contains a report form that you may utilize to report concerns of sexual violence, relationship violence, stalking, sexual harassment, or protected category-based discrimination and harassment. (The associated form indicates that it "is unlawful to retaliate against a student, employee or any other person affiliated with the University for filing a complaint or for cooperating in an investigation of a complaint.").</w:t>
      </w:r>
    </w:p>
    <w:p>
      <w:pPr>
        <w:spacing w:after="200"/>
      </w:pPr>
      <w:r>
        <w:t xml:space="preserve">To learn more about Title IX please visit: </w:t>
      </w:r>
      <w:hyperlink w:history="1" r:id="rId6wctog5-1j63u2o2dq8pe">
        <w:r>
          <w:rPr>
            <w:rStyle w:val="Hyperlink"/>
          </w:rPr>
          <w:t xml:space="preserve">BSU Title IX Office</w:t>
        </w:r>
      </w:hyperlink>
      <w:r>
        <w:t xml:space="preserve">.</w:t>
      </w:r>
    </w:p>
    <w:p>
      <w:pPr>
        <w:spacing w:after="200"/>
      </w:pPr>
      <w:r>
        <w:t xml:space="preserve">The Sexual Violence Advocacy and Support Center is a confidential support resource for all community members who have experienced sexual, gender-based, or relationship violence and stalking. Students seeking support can fill out this form: </w:t>
      </w:r>
      <w:hyperlink w:history="1" r:id="rIdbx78_i8i-5lxnbqt9nn1c">
        <w:r>
          <w:rPr>
            <w:rStyle w:val="Hyperlink"/>
          </w:rPr>
          <w:t xml:space="preserve">SVAS Center Support Form</w:t>
        </w:r>
      </w:hyperlink>
      <w:r>
        <w:t xml:space="preserve">. To stay up to date on SVASC events and resources, follow the center on Instagram @svascenterbsu.</w:t>
      </w:r>
    </w:p>
    <w:p>
      <w:pPr>
        <w:pBdr>
          <w:top w:val="single" w:color="E0E0E0" w:sz="1"/>
        </w:pBdr>
        <w:spacing w:before="400"/>
      </w:pPr>
    </w:p>
    <w:p>
      <w:pPr>
        <w:spacing w:before="100" w:after="200"/>
        <w:jc w:val="center"/>
      </w:pPr>
      <w:r>
        <w:rPr>
          <w:b/>
          <w:bCs/>
        </w:rPr>
        <w:t xml:space="preserve">Bridgewater State University</w:t>
      </w:r>
      <w:r>
        <w:t xml:space="preserve">ELED 222: Educational Technology for PreK-6 Educators - Fall 2025</w:t>
      </w:r>
      <w:r>
        <w:t xml:space="preserve">This syllabus is subject to change with advance notice to students.</w:t>
      </w:r>
    </w:p>
    <w:p>
      <w:pPr>
        <w:pBdr>
          <w:top w:val="single" w:color="E0E0E0" w:sz="1"/>
        </w:pBdr>
        <w:spacing w:before="400"/>
      </w:pPr>
    </w:p>
    <w:p>
      <w:pPr>
        <w:spacing w:before="100" w:after="200"/>
        <w:jc w:val="center"/>
      </w:pPr>
      <w:r>
        <w:t xml:space="preserve">This accessible document was last updated on April 9, 2026 at 4:26 PM</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 </w:t>
    </w:r>
    <w:r>
      <w:rPr>
        <w:i/>
        <w:iCs/>
        <w:sz w:val="18"/>
        <w:szCs w:val="18"/>
      </w:rPr>
      <w:t xml:space="preserve">ELED 222 Syllabus - Educational Technology for PreK-6 Educators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nggo4lpyjmhjxyaslcrxz" Type="http://schemas.openxmlformats.org/officeDocument/2006/relationships/hyperlink" Target="mailto:s4oneill@bridgew.edu" TargetMode="External"/><Relationship Id="rIdxrasc6pjg8mgcxxztjv09" Type="http://schemas.openxmlformats.org/officeDocument/2006/relationships/hyperlink" Target="https://wakelet.com" TargetMode="External"/><Relationship Id="rId9hoon4e4g4tab4ytttryc" Type="http://schemas.openxmlformats.org/officeDocument/2006/relationships/hyperlink" Target="https://www.pbslearningmedia.org" TargetMode="External"/><Relationship Id="rIdq0ignpltbta1bimbwjjjr" Type="http://schemas.openxmlformats.org/officeDocument/2006/relationships/hyperlink" Target="https://www.ck12.org" TargetMode="External"/><Relationship Id="rIdottsweq3dnm6hbu7xsmc1" Type="http://schemas.openxmlformats.org/officeDocument/2006/relationships/hyperlink" Target="https://www.edutopia.org" TargetMode="External"/><Relationship Id="rIdgyxzh3tgnpwtijfpr3st7" Type="http://schemas.openxmlformats.org/officeDocument/2006/relationships/hyperlink" Target="https://catlintucker.com" TargetMode="External"/><Relationship Id="rIdgtbongli0ddfjp89mb9q6" Type="http://schemas.openxmlformats.org/officeDocument/2006/relationships/hyperlink" Target="https://www.iste.org" TargetMode="External"/><Relationship Id="rIdjik13qvy3ojp4sr9q6zuf" Type="http://schemas.openxmlformats.org/officeDocument/2006/relationships/hyperlink" Target="https://www.nctm.org" TargetMode="External"/><Relationship Id="rIderyh3afojusp4bssjvquf" Type="http://schemas.openxmlformats.org/officeDocument/2006/relationships/hyperlink" Target="https://www.readwritethink.org" TargetMode="External"/><Relationship Id="rIdaip3klbsj6ihrtzsz6rcz" Type="http://schemas.openxmlformats.org/officeDocument/2006/relationships/hyperlink" Target="https://www.loc.gov/programs/teachers/" TargetMode="External"/><Relationship Id="rIdlxuljj-mnzljeocgku9pn" Type="http://schemas.openxmlformats.org/officeDocument/2006/relationships/hyperlink" Target="https://www.pbslearningmedia.org" TargetMode="External"/><Relationship Id="rIdepi3-nj2gfaquooj8lu4-" Type="http://schemas.openxmlformats.org/officeDocument/2006/relationships/hyperlink" Target="https://www.cultofpedagogy.com" TargetMode="External"/><Relationship Id="rId4yxo5_wbjrgzegdk7d3sd" Type="http://schemas.openxmlformats.org/officeDocument/2006/relationships/hyperlink" Target="https://www.commonsensemedia.org" TargetMode="External"/><Relationship Id="rId9m1-b99ori1fxwjld_dpo" Type="http://schemas.openxmlformats.org/officeDocument/2006/relationships/hyperlink" Target="https://www.commonsense.org" TargetMode="External"/><Relationship Id="rIdeghzyyr0ctb4staer113b" Type="http://schemas.openxmlformats.org/officeDocument/2006/relationships/hyperlink" Target="https://owl.purdue.edu/owl/research_and_citation/apa_style/apa_formatting_and_style_guide/general_format.html" TargetMode="External"/><Relationship Id="rIdhnirzfgtvlyx80oqaeovo" Type="http://schemas.openxmlformats.org/officeDocument/2006/relationships/hyperlink" Target="mailto:Disability_Resources@bridgew.edu" TargetMode="External"/><Relationship Id="rIdus5nnawn5azhtxtrrf0z5" Type="http://schemas.openxmlformats.org/officeDocument/2006/relationships/hyperlink" Target="https://studentbridgew.sharepoint.com/sites/OfficeofEqualOpportunity" TargetMode="External"/><Relationship Id="rId6wctog5-1j63u2o2dq8pe" Type="http://schemas.openxmlformats.org/officeDocument/2006/relationships/hyperlink" Target="https://www.bridgew.edu/office/titleix" TargetMode="External"/><Relationship Id="rIdbx78_i8i-5lxnbqt9nn1c" Type="http://schemas.openxmlformats.org/officeDocument/2006/relationships/hyperlink" Target="https://cm.maxient.com/reportingform.php?BridgewaterState&amp;layout_id=16" TargetMode="External"/><Relationship Id="rId2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ELED 222 Syllabus - Educational Technology for PreK-6 Educators</dc:title>
  <dc:creator>PDF Accessibility Converter</dc:creator>
  <dc:description>Accessible version of ELED 222 Syllabus.pdf</dc:description>
  <cp:lastModifiedBy>Un-named</cp:lastModifiedBy>
  <cp:revision>1</cp:revision>
  <dcterms:created xsi:type="dcterms:W3CDTF">2026-04-09T16:29:08.333Z</dcterms:created>
  <dcterms:modified xsi:type="dcterms:W3CDTF">2026-04-09T16:29:08.333Z</dcterms:modified>
</cp:coreProperties>
</file>

<file path=docProps/custom.xml><?xml version="1.0" encoding="utf-8"?>
<Properties xmlns="http://schemas.openxmlformats.org/officeDocument/2006/custom-properties" xmlns:vt="http://schemas.openxmlformats.org/officeDocument/2006/docPropsVTypes"/>
</file>