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300"/>
        <w:jc w:val="center"/>
      </w:pPr>
      <w:r>
        <w:rPr>
          <w:rFonts w:ascii="Arial" w:cs="Arial" w:eastAsia="Arial" w:hAnsi="Arial"/>
          <w:b/>
          <w:bCs/>
          <w:color w:val="1E3A5F"/>
          <w:sz w:val="52"/>
          <w:szCs w:val="52"/>
        </w:rPr>
        <w:t xml:space="preserve">Consorcio360</w:t>
      </w:r>
    </w:p>
    <w:p>
      <w:pPr>
        <w:spacing w:after="160"/>
        <w:jc w:val="center"/>
      </w:pPr>
      <w:r>
        <w:rPr>
          <w:rFonts w:ascii="Arial" w:cs="Arial" w:eastAsia="Arial" w:hAnsi="Arial"/>
          <w:color w:val="2E75B6"/>
          <w:sz w:val="30"/>
          <w:szCs w:val="30"/>
        </w:rPr>
        <w:t xml:space="preserve">Decisión Arquitectural — Módulo de Liquidación</w:t>
      </w:r>
    </w:p>
    <w:p>
      <w:pPr>
        <w:spacing w:after="160"/>
        <w:jc w:val="center"/>
      </w:pPr>
      <w:r>
        <w:rPr>
          <w:rFonts w:ascii="Arial" w:cs="Arial" w:eastAsia="Arial" w:hAnsi="Arial"/>
          <w:i/>
          <w:iCs/>
          <w:color w:val="6B7280"/>
          <w:sz w:val="22"/>
          <w:szCs w:val="22"/>
        </w:rPr>
        <w:t xml:space="preserve">Por qué se descartó el Espejismo y por qué el nuevo camino es correcto</w:t>
      </w:r>
    </w:p>
    <w:p>
      <w:pPr>
        <w:spacing w:after="100"/>
        <w:jc w:val="center"/>
      </w:pPr>
      <w:r>
        <w:rPr>
          <w:rFonts w:ascii="Arial" w:cs="Arial" w:eastAsia="Arial" w:hAnsi="Arial"/>
          <w:color w:val="9CA3AF"/>
          <w:sz w:val="20"/>
          <w:szCs w:val="20"/>
        </w:rPr>
        <w:t xml:space="preserve">25 de Marzo de 2026</w:t>
      </w:r>
    </w:p>
    <w:p>
      <w:pPr>
        <w:pBdr>
          <w:bottom w:val="single" w:color="2E75B6" w:sz="4" w:space="1"/>
        </w:pBdr>
        <w:spacing w:after="200"/>
      </w:pPr>
    </w:p>
    <w:p>
      <w:pPr>
        <w:pStyle w:val="Heading1"/>
        <w:spacing w:before="400" w:after="200"/>
      </w:pPr>
      <w:r>
        <w:rPr>
          <w:rFonts w:ascii="Arial" w:cs="Arial" w:eastAsia="Arial" w:hAnsi="Arial"/>
          <w:b/>
          <w:bCs/>
          <w:color w:val="1E3A5F"/>
          <w:sz w:val="32"/>
          <w:szCs w:val="32"/>
        </w:rPr>
        <w:t xml:space="preserve">1. Contexto de la Decisión</w:t>
      </w:r>
    </w:p>
    <w:p>
      <w:pPr>
        <w:spacing w:after="140"/>
      </w:pPr>
      <w:r>
        <w:rPr>
          <w:rFonts w:ascii="Arial" w:cs="Arial" w:eastAsia="Arial" w:hAnsi="Arial"/>
          <w:b w:val="false"/>
          <w:bCs w:val="false"/>
          <w:color w:val="000000"/>
          <w:sz w:val="22"/>
          <w:szCs w:val="22"/>
        </w:rPr>
        <w:t xml:space="preserve">Durante el diseño de la Fase B del sistema, se evaluaron dos enfoques arquitecturales para resolver el módulo de liquidación de expensas. Este documento registra formalmente el análisis realizado, los motivos por los que se descartó el primer enfoque, y la justificación técnica del camino elegido.</w:t>
      </w:r>
    </w:p>
    <w:p>
      <w:pPr>
        <w:spacing w:after="140"/>
      </w:pPr>
      <w:r>
        <w:rPr>
          <w:rFonts w:ascii="Arial" w:cs="Arial" w:eastAsia="Arial" w:hAnsi="Arial"/>
          <w:b w:val="false"/>
          <w:bCs w:val="false"/>
          <w:color w:val="000000"/>
          <w:sz w:val="22"/>
          <w:szCs w:val="22"/>
        </w:rPr>
        <w:t xml:space="preserve">Esta decisión afecta la arquitectura central del producto y su capacidad de escalar a múltiples consorcios. No es una decisión reversible sin costo significativo, por lo que se documenta para referencia futura del equipo.</w:t>
      </w:r>
    </w:p>
    <w:p>
      <w:pPr>
        <w:pBdr>
          <w:bottom w:val="single" w:color="2E75B6" w:sz="4" w:space="1"/>
        </w:pBdr>
        <w:spacing w:after="200"/>
      </w:pPr>
    </w:p>
    <w:p>
      <w:pPr>
        <w:pStyle w:val="Heading1"/>
        <w:spacing w:before="400" w:after="200"/>
      </w:pPr>
      <w:r>
        <w:rPr>
          <w:rFonts w:ascii="Arial" w:cs="Arial" w:eastAsia="Arial" w:hAnsi="Arial"/>
          <w:b/>
          <w:bCs/>
          <w:color w:val="1E3A5F"/>
          <w:sz w:val="32"/>
          <w:szCs w:val="32"/>
        </w:rPr>
        <w:t xml:space="preserve">2. Enfoque Descartado — El Espejismo (n8n + Google Sheets)</w:t>
      </w:r>
    </w:p>
    <w:p>
      <w:pPr>
        <w:pStyle w:val="Heading2"/>
        <w:spacing w:before="280" w:after="140"/>
      </w:pPr>
      <w:r>
        <w:rPr>
          <w:rFonts w:ascii="Arial" w:cs="Arial" w:eastAsia="Arial" w:hAnsi="Arial"/>
          <w:b/>
          <w:bCs/>
          <w:color w:val="2E75B6"/>
          <w:sz w:val="26"/>
          <w:szCs w:val="26"/>
        </w:rPr>
        <w:t xml:space="preserve">Descripción</w:t>
      </w:r>
    </w:p>
    <w:p>
      <w:pPr>
        <w:spacing w:after="140"/>
      </w:pPr>
      <w:r>
        <w:rPr>
          <w:rFonts w:ascii="Arial" w:cs="Arial" w:eastAsia="Arial" w:hAnsi="Arial"/>
          <w:b w:val="false"/>
          <w:bCs w:val="false"/>
          <w:color w:val="000000"/>
          <w:sz w:val="22"/>
          <w:szCs w:val="22"/>
        </w:rPr>
        <w:t xml:space="preserve">El enfoque original planteaba usar Google Sheets como el documento de liquidación en tiempo real. El flujo era:</w:t>
      </w:r>
    </w:p>
    <w:p>
      <w:pPr>
        <w:pStyle w:val="ListParagraph"/>
        <w:numPr>
          <w:ilvl w:val="0"/>
          <w:numId w:val="2"/>
        </w:numPr>
        <w:spacing w:after="80"/>
      </w:pPr>
      <w:r>
        <w:rPr>
          <w:rFonts w:ascii="Arial" w:cs="Arial" w:eastAsia="Arial" w:hAnsi="Arial"/>
          <w:sz w:val="22"/>
          <w:szCs w:val="22"/>
        </w:rPr>
        <w:t xml:space="preserve">El administrador edita un monto en Angular</w:t>
      </w:r>
    </w:p>
    <w:p>
      <w:pPr>
        <w:pStyle w:val="ListParagraph"/>
        <w:numPr>
          <w:ilvl w:val="0"/>
          <w:numId w:val="2"/>
        </w:numPr>
        <w:spacing w:after="80"/>
      </w:pPr>
      <w:r>
        <w:rPr>
          <w:rFonts w:ascii="Arial" w:cs="Arial" w:eastAsia="Arial" w:hAnsi="Arial"/>
          <w:sz w:val="22"/>
          <w:szCs w:val="22"/>
        </w:rPr>
        <w:t xml:space="preserve">Django guarda el cambio en Postgres</w:t>
      </w:r>
    </w:p>
    <w:p>
      <w:pPr>
        <w:pStyle w:val="ListParagraph"/>
        <w:numPr>
          <w:ilvl w:val="0"/>
          <w:numId w:val="2"/>
        </w:numPr>
        <w:spacing w:after="80"/>
      </w:pPr>
      <w:r>
        <w:rPr>
          <w:rFonts w:ascii="Arial" w:cs="Arial" w:eastAsia="Arial" w:hAnsi="Arial"/>
          <w:sz w:val="22"/>
          <w:szCs w:val="22"/>
        </w:rPr>
        <w:t xml:space="preserve">Django dispara un webhook a n8n con { sheet_id, celda, valor }</w:t>
      </w:r>
    </w:p>
    <w:p>
      <w:pPr>
        <w:pStyle w:val="ListParagraph"/>
        <w:numPr>
          <w:ilvl w:val="0"/>
          <w:numId w:val="2"/>
        </w:numPr>
        <w:spacing w:after="80"/>
      </w:pPr>
      <w:r>
        <w:rPr>
          <w:rFonts w:ascii="Arial" w:cs="Arial" w:eastAsia="Arial" w:hAnsi="Arial"/>
          <w:sz w:val="22"/>
          <w:szCs w:val="22"/>
        </w:rPr>
        <w:t xml:space="preserve">n8n actualiza esa celda exacta en Google Drive en tiempo real</w:t>
      </w:r>
    </w:p>
    <w:p>
      <w:pPr>
        <w:pStyle w:val="ListParagraph"/>
        <w:numPr>
          <w:ilvl w:val="0"/>
          <w:numId w:val="2"/>
        </w:numPr>
        <w:spacing w:after="160"/>
      </w:pPr>
      <w:r>
        <w:rPr>
          <w:rFonts w:ascii="Arial" w:cs="Arial" w:eastAsia="Arial" w:hAnsi="Arial"/>
          <w:sz w:val="22"/>
          <w:szCs w:val="22"/>
        </w:rPr>
        <w:t xml:space="preserve">El Sheet actúa como espejo visual de la app</w:t>
      </w:r>
    </w:p>
    <w:p>
      <w:pPr>
        <w:spacing w:after="160"/>
      </w:pPr>
    </w:p>
    <w:p>
      <w:pPr>
        <w:pStyle w:val="Heading2"/>
        <w:spacing w:before="280" w:after="140"/>
      </w:pPr>
      <w:r>
        <w:rPr>
          <w:rFonts w:ascii="Arial" w:cs="Arial" w:eastAsia="Arial" w:hAnsi="Arial"/>
          <w:b/>
          <w:bCs/>
          <w:color w:val="2E75B6"/>
          <w:sz w:val="26"/>
          <w:szCs w:val="26"/>
        </w:rPr>
        <w:t xml:space="preserve">Problemas identificados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color w:val="991B1B"/>
                <w:sz w:val="22"/>
                <w:szCs w:val="22"/>
              </w:rPr>
              <w:t xml:space="preserve">PROBLEMA CRÍTICO: La plantilla Excel analizada tiene 8 hojas interdependientes con fórmulas encadenadas. n8n solo puede actualizar celdas individuales — no puede recalcular fórmulas entre hojas.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Gravedad</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Fórmulas encadenadas en el Sheet</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n8n toca una celda → fórmulas se rompen o dan resultados incorrectos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CRÍTICO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8 hojas interdependientes (AYSA, Cash Flow, Gastos)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No se pueden sincronizar con webhooks individuales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EE2E2"/>
                <w:bCs w:val="FFFFFF,FFFFFF,FEE2E2"/>
                <w:color w:val="FFFFFF"/>
                <w:sz w:val="20"/>
                <w:szCs w:val="20"/>
              </w:rPr>
              <w:t xml:space="preserve">CRÍTICO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Hoja AYSA con 112 columnas históricas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Imposible mapear y mantener via API de celdas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ALTO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Cada mes requiere copia de plantilla en Drive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Lógica frágil, propenso a errores de naming y permisos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ALTO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Edición manual del Sheet por el cliente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Desincronización inmediata con Postgres</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C7CE"/>
                <w:bCs w:val="FFFFFF,FFFFFF,FFC7CE"/>
                <w:color w:val="FFFFFF"/>
                <w:sz w:val="20"/>
                <w:szCs w:val="20"/>
              </w:rPr>
              <w:t xml:space="preserve">ALTO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Dependencia de Google Drive para operar</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Si Drive falla o cambia su API, el sistema se cae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MEDIO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n8n como intermediario obligatorio</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Punto de falla adicional en cada edición</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MEDIO</w:t>
            </w:r>
          </w:p>
        </w:tc>
      </w:tr>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Credenciales Google Cloud en producción</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Superficie de ataque adicional</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val="FFFFFF,FFFFFF,FFEB9C"/>
                <w:bCs w:val="FFFFFF,FFFFFF,FFEB9C"/>
                <w:color w:val="FFFFFF"/>
                <w:sz w:val="20"/>
                <w:szCs w:val="20"/>
              </w:rPr>
              <w:t xml:space="preserve">MEDIO</w:t>
            </w:r>
          </w:p>
        </w:tc>
      </w:tr>
    </w:tbl>
    <w:p>
      <w:pPr>
        <w:spacing w:after="200"/>
      </w:pPr>
    </w:p>
    <w:p>
      <w:pPr>
        <w:pStyle w:val="Heading2"/>
        <w:spacing w:before="280" w:after="140"/>
      </w:pPr>
      <w:r>
        <w:rPr>
          <w:rFonts w:ascii="Arial" w:cs="Arial" w:eastAsia="Arial" w:hAnsi="Arial"/>
          <w:b/>
          <w:bCs/>
          <w:color w:val="2E75B6"/>
          <w:sz w:val="26"/>
          <w:szCs w:val="26"/>
        </w:rPr>
        <w:t xml:space="preserve">Conclusión sobre este enfoque</w:t>
      </w:r>
    </w:p>
    <w:p>
      <w:pPr>
        <w:spacing w:after="140"/>
      </w:pPr>
      <w:r>
        <w:rPr>
          <w:rFonts w:ascii="Arial" w:cs="Arial" w:eastAsia="Arial" w:hAnsi="Arial"/>
          <w:b w:val="false"/>
          <w:bCs w:val="false"/>
          <w:color w:val="000000"/>
          <w:sz w:val="22"/>
          <w:szCs w:val="22"/>
        </w:rPr>
        <w:t xml:space="preserve">El Espejismo es una arquitectura acoplada a un servicio externo (Google Drive) para una función que es el núcleo del negocio. Cualquier cambio en la plantilla Excel del cliente requiere modificar el mapeo de celdas en código. La integridad de los datos depende de que dos sistemas (Postgres y el Sheet) estén sincronizados permanentemente — lo cual es imposible de garantizar cuando el cliente puede editar el Sheet directamente.</w:t>
      </w:r>
    </w:p>
    <w:p>
      <w:pPr>
        <w:spacing w:after="140"/>
      </w:pPr>
      <w:r>
        <w:rPr>
          <w:rFonts w:ascii="Arial" w:cs="Arial" w:eastAsia="Arial" w:hAnsi="Arial"/>
          <w:b/>
          <w:bCs/>
          <w:color w:val="000000"/>
          <w:sz w:val="22"/>
          <w:szCs w:val="22"/>
        </w:rPr>
        <w:t xml:space="preserve">Este enfoque fue formalmente descartado el 25 de Marzo de 2026.</w:t>
      </w:r>
    </w:p>
    <w:p>
      <w:pPr>
        <w:pBdr>
          <w:bottom w:val="single" w:color="2E75B6" w:sz="4" w:space="1"/>
        </w:pBdr>
        <w:spacing w:after="200"/>
      </w:pPr>
    </w:p>
    <w:p>
      <w:pPr>
        <w:pStyle w:val="Heading1"/>
        <w:spacing w:before="400" w:after="200"/>
      </w:pPr>
      <w:r>
        <w:rPr>
          <w:rFonts w:ascii="Arial" w:cs="Arial" w:eastAsia="Arial" w:hAnsi="Arial"/>
          <w:b/>
          <w:bCs/>
          <w:color w:val="1E3A5F"/>
          <w:sz w:val="32"/>
          <w:szCs w:val="32"/>
        </w:rPr>
        <w:t xml:space="preserve">3. Enfoque Elegido — Liquidación Nativa en la App</w:t>
      </w:r>
    </w:p>
    <w:p>
      <w:pPr>
        <w:pStyle w:val="Heading2"/>
        <w:spacing w:before="280" w:after="140"/>
      </w:pPr>
      <w:r>
        <w:rPr>
          <w:rFonts w:ascii="Arial" w:cs="Arial" w:eastAsia="Arial" w:hAnsi="Arial"/>
          <w:b/>
          <w:bCs/>
          <w:color w:val="2E75B6"/>
          <w:sz w:val="26"/>
          <w:szCs w:val="26"/>
        </w:rPr>
        <w:t xml:space="preserve">Descripción</w:t>
      </w:r>
    </w:p>
    <w:p>
      <w:pPr>
        <w:spacing w:after="140"/>
      </w:pPr>
      <w:r>
        <w:rPr>
          <w:rFonts w:ascii="Arial" w:cs="Arial" w:eastAsia="Arial" w:hAnsi="Arial"/>
          <w:b w:val="false"/>
          <w:bCs w:val="false"/>
          <w:color w:val="000000"/>
          <w:sz w:val="22"/>
          <w:szCs w:val="22"/>
        </w:rPr>
        <w:t xml:space="preserve">El nuevo enfoque centraliza todo el proceso de liquidación dentro del sistema Consorcio360. Django es la única fuente de verdad. El flujo es:</w:t>
      </w:r>
    </w:p>
    <w:p>
      <w:pPr>
        <w:pStyle w:val="ListParagraph"/>
        <w:numPr>
          <w:ilvl w:val="0"/>
          <w:numId w:val="2"/>
        </w:numPr>
        <w:spacing w:after="80"/>
      </w:pPr>
      <w:r>
        <w:rPr>
          <w:rFonts w:ascii="Arial" w:cs="Arial" w:eastAsia="Arial" w:hAnsi="Arial"/>
          <w:sz w:val="22"/>
          <w:szCs w:val="22"/>
        </w:rPr>
        <w:t xml:space="preserve">Admin abre un período de liquidación en la app</w:t>
      </w:r>
    </w:p>
    <w:p>
      <w:pPr>
        <w:pStyle w:val="ListParagraph"/>
        <w:numPr>
          <w:ilvl w:val="0"/>
          <w:numId w:val="2"/>
        </w:numPr>
        <w:spacing w:after="80"/>
      </w:pPr>
      <w:r>
        <w:rPr>
          <w:rFonts w:ascii="Arial" w:cs="Arial" w:eastAsia="Arial" w:hAnsi="Arial"/>
          <w:sz w:val="22"/>
          <w:szCs w:val="22"/>
        </w:rPr>
        <w:t xml:space="preserve">Django precalcula automáticamente: expensa ordinaria (por coeficiente), saldo anterior (del período previo en Postgres), interés por mora</w:t>
      </w:r>
    </w:p>
    <w:p>
      <w:pPr>
        <w:pStyle w:val="ListParagraph"/>
        <w:numPr>
          <w:ilvl w:val="0"/>
          <w:numId w:val="2"/>
        </w:numPr>
        <w:spacing w:after="80"/>
      </w:pPr>
      <w:r>
        <w:rPr>
          <w:rFonts w:ascii="Arial" w:cs="Arial" w:eastAsia="Arial" w:hAnsi="Arial"/>
          <w:sz w:val="22"/>
          <w:szCs w:val="22"/>
        </w:rPr>
        <w:t xml:space="preserve">El admin revisa y ajusta en una vista tipo Excel dentro de Angular: pagos recibidos, gastos particulares (AYSA, multas, etc.), ajustes manuales</w:t>
      </w:r>
    </w:p>
    <w:p>
      <w:pPr>
        <w:pStyle w:val="ListParagraph"/>
        <w:numPr>
          <w:ilvl w:val="0"/>
          <w:numId w:val="2"/>
        </w:numPr>
        <w:spacing w:after="80"/>
      </w:pPr>
      <w:r>
        <w:rPr>
          <w:rFonts w:ascii="Arial" w:cs="Arial" w:eastAsia="Arial" w:hAnsi="Arial"/>
          <w:sz w:val="22"/>
          <w:szCs w:val="22"/>
        </w:rPr>
        <w:t xml:space="preserve">Al cerrar el período, el sistema ofrece dos acciones: Exportar a Excel (para el contador) y Enviar liquidaciones (PDF individual por propietario vía Gmail)</w:t>
      </w:r>
    </w:p>
    <w:p>
      <w:pPr>
        <w:spacing w:after="160"/>
      </w:pPr>
    </w:p>
    <w:p>
      <w:pPr>
        <w:pStyle w:val="Heading2"/>
        <w:spacing w:before="280" w:after="140"/>
      </w:pPr>
      <w:r>
        <w:rPr>
          <w:rFonts w:ascii="Arial" w:cs="Arial" w:eastAsia="Arial" w:hAnsi="Arial"/>
          <w:b/>
          <w:bCs/>
          <w:color w:val="2E75B6"/>
          <w:sz w:val="26"/>
          <w:szCs w:val="26"/>
        </w:rPr>
        <w:t xml:space="preserve">Ventajas técnicas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Fuente de verdad única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 es el único lugar donde viven los datos. No hay sincronización que pueda desincronizarse.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Cálculos auditables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algoritmos de prorrateo, mora e intereses viven en Python. Son testeables, versionables y auditables.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dependencias externas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opera aunque Google Drive, n8n o cualquier servicio externo esté caído.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Escalable a N consorcios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Cada consorcio tiene su configuración de coeficientes en BD. Agregar un consorcio no requiere crear ni mapear plantillas.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 controlada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Excel de salida se genera desde datos limpios con openpyxl. El formato puede ajustarse sin tocar la lógica de negocio.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Envío masivo robusto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PDFs se generan por propietario desde datos de BD. El envío usa Gmail directamente desde Django, no como efecto secundario de n8n.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Mantenible a futuro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desarrollador nuevo puede entender el flujo completo sin conocer n8n, Google Sheets API ni la estructura de la plantilla Excel del cliente.</w:t>
            </w:r>
          </w:p>
        </w:tc>
      </w:tr>
    </w:tbl>
    <w:p>
      <w:pPr>
        <w:spacing w:after="200"/>
      </w:pPr>
    </w:p>
    <w:p>
      <w:pPr>
        <w:pStyle w:val="Heading2"/>
        <w:spacing w:before="280" w:after="140"/>
      </w:pPr>
      <w:r>
        <w:rPr>
          <w:rFonts w:ascii="Arial" w:cs="Arial" w:eastAsia="Arial" w:hAnsi="Arial"/>
          <w:b/>
          <w:bCs/>
          <w:color w:val="2E75B6"/>
          <w:sz w:val="26"/>
          <w:szCs w:val="26"/>
        </w:rPr>
        <w:t xml:space="preserve">Comparación directa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Espejismo (descartado)</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Nativo (elegido)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Fuente de verdad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 + Google Sheet (dual)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 (único)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Dependencias externas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Drive, Google Sheets API, n8n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Ninguna para operar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Cálculos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Fórmulas en Excel (no auditables)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en Django (testeables)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consorcio nuevo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Crear plantilla + mapear celdas + configurar Drive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Crear registro en BD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Fallo de Drive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Sistema inutilizable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impacto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Edición manual por cliente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Desincroniza datos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aplica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Sheet ES el documento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genera desde datos limpios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Complejidad de mantenimiento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(3 sistemas + API mapping)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 (1 sistema)</w:t>
            </w:r>
          </w:p>
        </w:tc>
      </w:tr>
    </w:tbl>
    <w:p>
      <w:pPr>
        <w:spacing w:after="200"/>
      </w:pPr>
    </w:p>
    <w:p>
      <w:pPr>
        <w:pBdr>
          <w:bottom w:val="single" w:color="2E75B6" w:sz="4" w:space="1"/>
        </w:pBdr>
        <w:spacing w:after="200"/>
      </w:pPr>
    </w:p>
    <w:p>
      <w:pPr>
        <w:pStyle w:val="Heading1"/>
        <w:spacing w:before="400" w:after="200"/>
      </w:pPr>
      <w:r>
        <w:rPr>
          <w:rFonts w:ascii="Arial" w:cs="Arial" w:eastAsia="Arial" w:hAnsi="Arial"/>
          <w:b/>
          <w:bCs/>
          <w:color w:val="1E3A5F"/>
          <w:sz w:val="32"/>
          <w:szCs w:val="32"/>
        </w:rPr>
        <w:t xml:space="preserve">4. Plan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26"/>
        <w:gridCol w:w="1500"/>
      </w:tblGrid>
      <w:tr>
        <w:tc>
          <w:tcPr>
            <w:tcW w:type="dxa" w:w="225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25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25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Modelos Django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liquidaciones: Periodo, LiquidacionLote, GastoParticular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Endpoints Django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Abrir período, GET tabla, PATCH fila, Cerrar período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 Angular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Tabla editable tipo Excel con cálculos en tiempo real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 Excel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Generar .xlsx con openpyxl desde datos de Postgres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Generación PDF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individual por propietario con datos del período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Envío masivo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Gmail a todos los propietarios con PDF adjunto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Pendiente</w:t>
            </w:r>
          </w:p>
        </w:tc>
      </w:tr>
    </w:tbl>
    <w:p>
      <w:pPr>
        <w:spacing w:after="200"/>
      </w:pPr>
    </w:p>
    <w:p>
      <w:pPr>
        <w:pBdr>
          <w:bottom w:val="single" w:color="2E75B6" w:sz="4" w:space="1"/>
        </w:pBdr>
        <w:spacing w:after="200"/>
      </w:pPr>
    </w:p>
    <w:p>
      <w:pPr>
        <w:pStyle w:val="Heading1"/>
        <w:spacing w:before="400" w:after="200"/>
      </w:pPr>
      <w:r>
        <w:rPr>
          <w:rFonts w:ascii="Arial" w:cs="Arial" w:eastAsia="Arial" w:hAnsi="Arial"/>
          <w:b/>
          <w:bCs/>
          <w:color w:val="1E3A5F"/>
          <w:sz w:val="32"/>
          <w:szCs w:val="32"/>
        </w:rPr>
        <w:t xml:space="preserve">5. Rol futuro de n8n y Google Drive</w:t>
      </w:r>
    </w:p>
    <w:p>
      <w:pPr>
        <w:spacing w:after="140"/>
      </w:pPr>
      <w:r>
        <w:rPr>
          <w:rFonts w:ascii="Arial" w:cs="Arial" w:eastAsia="Arial" w:hAnsi="Arial"/>
          <w:b w:val="false"/>
          <w:bCs w:val="false"/>
          <w:color w:val="000000"/>
          <w:sz w:val="22"/>
          <w:szCs w:val="22"/>
        </w:rPr>
        <w:t xml:space="preserve">Esta decisión no elimina n8n ni Google Drive del sistema. Ambos siguen siendo válidos para sus roles actuales:</w:t>
      </w:r>
    </w:p>
    <w:p>
      <w:pPr>
        <w:pStyle w:val="ListParagraph"/>
        <w:numPr>
          <w:ilvl w:val="0"/>
          <w:numId w:val="3"/>
        </w:numPr>
        <w:spacing w:after="80"/>
      </w:pPr>
      <w:r>
        <w:rPr>
          <w:rFonts w:ascii="Arial" w:cs="Arial" w:eastAsia="Arial" w:hAnsi="Arial"/>
          <w:b w:val="false"/>
          <w:bCs w:val="false"/>
          <w:sz w:val="22"/>
          <w:szCs w:val="22"/>
        </w:rPr>
        <w:t xml:space="preserve">n8n: Ingesta automática de gastos desde Gmail (Fase A) — este flujo sigue activo y funcionando.</w:t>
      </w:r>
    </w:p>
    <w:p>
      <w:pPr>
        <w:pStyle w:val="ListParagraph"/>
        <w:numPr>
          <w:ilvl w:val="0"/>
          <w:numId w:val="3"/>
        </w:numPr>
        <w:spacing w:after="80"/>
      </w:pPr>
      <w:r>
        <w:rPr>
          <w:rFonts w:ascii="Arial" w:cs="Arial" w:eastAsia="Arial" w:hAnsi="Arial"/>
          <w:b w:val="false"/>
          <w:bCs w:val="false"/>
          <w:sz w:val="22"/>
          <w:szCs w:val="22"/>
        </w:rPr>
        <w:t xml:space="preserve">Google Drive: Puede usarse como destino de archivos exportados (el Excel o PDF final) si el cliente lo requiere — pero como destino de salida, no como fuente de verdad.</w:t>
      </w:r>
    </w:p>
    <w:p>
      <w:pPr>
        <w:spacing w:after="120"/>
      </w:pPr>
    </w:p>
    <w:p>
      <w:pPr>
        <w:spacing w:after="140"/>
      </w:pPr>
      <w:r>
        <w:rPr>
          <w:rFonts w:ascii="Arial" w:cs="Arial" w:eastAsia="Arial" w:hAnsi="Arial"/>
          <w:b/>
          <w:bCs/>
          <w:color w:val="000000"/>
          <w:sz w:val="22"/>
          <w:szCs w:val="22"/>
        </w:rPr>
        <w:t xml:space="preserve">Lo que se descarta es el uso de Google Sheets como base operativa del proceso de liquidación — no como repositorio de documentos finales.</w:t>
      </w:r>
    </w:p>
    <w:p>
      <w:pPr>
        <w:pBdr>
          <w:bottom w:val="single" w:color="2E75B6" w:sz="4" w:space="1"/>
        </w:pBdr>
        <w:spacing w:after="200"/>
      </w:pPr>
    </w:p>
    <w:p>
      <w:pPr>
        <w:spacing w:after="160"/>
      </w:pPr>
    </w:p>
    <w:p>
      <w:pPr>
        <w:jc w:val="center"/>
      </w:pPr>
      <w:r>
        <w:rPr>
          <w:rFonts w:ascii="Arial" w:cs="Arial" w:eastAsia="Arial" w:hAnsi="Arial"/>
          <w:i/>
          <w:iCs/>
          <w:color w:val="6B7280"/>
          <w:sz w:val="20"/>
          <w:szCs w:val="20"/>
        </w:rPr>
        <w:t xml:space="preserve">Documento aprobado — 25 de Marzo de 2026</w:t>
      </w:r>
    </w:p>
    <w:p>
      <w:pPr>
        <w:jc w:val="center"/>
      </w:pPr>
      <w:r>
        <w:rPr>
          <w:rFonts w:ascii="Arial" w:cs="Arial" w:eastAsia="Arial" w:hAnsi="Arial"/>
          <w:color w:val="9CA3AF"/>
          <w:sz w:val="18"/>
          <w:szCs w:val="18"/>
        </w:rPr>
        <w:t xml:space="preserve">© 2026 ConsorcioAdmin — Propiedad intelectual de FYH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2026-03-25T04:10:01.400Z</dcterms:created>
  <dcterms:modified xsi:type="dcterms:W3CDTF">2026-03-25T04:10:01.401Z</dcterms:modified>
</cp:coreProperties>
</file>

<file path=docProps/custom.xml><?xml version="1.0" encoding="utf-8"?>
<Properties xmlns="http://schemas.openxmlformats.org/officeDocument/2006/custom-properties" xmlns:vt="http://schemas.openxmlformats.org/officeDocument/2006/docPropsVTypes"/>
</file>