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0"/>
        </w:rPr>
        <w:t xml:space="preserve"/>
      </w:r>
    </w:p>
    <w:p>
      <w:pPr>
        <w:spacing w:after="120" w:before="240"/>
        <w:jc w:val="center"/>
      </w:pPr>
      <w:r>
        <w:rPr>
          <w:b/>
          <w:bCs/>
          <w:sz w:val="48"/>
          <w:szCs w:val="48"/>
        </w:rPr>
        <w:t xml:space="preserve">AI GOVERNANCE COMPLIANCE ASSESSMENT REPORT</w:t>
      </w:r>
    </w:p>
    <w:p>
      <w:pPr>
        <w:spacing w:after="240"/>
        <w:jc w:val="center"/>
      </w:pPr>
      <w:r>
        <w:rPr>
          <w:b/>
          <w:bCs/>
          <w:sz w:val="28"/>
          <w:szCs w:val="28"/>
        </w:rPr>
        <w:t xml:space="preserve">Acme Corporation AI Systems Division</w:t>
      </w:r>
    </w:p>
    <w:p>
      <w:pPr>
        <w:spacing w:after="480"/>
        <w:jc w:val="center"/>
      </w:pPr>
      <w:r>
        <w:rPr>
          <w:sz w:val="24"/>
          <w:szCs w:val="24"/>
        </w:rPr>
        <w:t xml:space="preserve">Assessment Date: June 22, 2026</w:t>
      </w:r>
    </w:p>
    <w:p>
      <w:pPr>
        <w:spacing w:after="120" w:before="240"/>
      </w:pPr>
      <w:r>
        <w:rPr>
          <w:b/>
          <w:bCs/>
          <w:sz w:val="26"/>
          <w:szCs w:val="26"/>
        </w:rPr>
        <w:t xml:space="preserve">Organization Profile</w:t>
      </w:r>
    </w:p>
    <w:p>
      <w:pPr>
        <w:spacing w:after="80"/>
      </w:pPr>
      <w:r>
        <w:rPr>
          <w:sz w:val="24"/>
          <w:szCs w:val="24"/>
        </w:rPr>
        <w:t xml:space="preserve">Organization Name: Acme Corporation (Dummy Data)</w:t>
      </w:r>
    </w:p>
    <w:p>
      <w:pPr>
        <w:spacing w:after="80"/>
      </w:pPr>
      <w:r>
        <w:rPr>
          <w:sz w:val="24"/>
          <w:szCs w:val="24"/>
        </w:rPr>
        <w:t xml:space="preserve">Industry: Technology / Artificial Intelligence Services</w:t>
      </w:r>
    </w:p>
    <w:p>
      <w:pPr>
        <w:spacing w:after="80"/>
      </w:pPr>
      <w:r>
        <w:rPr>
          <w:sz w:val="24"/>
          <w:szCs w:val="24"/>
        </w:rPr>
        <w:t xml:space="preserve">Jurisdiction: Global (US Headquarters, EU Operations, APAC Presence)</w:t>
      </w:r>
    </w:p>
    <w:p>
      <w:pPr>
        <w:spacing w:after="480"/>
      </w:pPr>
      <w:r>
        <w:rPr>
          <w:sz w:val="24"/>
          <w:szCs w:val="24"/>
        </w:rPr>
        <w:t xml:space="preserve">AI Systems in Scope: Customer Recommendation Engine, Content Moderation, Predictive Analytics Platform</w:t>
      </w:r>
    </w:p>
    <w:r>
      <w:br w:type="page"/>
    </w:r>
    <w:p>
      <w:pPr>
        <w:pStyle w:val="Heading1"/>
      </w:pPr>
      <w:r>
        <w:t xml:space="preserve">EXECUTIVE SUMMARY</w:t>
      </w:r>
    </w:p>
    <w:p>
      <w:pPr>
        <w:spacing w:after="240"/>
      </w:pPr>
      <w:r>
        <w:t xml:space="preserve">This compliance assessment evaluates Acme Corporation's AI governance maturity against three critical international frameworks: NIST AI Risk Management Framework (AI RMF), EU AI Act, and ISO 42001 (Information Security Management System for AI). The assessment covers AI systems deployed in production environments with particular attention to high-risk applications.</w:t>
      </w:r>
    </w:p>
    <w:p>
      <w:pPr>
        <w:spacing w:after="120"/>
      </w:pPr>
      <w:r>
        <w:rPr>
          <w:b/>
          <w:bCs/>
        </w:rPr>
        <w:t xml:space="preserve">Overall Compliance Status: PARTIAL (51-75% compliance)</w:t>
      </w:r>
    </w:p>
    <w:p>
      <w:pPr>
        <w:spacing w:after="80"/>
      </w:pPr>
      <w:r>
        <w:t xml:space="preserve">NIST AI RMF: 65% compliant (4 of 6 functions implemented)</w:t>
      </w:r>
    </w:p>
    <w:p>
      <w:pPr>
        <w:spacing w:after="80"/>
      </w:pPr>
      <w:r>
        <w:t xml:space="preserve">EU AI Act: 58% compliant (gap in risk classification and documentation)</w:t>
      </w:r>
    </w:p>
    <w:p>
      <w:pPr>
        <w:spacing w:after="480"/>
      </w:pPr>
      <w:r>
        <w:t xml:space="preserve">ISO 42001: 48% compliant (emerging program, foundational controls in place)</w:t>
      </w:r>
    </w:p>
    <w:p>
      <w:pPr>
        <w:spacing w:after="120" w:before="240"/>
      </w:pPr>
      <w:r>
        <w:rPr>
          <w:b/>
          <w:bCs/>
          <w:sz w:val="26"/>
          <w:szCs w:val="26"/>
        </w:rPr>
        <w:t xml:space="preserve">Key Findings</w:t>
      </w:r>
    </w:p>
    <w:p>
      <w:r>
        <w:t xml:space="preserve">1. Strengths: Established risk inventory for AI systems, active model monitoring pipelines, and documented testing protocols for fairness and performance.</w:t>
      </w:r>
    </w:p>
    <w:p>
      <w:r>
        <w:t xml:space="preserve">2. Gaps: Insufficient governance structure, missing audit trails for model changes, weak supply chain risk management for third-party AI components, and inadequate incident response procedures.</w:t>
      </w:r>
    </w:p>
    <w:p>
      <w:r>
        <w:t xml:space="preserve">3. Risks: High risk of regulatory non-compliance (EU AI Act enforcement), medium risk of model drift detection failures, and medium risk of inadequate transparency in AI decision-making.</w:t>
      </w:r>
    </w:p>
    <w:r>
      <w:br w:type="page"/>
    </w:r>
    <w:p>
      <w:pPr>
        <w:pStyle w:val="Heading1"/>
      </w:pPr>
      <w:r>
        <w:t xml:space="preserve">NIST AI RISK MANAGEMENT FRAMEWORK ASSESSMENT</w:t>
      </w:r>
    </w:p>
    <w:p>
      <w:r>
        <w:t xml:space="preserve">The NIST AI RMF provides six core functions for managing AI risks: Govern, Map, Measure, Manage, Operate, and Govern+. Below is the detailed compliance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NIST Function</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Maturity Level</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Compliance %</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Risk Rating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1. GOVERN: AI Risk Governance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55%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2. MAP: Risk &amp; Impact Assessment</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Implemented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75%</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3. MEASURE: Metrics &amp; Testing</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Implemented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70%</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Low-Medium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4. MANAGE: Risk Mitigation</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60%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5. OPERATE: Monitoring &amp; Response</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Implemented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72%</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6. GOVERN+: Continuous Improvement</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Emerging</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35%</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r>
    </w:tbl>
    <w:p>
      <w:pPr>
        <w:spacing w:after="240"/>
      </w:pPr>
      <w:r>
        <w:t xml:space="preserve"/>
      </w:r>
    </w:p>
    <w:p>
      <w:pPr>
        <w:pStyle w:val="Heading2"/>
      </w:pPr>
      <w:r>
        <w:t xml:space="preserve">NIST AI RMF: Detailed Findings</w:t>
      </w:r>
    </w:p>
    <w:p>
      <w:pPr>
        <w:spacing w:after="80" w:before="120"/>
      </w:pPr>
      <w:r>
        <w:rPr>
          <w:b/>
          <w:bCs/>
        </w:rPr>
        <w:t xml:space="preserve">Function 1: GOVERN (55% - MEDIUM RISK)</w:t>
      </w:r>
    </w:p>
    <w:p>
      <w:r>
        <w:t xml:space="preserve">Implemented: Chief AI Officer appointed, AI ethics committee established, risk registry maintained.</w:t>
      </w:r>
    </w:p>
    <w:p>
      <w:r>
        <w:t xml:space="preserve">Gaps: No formal AI governance policy document, board-level oversight insufficient, accountability structures unclear.</w:t>
      </w:r>
    </w:p>
    <w:p>
      <w:r>
        <w:t xml:space="preserve">Recommendation: Document AI governance framework, establish clear roles, implement quarterly board reporting on AI risks.</w:t>
      </w:r>
    </w:p>
    <w:p>
      <w:pPr>
        <w:spacing w:after="80" w:before="120"/>
      </w:pPr>
      <w:r>
        <w:rPr>
          <w:b/>
          <w:bCs/>
        </w:rPr>
        <w:t xml:space="preserve">Function 2: MAP (75% - LOW RISK)</w:t>
      </w:r>
    </w:p>
    <w:p>
      <w:r>
        <w:t xml:space="preserve">Implemented: Risk maps for recommendation engine, fairness impact assessments completed, threat models documented for content moderation system.</w:t>
      </w:r>
    </w:p>
    <w:p>
      <w:r>
        <w:t xml:space="preserve">Gaps: No supply chain risk analysis for third-party model components, inadequate documentation of unintended use cases.</w:t>
      </w:r>
    </w:p>
    <w:p>
      <w:pPr>
        <w:spacing w:after="80" w:before="120"/>
      </w:pPr>
      <w:r>
        <w:rPr>
          <w:b/>
          <w:bCs/>
        </w:rPr>
        <w:t xml:space="preserve">Function 3: MEASURE (70% - LOW-MEDIUM RISK)</w:t>
      </w:r>
    </w:p>
    <w:p>
      <w:r>
        <w:t xml:space="preserve">Implemented: Fairness metrics (demographic parity) calculated monthly, accuracy and precision tracked, adversarial testing performed quarterly.</w:t>
      </w:r>
    </w:p>
    <w:p>
      <w:r>
        <w:t xml:space="preserve">Gaps: Explainability metrics missing for neural network decisions, concept drift detection needs improvement.</w:t>
      </w:r>
    </w:p>
    <w:p>
      <w:pPr>
        <w:spacing w:after="80" w:before="120"/>
      </w:pPr>
      <w:r>
        <w:rPr>
          <w:b/>
          <w:bCs/>
        </w:rPr>
        <w:t xml:space="preserve">Function 4: MANAGE (60% - MEDIUM RISK)</w:t>
      </w:r>
    </w:p>
    <w:p>
      <w:r>
        <w:t xml:space="preserve">Implemented: Model versioning system, rollback procedures, data quality controls.</w:t>
      </w:r>
    </w:p>
    <w:p>
      <w:r>
        <w:t xml:space="preserve">Gaps: Insufficient isolation controls between development and production, inadequate incident response procedures for model failures.</w:t>
      </w:r>
    </w:p>
    <w:p>
      <w:pPr>
        <w:spacing w:after="80" w:before="120"/>
      </w:pPr>
      <w:r>
        <w:rPr>
          <w:b/>
          <w:bCs/>
        </w:rPr>
        <w:t xml:space="preserve">Function 5: OPERATE (72% - LOW RISK)</w:t>
      </w:r>
    </w:p>
    <w:p>
      <w:r>
        <w:t xml:space="preserve">Implemented: 24/7 AI system monitoring, automated alerts for performance degradation, weekly model performance reviews.</w:t>
      </w:r>
    </w:p>
    <w:p>
      <w:r>
        <w:t xml:space="preserve">Gaps: Limited human-in-the-loop processes, audit trail completeness questionable.</w:t>
      </w:r>
    </w:p>
    <w:p>
      <w:pPr>
        <w:spacing w:after="80" w:before="120"/>
      </w:pPr>
      <w:r>
        <w:rPr>
          <w:b/>
          <w:bCs/>
        </w:rPr>
        <w:t xml:space="preserve">Function 6: GOVERN+ (35% - HIGH RISK)</w:t>
      </w:r>
    </w:p>
    <w:p>
      <w:r>
        <w:t xml:space="preserve">Implemented: Annual compliance reviews initiated, feedback mechanisms emerging.</w:t>
      </w:r>
    </w:p>
    <w:p>
      <w:pPr>
        <w:spacing w:after="480"/>
      </w:pPr>
      <w:r>
        <w:t xml:space="preserve">Gaps: No systematic lesson-learned process, improvement backlog not tracked, stakeholder feedback integration minimal.</w:t>
      </w:r>
    </w:p>
    <w:r>
      <w:br w:type="page"/>
    </w:r>
    <w:p>
      <w:pPr>
        <w:pStyle w:val="Heading1"/>
      </w:pPr>
      <w:r>
        <w:t xml:space="preserve">EU AI ACT COMPLIANCE ASSESSMENT</w:t>
      </w:r>
    </w:p>
    <w:p>
      <w:r>
        <w:t xml:space="preserve">The EU AI Act categorizes AI systems into risk tiers (Prohibited, High-Risk, Limited-Risk, Minimal-Risk) with corresponding obligations. Overall Compliance: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Risk Category</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Examples in Scope</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Requirement Status</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Compliance %</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Gap Severity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Prohibited (Article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Real-time biometric ID (Not in scope)</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Compliant</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100%</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High-Risk (Articles 6-16)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Hiring, Credit Decisions, Content Curation</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45%</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Limited-Risk (Article 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Chatbots, Recommendation Engines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65%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Minimal-Risk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Low-impact Content Generation</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Implemented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85%</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Low</w:t>
            </w:r>
          </w:p>
        </w:tc>
      </w:tr>
    </w:tbl>
    <w:p>
      <w:pPr>
        <w:spacing w:after="240"/>
      </w:pPr>
      <w:r>
        <w:t xml:space="preserve"/>
      </w:r>
    </w:p>
    <w:p>
      <w:pPr>
        <w:pStyle w:val="Heading2"/>
      </w:pPr>
      <w:r>
        <w:t xml:space="preserve">EU AI Act: High-Risk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Obligation</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Status</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Evidence</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Gap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Risk Assessment (Article 9)</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Informal assessments exist</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Not documented formally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Data Governance (Article 10)</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Implemented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Data collection &amp; labeling documented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None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Documentation (Article 11)</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Technical documentation exists</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Incomplete user documentation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Human Oversight (Article 14)</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Limited human review processes</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Insufficient for high-risk decisions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Transparency (Article 13)</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Basic transparency in place</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Lacks detailed explainability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Conformity Assessment (Article 15)</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Not Implemented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No third-party audit completed</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Critical gap</w:t>
            </w:r>
          </w:p>
        </w:tc>
      </w:tr>
    </w:tbl>
    <w:p>
      <w:pPr>
        <w:spacing w:after="240"/>
      </w:pPr>
      <w:r>
        <w:t xml:space="preserve"/>
      </w:r>
    </w:p>
    <w:p>
      <w:pPr>
        <w:pStyle w:val="Heading2"/>
      </w:pPr>
      <w:r>
        <w:t xml:space="preserve">EU AI Act: Key Gaps and Actions</w:t>
      </w:r>
    </w:p>
    <w:p>
      <w:r>
        <w:t xml:space="preserve">Gap 1 (Critical): System not classified under EU AI Act risk tiers. Recommended action: Conduct formal risk classification for all AI systems; document decisions; escalate to legal and compliance.</w:t>
      </w:r>
    </w:p>
    <w:p>
      <w:r>
        <w:t xml:space="preserve">Gap 2 (High): Conformity assessment not completed. Recommended action: Engage third-party audit firm for Article 15 compliance assessment; target Q3 2026.</w:t>
      </w:r>
    </w:p>
    <w:p>
      <w:r>
        <w:t xml:space="preserve">Gap 3 (High): Human oversight inadequate for high-risk decisions. Recommended action: Design human-in-the-loop workflows; establish clear escalation triggers.</w:t>
      </w:r>
    </w:p>
    <w:p>
      <w:r>
        <w:t xml:space="preserve">Gap 4 (Medium): Transparency and explainability insufficient. Recommended action: Integrate LIME/SHAP explainability; generate user-facing explanations for all high-risk decisions.</w:t>
      </w:r>
    </w:p>
    <w:r>
      <w:br w:type="page"/>
    </w:r>
    <w:p>
      <w:pPr>
        <w:pStyle w:val="Heading1"/>
      </w:pPr>
      <w:r>
        <w:t xml:space="preserve">ISO 42001 COMPLIANCE ASSESSMENT</w:t>
      </w:r>
    </w:p>
    <w:p>
      <w:r>
        <w:t xml:space="preserve">ISO 42001 provides a management system framework for AI risks across information security, organizational resilience, and data governance. Overall Compliance: 48% (Emerging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ISO 42001 Clause</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Status</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Compliance %</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Risk Level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4: Context &amp; Stakeholders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60%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5: Leadership</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Emerging</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45%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6: Planning</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50%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7: Support &amp; Competence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55%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8: Operations</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48%</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9: Performance Evaluation</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Emerging</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35%</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10: Improvement &amp; Continual</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Emerging</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30%</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r>
    </w:tbl>
    <w:p>
      <w:pPr>
        <w:spacing w:after="240"/>
      </w:pPr>
      <w:r>
        <w:t xml:space="preserve"/>
      </w:r>
    </w:p>
    <w:p>
      <w:pPr>
        <w:pStyle w:val="Heading2"/>
      </w:pPr>
      <w:r>
        <w:t xml:space="preserve">ISO 42001: Control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Control Domain</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Maturity</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Implementation</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AI System Lifecycle</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Level 2 (Defined)</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60%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Data Management for AI</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Level 2 (Defined)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65%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Model Validation &amp; Testing</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Level 2 (Defined)</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70%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Supply Chain AI Security</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Level 1 (Ad-hoc)</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25%</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Critical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Incident Response (AI)</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Level 1 (Ad-hoc)</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30%</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Critical</w:t>
            </w:r>
          </w:p>
        </w:tc>
      </w:tr>
    </w:tbl>
    <w:p>
      <w:pPr>
        <w:spacing w:after="240"/>
      </w:pPr>
      <w:r>
        <w:t xml:space="preserve"/>
      </w:r>
    </w:p>
    <w:p>
      <w:pPr>
        <w:pStyle w:val="Heading2"/>
      </w:pPr>
      <w:r>
        <w:t xml:space="preserve">ISO 42001: Critical Gaps</w:t>
      </w:r>
    </w:p>
    <w:p>
      <w:r>
        <w:t xml:space="preserve">Gap 1 (Critical): Supply Chain AI Security framework missing. No evaluation of third-party AI vendors, no contractual security requirements, no monitoring of external model dependencies.</w:t>
      </w:r>
    </w:p>
    <w:p>
      <w:r>
        <w:t xml:space="preserve">Gap 2 (Critical): AI-specific incident response procedure undefined. No playbook for model poisoning, adversarial attacks, or data drift incidents.</w:t>
      </w:r>
    </w:p>
    <w:p>
      <w:r>
        <w:t xml:space="preserve">Gap 3 (High): Competency framework for AI teams incomplete. Training requirements for AI engineers and data scientists not documented.</w:t>
      </w:r>
    </w:p>
    <w:p>
      <w:r>
        <w:t xml:space="preserve">Gap 4 (High): Audit and continuous improvement mechanisms absent. No internal audit schedule for AI systems, no metrics dashboard.</w:t>
      </w:r>
    </w:p>
    <w:r>
      <w:br w:type="page"/>
    </w:r>
    <w:p>
      <w:pPr>
        <w:pStyle w:val="Heading1"/>
      </w:pPr>
      <w:r>
        <w:t xml:space="preserve">OVERALL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Framework</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Compliance %</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Status</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Risk Level</w:t>
            </w:r>
          </w:p>
        </w:tc>
        <w:tc>
          <w:tcPr>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center"/>
            </w:pPr>
            <w:r>
              <w:rPr>
                <w:b/>
                <w:bCs/>
                <w:color w:val="FFFFFF"/>
                <w:sz w:val="22"/>
                <w:szCs w:val="22"/>
              </w:rPr>
              <w:t xml:space="preserve">Timeline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NIST AI RMF</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t xml:space="preserve">65%</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Q3-Q4 2026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EU AI Act</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58%</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Q2-Q3 2026 (Urgent)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ISO 42001</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48%</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Emerging</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Q4 2026-Q1 2027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Overall Program</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57%</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t xml:space="preserve">Partial</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tcPr>
          <w:p>
            <w:pPr>
              <w:jc w:val="left"/>
            </w:pPr>
            <w: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t xml:space="preserve">12-18 months</w:t>
            </w:r>
          </w:p>
        </w:tc>
      </w:tr>
    </w:tbl>
    <w:p>
      <w:pPr>
        <w:spacing w:after="240"/>
      </w:pPr>
      <w:r>
        <w:t xml:space="preserve"/>
      </w:r>
    </w:p>
    <w:p>
      <w:pPr>
        <w:pStyle w:val="Heading2"/>
      </w:pPr>
      <w:r>
        <w:t xml:space="preserve">Top 10 Compliance Risks</w:t>
      </w:r>
    </w:p>
    <w:p>
      <w:r>
        <w:t xml:space="preserve">1. [HIGH] EU AI Act non-compliance: Regulatory enforcement and fines possible by 2027.</w:t>
      </w:r>
    </w:p>
    <w:p>
      <w:r>
        <w:t xml:space="preserve">2. [HIGH] Third-party AI vendor risk: No evaluation framework for external model dependencies.</w:t>
      </w:r>
    </w:p>
    <w:p>
      <w:r>
        <w:t xml:space="preserve">3. [HIGH] AI incident response gap: No procedures for model attacks or data corruption.</w:t>
      </w:r>
    </w:p>
    <w:p>
      <w:r>
        <w:t xml:space="preserve">4. [MEDIUM] Governance structure weakness: Accountability and oversight inadequate.</w:t>
      </w:r>
    </w:p>
    <w:p>
      <w:r>
        <w:t xml:space="preserve">5. [MEDIUM] Audit trail incompleteness: Model change tracking insufficient for forensics.</w:t>
      </w:r>
    </w:p>
    <w:p>
      <w:r>
        <w:t xml:space="preserve">6. [MEDIUM] Fairness validation gaps: Intersectional bias testing not systematic.</w:t>
      </w:r>
    </w:p>
    <w:p>
      <w:r>
        <w:t xml:space="preserve">7. [MEDIUM] Human oversight workflows: Insufficient escalation controls for high-risk decisions.</w:t>
      </w:r>
    </w:p>
    <w:p>
      <w:r>
        <w:t xml:space="preserve">8. [LOW-MEDIUM] Explainability deficiency: Limited interpretability for neural network outputs.</w:t>
      </w:r>
    </w:p>
    <w:p>
      <w:r>
        <w:t xml:space="preserve">9. [LOW-MEDIUM] Continuous learning framework: Model update processes lack formal governance.</w:t>
      </w:r>
    </w:p>
    <w:p>
      <w:r>
        <w:t xml:space="preserve">10. [LOW] Documentation completeness: Technical specs solid but user-facing documentation lacks.</w:t>
      </w:r>
    </w:p>
    <w:r>
      <w:br w:type="page"/>
    </w:r>
    <w:p>
      <w:pPr>
        <w:pStyle w:val="Heading1"/>
      </w:pPr>
      <w:r>
        <w:t xml:space="preserve">REMEDIATION ROADMAP</w:t>
      </w:r>
    </w:p>
    <w:p>
      <w:pPr>
        <w:pStyle w:val="Heading2"/>
      </w:pPr>
      <w:r>
        <w:t xml:space="preserve">Phase 1: Immediate (Q2-Q3 2026) - Risk Mitigation</w:t>
      </w:r>
    </w:p>
    <w:p>
      <w:r>
        <w:t xml:space="preserve">Action 1.1: Classify all AI systems under EU AI Act framework (Prohibited, High, Limited, Minimal). Engage legal counsel. Target: End of Q2 2026.</w:t>
      </w:r>
    </w:p>
    <w:p>
      <w:r>
        <w:t xml:space="preserve">Action 1.2: Develop AI-specific incident response playbook covering model poisoning, adversarial attacks, data drift. Conduct tabletop exercises. Target: Q3 2026.</w:t>
      </w:r>
    </w:p>
    <w:p>
      <w:r>
        <w:t xml:space="preserve">Action 1.3: Conduct third-party AI vendor risk assessment. Establish security requirements in procurement contracts. Target: Q3 2026.</w:t>
      </w:r>
    </w:p>
    <w:p>
      <w:r>
        <w:t xml:space="preserve">Action 1.4: Strengthen GOVERN function: Document AI governance policy, establish clear roles and accountability, implement board reporting. Target: End of Q2 2026.</w:t>
      </w:r>
    </w:p>
    <w:p>
      <w:pPr>
        <w:pStyle w:val="Heading2"/>
      </w:pPr>
      <w:r>
        <w:t xml:space="preserve">Phase 2: Short-term (Q3-Q4 2026) - Compliance Framework Build</w:t>
      </w:r>
    </w:p>
    <w:p>
      <w:r>
        <w:t xml:space="preserve">Action 2.1: Commission EU AI Act conformity assessment (Article 15) with third-party auditor. Target: Q4 2026.</w:t>
      </w:r>
    </w:p>
    <w:p>
      <w:r>
        <w:t xml:space="preserve">Action 2.2: Implement enhanced human oversight workflows for high-risk decisions. Design escalation triggers and review processes. Target: Q4 2026.</w:t>
      </w:r>
    </w:p>
    <w:p>
      <w:r>
        <w:t xml:space="preserve">Action 2.3: Integrate LIME/SHAP explainability for neural network systems. Generate automated explanations for decisions. Target: Q3 2026.</w:t>
      </w:r>
    </w:p>
    <w:p>
      <w:r>
        <w:t xml:space="preserve">Action 2.4: Build comprehensive audit trail system for all model changes and performance metrics. Implement immutable logging. Target: Q4 2026.</w:t>
      </w:r>
    </w:p>
    <w:p>
      <w:pPr>
        <w:pStyle w:val="Heading2"/>
      </w:pPr>
      <w:r>
        <w:t xml:space="preserve">Phase 3: Medium-term (Q4 2026 - Q2 2027) - Maturity Growth</w:t>
      </w:r>
    </w:p>
    <w:p>
      <w:r>
        <w:t xml:space="preserve">Action 3.1: Complete ISO 42001 implementation roadmap. Establish Level 3 maturity for AI lifecycle management. Target: Q2 2027.</w:t>
      </w:r>
    </w:p>
    <w:p>
      <w:r>
        <w:t xml:space="preserve">Action 3.2: Develop comprehensive AI competency framework and training program. Target: Q1 2027.</w:t>
      </w:r>
    </w:p>
    <w:p>
      <w:r>
        <w:t xml:space="preserve">Action 3.3: Establish internal AI audit function with quarterly assessment schedules. Target: Q1 2027.</w:t>
      </w:r>
    </w:p>
    <w:p>
      <w:r>
        <w:t xml:space="preserve">Action 3.4: Implement continuous learning and feedback mechanisms (GOVERN+ function). Capture lessons learned and improvement backlog.</w:t>
      </w:r>
    </w:p>
    <w:r>
      <w:br w:type="page"/>
    </w:r>
    <w:p>
      <w:pPr>
        <w:pStyle w:val="Heading1"/>
      </w:pPr>
      <w:r>
        <w:t xml:space="preserve">CONCLUSION</w:t>
      </w:r>
    </w:p>
    <w:p>
      <w:r>
        <w:t xml:space="preserve">Acme Corporation demonstrates foundational AI governance capabilities with established monitoring and risk processes. However, compliance maturity across NIST AI RMF, EU AI Act, and ISO 42001 frameworks remains partial, with critical gaps in governance structure, regulatory classification, incident response, and third-party risk management.</w:t>
      </w:r>
    </w:p>
    <w:p>
      <w:r>
        <w:t xml:space="preserve">The organization faces high regulatory and operational risk, particularly from EU AI Act enforcement and supply chain vulnerabilities. Immediate action is required in Q2-Q3 2026 to mitigate high-risk gaps, followed by sustained effort through Q2 2027 to achieve 80%+ compliance across all frameworks.</w:t>
      </w:r>
    </w:p>
    <w:p>
      <w:r>
        <w:t xml:space="preserve">With focused investment in governance structure, audit capabilities, and risk controls, Acme can advance to an industry-leading AI governance posture by mid-2027.</w:t>
      </w:r>
    </w:p>
    <w:p>
      <w:pPr>
        <w:spacing w:after="120" w:before="240"/>
      </w:pPr>
      <w:r>
        <w:t xml:space="preserve"/>
      </w:r>
    </w:p>
    <w:p>
      <w:pPr>
        <w:spacing w:after="80"/>
      </w:pPr>
      <w:r>
        <w:rPr>
          <w:b/>
          <w:bCs/>
        </w:rPr>
        <w:t xml:space="preserve">Assessment Team:</w:t>
      </w:r>
    </w:p>
    <w:p>
      <w:pPr>
        <w:spacing w:after="40"/>
      </w:pPr>
      <w:r>
        <w:t xml:space="preserve">Lead Assessor: AI Governance Team</w:t>
      </w:r>
    </w:p>
    <w:p>
      <w:pPr>
        <w:spacing w:after="40"/>
      </w:pPr>
      <w:r>
        <w:t xml:space="preserve">Date: June 22, 2026</w:t>
      </w:r>
    </w:p>
    <w:p>
      <w:r>
        <w:t xml:space="preserve">Classification: Internal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2026-06-22T07:51:58.268Z</dcterms:created>
  <dcterms:modified xsi:type="dcterms:W3CDTF">2026-06-22T07:51:58.268Z</dcterms:modified>
</cp:coreProperties>
</file>

<file path=docProps/custom.xml><?xml version="1.0" encoding="utf-8"?>
<Properties xmlns="http://schemas.openxmlformats.org/officeDocument/2006/custom-properties" xmlns:vt="http://schemas.openxmlformats.org/officeDocument/2006/docPropsVTypes"/>
</file>