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ug7zf9vsiw48" w:id="0"/>
      <w:bookmarkEnd w:id="0"/>
      <w:r w:rsidDel="00000000" w:rsidR="00000000" w:rsidRPr="00000000">
        <w:rPr>
          <w:sz w:val="40"/>
          <w:szCs w:val="40"/>
          <w:rtl w:val="0"/>
        </w:rPr>
        <w:t xml:space="preserve">Analisis de datos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rPr>
          <w:sz w:val="30"/>
          <w:szCs w:val="30"/>
        </w:rPr>
      </w:pPr>
      <w:bookmarkStart w:colFirst="0" w:colLast="0" w:name="_1fob9te" w:id="2"/>
      <w:bookmarkEnd w:id="2"/>
      <w:r w:rsidDel="00000000" w:rsidR="00000000" w:rsidRPr="00000000">
        <w:rPr>
          <w:sz w:val="30"/>
          <w:szCs w:val="30"/>
          <w:rtl w:val="0"/>
        </w:rPr>
        <w:t xml:space="preserve">Victoria Carolina Hartmann</w:t>
      </w:r>
    </w:p>
    <w:p w:rsidR="00000000" w:rsidDel="00000000" w:rsidP="00000000" w:rsidRDefault="00000000" w:rsidRPr="00000000" w14:paraId="00000004">
      <w:pPr>
        <w:pStyle w:val="Subtitle"/>
        <w:rPr>
          <w:sz w:val="30"/>
          <w:szCs w:val="30"/>
        </w:rPr>
      </w:pPr>
      <w:bookmarkStart w:colFirst="0" w:colLast="0" w:name="_3znysh7" w:id="3"/>
      <w:bookmarkEnd w:id="3"/>
      <w:r w:rsidDel="00000000" w:rsidR="00000000" w:rsidRPr="00000000">
        <w:rPr>
          <w:sz w:val="30"/>
          <w:szCs w:val="30"/>
          <w:rtl w:val="0"/>
        </w:rPr>
        <w:t xml:space="preserve">Talento Tech</w:t>
      </w:r>
    </w:p>
    <w:p w:rsidR="00000000" w:rsidDel="00000000" w:rsidP="00000000" w:rsidRDefault="00000000" w:rsidRPr="00000000" w14:paraId="00000005">
      <w:pPr>
        <w:pStyle w:val="Subtitle"/>
        <w:rPr>
          <w:i w:val="1"/>
          <w:iCs w:val="1"/>
          <w:sz w:val="30"/>
          <w:szCs w:val="30"/>
        </w:rPr>
      </w:pPr>
      <w:bookmarkStart w:colFirst="0" w:colLast="0" w:name="_2et92p0" w:id="4"/>
      <w:bookmarkEnd w:id="4"/>
      <w:r w:rsidDel="00000000" w:rsidR="00000000" w:rsidRPr="00000000">
        <w:rPr>
          <w:sz w:val="30"/>
          <w:szCs w:val="30"/>
          <w:rtl w:val="0"/>
        </w:rPr>
        <w:t xml:space="preserve">Business Intelligence - C26127</w:t>
      </w:r>
      <w:r w:rsidDel="00000000" w:rsidR="00000000" w:rsidRPr="00000000">
        <w:rPr>
          <w:rtl w:val="0"/>
        </w:rPr>
      </w:r>
    </w:p>
    <w:p w:rsidR="00000000" w:rsidDel="00000000" w:rsidP="00000000" w:rsidRDefault="00000000" w:rsidRPr="00000000" w14:paraId="00000006">
      <w:pPr>
        <w:pStyle w:val="Subtitle"/>
        <w:rPr>
          <w:i w:val="1"/>
          <w:iCs w:val="1"/>
          <w:sz w:val="30"/>
          <w:szCs w:val="30"/>
        </w:rPr>
      </w:pPr>
      <w:bookmarkStart w:colFirst="0" w:colLast="0" w:name="_tyjcwt" w:id="5"/>
      <w:bookmarkEnd w:id="5"/>
      <w:r w:rsidDel="00000000" w:rsidR="00000000" w:rsidRPr="00000000">
        <w:rPr>
          <w:sz w:val="30"/>
          <w:szCs w:val="30"/>
          <w:rtl w:val="0"/>
        </w:rPr>
        <w:t xml:space="preserve">Nicolás Elias Rivera</w:t>
      </w:r>
      <w:r w:rsidDel="00000000" w:rsidR="00000000" w:rsidRPr="00000000">
        <w:rPr>
          <w:rtl w:val="0"/>
        </w:rPr>
      </w:r>
    </w:p>
    <w:p w:rsidR="00000000" w:rsidDel="00000000" w:rsidP="00000000" w:rsidRDefault="00000000" w:rsidRPr="00000000" w14:paraId="00000007">
      <w:pPr>
        <w:pStyle w:val="Subtitle"/>
        <w:rPr>
          <w:i w:val="1"/>
          <w:iCs w:val="1"/>
          <w:sz w:val="30"/>
          <w:szCs w:val="30"/>
        </w:rPr>
      </w:pPr>
      <w:bookmarkStart w:colFirst="0" w:colLast="0" w:name="_9p80q84bzmo2" w:id="6"/>
      <w:bookmarkEnd w:id="6"/>
      <w:r w:rsidDel="00000000" w:rsidR="00000000" w:rsidRPr="00000000">
        <w:rPr>
          <w:sz w:val="30"/>
          <w:szCs w:val="30"/>
          <w:rtl w:val="0"/>
        </w:rPr>
        <w:t xml:space="preserve">Abril/Mayo 2026</w:t>
      </w:r>
      <w:r w:rsidDel="00000000" w:rsidR="00000000" w:rsidRPr="00000000">
        <w:rPr>
          <w:rtl w:val="0"/>
        </w:rPr>
      </w:r>
    </w:p>
    <w:p w:rsidR="00000000" w:rsidDel="00000000" w:rsidP="00000000" w:rsidRDefault="00000000" w:rsidRPr="00000000" w14:paraId="00000008">
      <w:pPr>
        <w:pStyle w:val="Subtitle"/>
        <w:pageBreakBefore w:val="0"/>
        <w:rPr>
          <w:i w:val="1"/>
          <w:iCs w:val="1"/>
        </w:rPr>
      </w:pPr>
      <w:bookmarkStart w:colFirst="0" w:colLast="0" w:name="_3dy6vkm" w:id="7"/>
      <w:bookmarkEnd w:id="7"/>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rPr>
      </w:pPr>
      <w:bookmarkStart w:colFirst="0" w:colLast="0" w:name="_4d34og8" w:id="8"/>
      <w:bookmarkEnd w:id="8"/>
      <w:r w:rsidDel="00000000" w:rsidR="00000000" w:rsidRPr="00000000">
        <w:rPr>
          <w:rtl w:val="0"/>
        </w:rPr>
        <w:t xml:space="preserve">Resumen</w:t>
      </w:r>
      <w:r w:rsidDel="00000000" w:rsidR="00000000" w:rsidRPr="00000000">
        <w:rPr>
          <w:b w:val="0"/>
          <w:bCs w:val="0"/>
          <w:i w:val="1"/>
          <w:iCs w:val="1"/>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En el informe se presenta el análisis correspondiente de las tres bases de datos explorando la definición técnica y las aplicaciones que se puedan dar en el entorno correcto. El principal objetivo es la comprensión estructural con la eficiencia correspondiente de la toma de decisiones.</w:t>
      </w:r>
    </w:p>
    <w:p w:rsidR="00000000" w:rsidDel="00000000" w:rsidP="00000000" w:rsidRDefault="00000000" w:rsidRPr="00000000" w14:paraId="0000000E">
      <w:pPr>
        <w:spacing w:after="240" w:before="240" w:lineRule="auto"/>
        <w:rPr/>
      </w:pPr>
      <w:r w:rsidDel="00000000" w:rsidR="00000000" w:rsidRPr="00000000">
        <w:rPr>
          <w:rtl w:val="0"/>
        </w:rPr>
        <w:t xml:space="preserve">Al mismo tiempo, se incluye el análisis de datos del dataset del archivo de Google Sheets. Donde se detallarán modificaciones, los datos importantes procesados con el plan de entender la base de datos de las ventas de la hoja de cálculo.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b w:val="0"/>
          <w:bCs w:val="0"/>
          <w:i w:val="1"/>
          <w:iCs w:val="1"/>
        </w:rPr>
      </w:pPr>
      <w:bookmarkStart w:colFirst="0" w:colLast="0" w:name="_gbya32756b6i" w:id="9"/>
      <w:bookmarkEnd w:id="9"/>
      <w:r w:rsidDel="00000000" w:rsidR="00000000" w:rsidRPr="00000000">
        <w:rPr>
          <w:rtl w:val="0"/>
        </w:rPr>
        <w:t xml:space="preserve">Analisis Google Sheets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En esta sección se mostrará el análisis concluyente sacado. En la hoja de cálculo se presenta la estructura de consumo y distribución geográfica con tendencias marcadas. Donde al observar, una de las tendencias centrales es en el monto, con la asimetría positiva con la media de $34,37 posicionada por encima a la mediana de $26,16. Esto hace, que la desviación estándar sea 27,48, sugiere la presencia de valores atípicos o una gran dispersión en los datos, donde unos pocos registros de montos altos elevan el promedio general a la vez que una mitad de las transacciones se mantienen debajo de $26. En este caso no hay moda definida, que indica que no hay un valor específico que se repita para dominar el conjunto reforzando la idea de variabilidad de costos.</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Por parte de los métodos de pago, en la actualidad, el ecosistema digital junto a las transferencias han ganado terreno frente a lo tradicional. El liderazgo de Mercado Pago con el 27.7% seguido por Transferencia que tiene el 25.1% con más de la mitad de las operaciones regidas por forma electrónica. Sin embargo, el efectivo aún tiene una relevancia con el 22.1% y en los últimos lugares está la tarjeta de débito con un 17% y la tarjeta de crédito con un 8.1%. La baja adopción de la tarjeta de crédito comparado con el resto sugiere que la transacciones de pago inmediato es una preferencia entre usuarios</w:t>
      </w:r>
    </w:p>
    <w:p w:rsidR="00000000" w:rsidDel="00000000" w:rsidP="00000000" w:rsidRDefault="00000000" w:rsidRPr="00000000" w14:paraId="00000014">
      <w:pPr>
        <w:spacing w:after="240" w:before="240" w:lineRule="auto"/>
        <w:rPr/>
      </w:pPr>
      <w:r w:rsidDel="00000000" w:rsidR="00000000" w:rsidRPr="00000000">
        <w:rPr>
          <w:rtl w:val="0"/>
        </w:rPr>
        <w:t xml:space="preserve">En lo que hablamos gráficamente, la actividad se centra principalmente en Buenos Aires donde tiene un 34.4% seguido por el centro que tiene el 20% y la patagonia con el 18.4%. Dejando un volumen menor a Cuyo, el NEA y el NOA siendo el de menor actividad con un 2.1%. La distribución evidencia los núcleos urbanos y productivos. Por últimos, la estacionalidad de los datos con estabilidad en los primeros diez meses experimenta la incrementación significativa a fin del año, con un 15.8% en diciembre que casi duplica el promedio del resto del periodo. Hay que destacar la limpieza de datos donde se eliminaron 33 registros duplicados asegurando un análisis completo.</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b w:val="0"/>
          <w:bCs w:val="0"/>
          <w:i w:val="1"/>
          <w:iCs w:val="1"/>
        </w:rPr>
      </w:pPr>
      <w:bookmarkStart w:colFirst="0" w:colLast="0" w:name="_8wyo042oy226" w:id="10"/>
      <w:bookmarkEnd w:id="10"/>
      <w:r w:rsidDel="00000000" w:rsidR="00000000" w:rsidRPr="00000000">
        <w:rPr>
          <w:rtl w:val="0"/>
        </w:rPr>
        <w:t xml:space="preserve">Analisis</w:t>
      </w:r>
      <w:r w:rsidDel="00000000" w:rsidR="00000000" w:rsidRPr="00000000">
        <w:rPr>
          <w:rtl w:val="0"/>
        </w:rPr>
        <w:t xml:space="preserve"> Fraudulent E-Commerce Transactions</w:t>
      </w:r>
      <w:r w:rsidDel="00000000" w:rsidR="00000000" w:rsidRPr="00000000">
        <w:rPr>
          <w:rtl w:val="0"/>
        </w:rPr>
      </w:r>
    </w:p>
    <w:p w:rsidR="00000000" w:rsidDel="00000000" w:rsidP="00000000" w:rsidRDefault="00000000" w:rsidRPr="00000000" w14:paraId="00000017">
      <w:pPr>
        <w:spacing w:after="240" w:before="240" w:lineRule="auto"/>
        <w:ind w:firstLine="566.9291338582675"/>
        <w:rPr/>
      </w:pPr>
      <w:r w:rsidDel="00000000" w:rsidR="00000000" w:rsidRPr="00000000">
        <w:rPr>
          <w:rtl w:val="0"/>
        </w:rPr>
        <w:t xml:space="preserve">En este conjunto de datos, con más de 1.4 millones de registros capta la complejidad del ecosistema de la venta online. La relevancia en la capacidad de reflejar escenarios de las transacciones fraudulentas donde son eventos “raros” pero críticos que representa el 5% del total.</w:t>
      </w:r>
    </w:p>
    <w:p w:rsidR="00000000" w:rsidDel="00000000" w:rsidP="00000000" w:rsidRDefault="00000000" w:rsidRPr="00000000" w14:paraId="00000018">
      <w:pPr>
        <w:spacing w:after="240" w:before="240" w:lineRule="auto"/>
        <w:ind w:firstLine="566.9291338582675"/>
        <w:rPr/>
      </w:pPr>
      <w:r w:rsidDel="00000000" w:rsidR="00000000" w:rsidRPr="00000000">
        <w:rPr>
          <w:rtl w:val="0"/>
        </w:rPr>
        <w:t xml:space="preserve">La característica de desequilibrio es esencial para que los analistas apliquen las técnicas avanzadas de muestreo con su evaluación, donde uno simple tendrá una precisión engañosa para predecir que es o que no es fraude.</w:t>
      </w:r>
    </w:p>
    <w:p w:rsidR="00000000" w:rsidDel="00000000" w:rsidP="00000000" w:rsidRDefault="00000000" w:rsidRPr="00000000" w14:paraId="00000019">
      <w:pPr>
        <w:spacing w:after="240" w:before="240" w:lineRule="auto"/>
        <w:ind w:firstLine="566.9291338582675"/>
        <w:rPr/>
      </w:pPr>
      <w:r w:rsidDel="00000000" w:rsidR="00000000" w:rsidRPr="00000000">
        <w:rPr>
          <w:rtl w:val="0"/>
        </w:rPr>
        <w:t xml:space="preserve">La  estructura es mixta, con variables numéricas, categóricas y temporales donde tiene una visión multidimensional de cada operación. Los datos se identifican con el ID de transacción y cliente con variables cuantitativas como son los montos de transacción, precio productos y edad del cliente. Las variables </w:t>
      </w:r>
      <w:r w:rsidDel="00000000" w:rsidR="00000000" w:rsidRPr="00000000">
        <w:rPr>
          <w:rtl w:val="0"/>
        </w:rPr>
        <w:t xml:space="preserve">categoricas</w:t>
      </w:r>
      <w:r w:rsidDel="00000000" w:rsidR="00000000" w:rsidRPr="00000000">
        <w:rPr>
          <w:rtl w:val="0"/>
        </w:rPr>
        <w:t xml:space="preserve"> como el método de pago, producto y el dispositivo utilizado. Por último la variable objetivo es binario dando el 1 como anomalía permitiendo mejor entendimiento.</w:t>
      </w:r>
    </w:p>
    <w:p w:rsidR="00000000" w:rsidDel="00000000" w:rsidP="00000000" w:rsidRDefault="00000000" w:rsidRPr="00000000" w14:paraId="0000001A">
      <w:pPr>
        <w:spacing w:after="240" w:before="240" w:lineRule="auto"/>
        <w:ind w:firstLine="566.9291338582675"/>
        <w:rPr/>
      </w:pPr>
      <w:r w:rsidDel="00000000" w:rsidR="00000000" w:rsidRPr="00000000">
        <w:rPr>
          <w:rtl w:val="0"/>
        </w:rPr>
        <w:t xml:space="preserve">El potencial análisis es vasto, extendiéndose a un análisis descriptivo básico hasta una ingeniería compleja. El analista puede investigar los patrones temporales, utilizándolos para el estudio de montos inusuales a las categorías de productos de lujo. Además este dataset invita a su uso técnico para la detección de anomalías, la predicción de riesgos en tiempo real.</w:t>
      </w:r>
    </w:p>
    <w:p w:rsidR="00000000" w:rsidDel="00000000" w:rsidP="00000000" w:rsidRDefault="00000000" w:rsidRPr="00000000" w14:paraId="0000001B">
      <w:pPr>
        <w:spacing w:after="240" w:before="240" w:lineRule="auto"/>
        <w:ind w:firstLine="566.9291338582675"/>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b w:val="0"/>
          <w:bCs w:val="0"/>
          <w:i w:val="1"/>
          <w:iCs w:val="1"/>
        </w:rPr>
      </w:pPr>
      <w:bookmarkStart w:colFirst="0" w:colLast="0" w:name="_pv22zrwahuvz" w:id="11"/>
      <w:bookmarkEnd w:id="11"/>
      <w:r w:rsidDel="00000000" w:rsidR="00000000" w:rsidRPr="00000000">
        <w:rPr>
          <w:rtl w:val="0"/>
        </w:rPr>
        <w:t xml:space="preserve">Analisis</w:t>
      </w:r>
      <w:r w:rsidDel="00000000" w:rsidR="00000000" w:rsidRPr="00000000">
        <w:rPr>
          <w:rtl w:val="0"/>
        </w:rPr>
        <w:t xml:space="preserve"> E-Commerce Customer Analytics : Loyalty vs Fraud</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El conjunto de datos en la cual se centra en la interacción del comportamiento entre la compra, la lealtad del cliente y la detección de actividad sospechosa. Este dataset busca identificar matrices fieles de los usuarios. Los análisis que se pueden realizar con esta información abarca la comprensión de las matrices de participación, frecuencias de compras y el tiempo de permanencia dentro de la plataforma con que se interactúa con el sistema de seguridad proporcionando una base para optimizar las estrategias del negocio.</w:t>
      </w:r>
    </w:p>
    <w:p w:rsidR="00000000" w:rsidDel="00000000" w:rsidP="00000000" w:rsidRDefault="00000000" w:rsidRPr="00000000" w14:paraId="0000001E">
      <w:pPr>
        <w:spacing w:after="240" w:before="240" w:lineRule="auto"/>
        <w:rPr/>
      </w:pPr>
      <w:r w:rsidDel="00000000" w:rsidR="00000000" w:rsidRPr="00000000">
        <w:rPr>
          <w:rtl w:val="0"/>
        </w:rPr>
        <w:t xml:space="preserve">La estructura de la información integra la facilidad de estudios multidimensional donde presenta variables como son el género de usuario, el dispositivo utilizado y el producto adquirido. Por un lado, estos incluyen datos números continuos y discretos para el rendimientos económico, y por otro lado las etiquetas binarias que indican la lealtad del cliente.</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El potencial de este recurso para el desarrollo de la BI y el aprendizaje automatizado ayuda a los analistas en la caracterización de los clientes leales de alto valor, ofrecimiento de oportunidades para el uso de modelos de predicción o la detección de anomalías en tiempo real.</w:t>
      </w:r>
    </w:p>
    <w:p w:rsidR="00000000" w:rsidDel="00000000" w:rsidP="00000000" w:rsidRDefault="00000000" w:rsidRPr="00000000" w14:paraId="00000020">
      <w:pPr>
        <w:spacing w:after="240" w:before="240" w:lineRule="auto"/>
        <w:rPr/>
      </w:pPr>
      <w:r w:rsidDel="00000000" w:rsidR="00000000" w:rsidRPr="00000000">
        <w:rPr>
          <w:rtl w:val="0"/>
        </w:rPr>
        <w:t xml:space="preserve">Por último, el valor de los datos está en la capacitación de equilibrio entre la experiencia del usuario con la plataforma digital donde reconozcan la legitimidad del cliente.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b w:val="0"/>
          <w:bCs w:val="0"/>
          <w:i w:val="1"/>
          <w:iCs w:val="1"/>
        </w:rPr>
      </w:pPr>
      <w:bookmarkStart w:colFirst="0" w:colLast="0" w:name="_fc8cz5gvj2rb" w:id="12"/>
      <w:bookmarkEnd w:id="12"/>
      <w:r w:rsidDel="00000000" w:rsidR="00000000" w:rsidRPr="00000000">
        <w:rPr>
          <w:rtl w:val="0"/>
        </w:rPr>
        <w:t xml:space="preserve">Analisis</w:t>
      </w:r>
      <w:r w:rsidDel="00000000" w:rsidR="00000000" w:rsidRPr="00000000">
        <w:rPr>
          <w:rtl w:val="0"/>
        </w:rPr>
        <w:t xml:space="preserve"> E-Commerce Fraud Detection Dataset</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En el dataset donde proporciona un marco exhaustivo del estudio de seguridad en las transacciones digitales que identifica comportamiento sospechoso dentro de la plataforma. Con la diferencia de algo más genérico, el dataset profundiza los datos demográficos del usuarios, los hábitos y legitimidad de compras. Los análisis que se pueden hacer son cruciales en el entendimiento del usuario con sus movimientos que se pueden detectar.</w:t>
      </w:r>
    </w:p>
    <w:p w:rsidR="00000000" w:rsidDel="00000000" w:rsidP="00000000" w:rsidRDefault="00000000" w:rsidRPr="00000000" w14:paraId="00000026">
      <w:pPr>
        <w:spacing w:after="240" w:before="240" w:lineRule="auto"/>
        <w:rPr/>
      </w:pPr>
      <w:r w:rsidDel="00000000" w:rsidR="00000000" w:rsidRPr="00000000">
        <w:rPr>
          <w:rtl w:val="0"/>
        </w:rPr>
        <w:t xml:space="preserve">La naturaleza diversa permite el tratamiento estadístico en la estructura. La observan distintas variables que verifican cada paso requerido como son el monto, la actividad, el usuario y el historial. Unificando el valor del diagnóstico con el objetivo de marcar tiempo y etiquetas binarias de fraude permitiendo el uso de protocolos.</w:t>
      </w:r>
    </w:p>
    <w:p w:rsidR="00000000" w:rsidDel="00000000" w:rsidP="00000000" w:rsidRDefault="00000000" w:rsidRPr="00000000" w14:paraId="00000027">
      <w:pPr>
        <w:spacing w:after="240" w:before="240" w:lineRule="auto"/>
        <w:rPr/>
      </w:pPr>
      <w:r w:rsidDel="00000000" w:rsidR="00000000" w:rsidRPr="00000000">
        <w:rPr>
          <w:rtl w:val="0"/>
        </w:rPr>
        <w:t xml:space="preserve">La potencia del análisis que ofrece es el desarrollo de sistemas, protocolos con IA y análisis de redes. Los investigadores utilizan datos como forma de entrenamiento de clasificación donde identifica patrones o detecta las redes de fraude organizado que operan. Además permite la ingeniería avanzada creando matrices de velocidad de compra y punto geográfico facilitando la detección de anomalías. Para finalizar la aplicación protege activos financieros y fortalece la confianza del consumidor.</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9a1zlpzfwmav" w:id="13"/>
      <w:bookmarkEnd w:id="1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z337ya" w:id="14"/>
      <w:bookmarkEnd w:id="14"/>
      <w:r w:rsidDel="00000000" w:rsidR="00000000" w:rsidRPr="00000000">
        <w:rPr>
          <w:rtl w:val="0"/>
        </w:rPr>
        <w:t xml:space="preserve">Referencias</w:t>
      </w:r>
    </w:p>
    <w:p w:rsidR="00000000" w:rsidDel="00000000" w:rsidP="00000000" w:rsidRDefault="00000000" w:rsidRPr="00000000" w14:paraId="0000002C">
      <w:pPr>
        <w:keepNext w:val="1"/>
        <w:ind w:left="720"/>
        <w:rPr/>
      </w:pPr>
      <w:r w:rsidDel="00000000" w:rsidR="00000000" w:rsidRPr="00000000">
        <w:rPr>
          <w:rtl w:val="0"/>
        </w:rPr>
        <w:t xml:space="preserve">Fraudulent E-Commerce Transactions </w:t>
      </w:r>
      <w:hyperlink r:id="rId6">
        <w:r w:rsidDel="00000000" w:rsidR="00000000" w:rsidRPr="00000000">
          <w:rPr>
            <w:color w:val="1155cc"/>
            <w:u w:val="single"/>
            <w:rtl w:val="0"/>
          </w:rPr>
          <w:t xml:space="preserve">https://www.kaggle.com/datasets/shriyashjagtap/fraudulent-e-commerce-transactions</w:t>
        </w:r>
      </w:hyperlink>
      <w:r w:rsidDel="00000000" w:rsidR="00000000" w:rsidRPr="00000000">
        <w:rPr>
          <w:rtl w:val="0"/>
        </w:rPr>
      </w:r>
    </w:p>
    <w:p w:rsidR="00000000" w:rsidDel="00000000" w:rsidP="00000000" w:rsidRDefault="00000000" w:rsidRPr="00000000" w14:paraId="0000002D">
      <w:pPr>
        <w:keepNext w:val="1"/>
        <w:ind w:left="720"/>
        <w:rPr/>
      </w:pPr>
      <w:r w:rsidDel="00000000" w:rsidR="00000000" w:rsidRPr="00000000">
        <w:rPr>
          <w:rtl w:val="0"/>
        </w:rPr>
        <w:t xml:space="preserve">E-Commerce Customer Analytics : Loyalty vs Fraud </w:t>
      </w:r>
      <w:hyperlink r:id="rId7">
        <w:r w:rsidDel="00000000" w:rsidR="00000000" w:rsidRPr="00000000">
          <w:rPr>
            <w:color w:val="1155cc"/>
            <w:u w:val="single"/>
            <w:rtl w:val="0"/>
          </w:rPr>
          <w:t xml:space="preserve">https://www.kaggle.com/datasets/sahilislam007/e-commerce-customer-analytics-loyalty-vs-fraud</w:t>
        </w:r>
      </w:hyperlink>
      <w:r w:rsidDel="00000000" w:rsidR="00000000" w:rsidRPr="00000000">
        <w:rPr>
          <w:rtl w:val="0"/>
        </w:rPr>
      </w:r>
    </w:p>
    <w:p w:rsidR="00000000" w:rsidDel="00000000" w:rsidP="00000000" w:rsidRDefault="00000000" w:rsidRPr="00000000" w14:paraId="0000002E">
      <w:pPr>
        <w:keepNext w:val="1"/>
        <w:ind w:left="720"/>
        <w:rPr/>
      </w:pPr>
      <w:r w:rsidDel="00000000" w:rsidR="00000000" w:rsidRPr="00000000">
        <w:rPr>
          <w:rtl w:val="0"/>
        </w:rPr>
        <w:t xml:space="preserve">E-Commerce Fraud Detection Dataset </w:t>
      </w:r>
      <w:hyperlink r:id="rId8">
        <w:r w:rsidDel="00000000" w:rsidR="00000000" w:rsidRPr="00000000">
          <w:rPr>
            <w:color w:val="1155cc"/>
            <w:u w:val="single"/>
            <w:rtl w:val="0"/>
          </w:rPr>
          <w:t xml:space="preserve">https://www.kaggle.com/datasets/umuttuygurr/e-commerce-fraud-detection-dataset</w:t>
        </w:r>
      </w:hyperlink>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Análisis de datos</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kaggle.com/datasets/shriyashjagtap/fraudulent-e-commerce-transactions" TargetMode="External"/><Relationship Id="rId7" Type="http://schemas.openxmlformats.org/officeDocument/2006/relationships/hyperlink" Target="https://www.kaggle.com/datasets/sahilislam007/e-commerce-customer-analytics-loyalty-vs-fraud" TargetMode="External"/><Relationship Id="rId8" Type="http://schemas.openxmlformats.org/officeDocument/2006/relationships/hyperlink" Target="https://www.kaggle.com/datasets/umuttuygurr/e-commerce-fraud-detec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