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Valentino Ciprić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SIGURNA ISPORUKA VIŠESLOJNE APLIKACIJE KROZ DEVOPS I DEVSECOPS CIKLUS</w:t>
      </w:r>
    </w:p>
    <w:p>
      <w:pPr>
        <w:spacing w:after="2400" w:line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Projektni zadatak: Secure Event Ticketing Platform</w:t>
      </w:r>
    </w:p>
    <w:p>
      <w:pPr>
        <w:spacing w:after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Uvod u DevOps – DevSecOps</w:t>
      </w:r>
    </w:p>
    <w:p>
      <w:pPr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Sveučilište Algebra Bernays, Zagreb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rujan 2026.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Sadržaj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3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3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3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3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3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3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4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4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5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5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6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6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7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7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ptab w:alignment="right" w:relativeTo="margin" w:leader="dot"/>
        <w:t xml:space="preserve">8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Sažetak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Projekt obrađuje isporuku višeslojne web-aplikacije za prodaju ulaznica kroz cjelovit DevOps i DevSecOps ciklus. Aplikacija se sastoji od pet servisa: web sučelja, REST API-ja, pozadinskog obrađivača, relacijske baze i queue sloja. Za svaki servis izrađena je kontejnerska slika s višefaznom izgradnjom, minimalnom baznom slikom i procesom koji ne vrti s administratorskim ovlastima. Lokalno razvojno okruženje opisano je Docker Compose datotekom koja cijeli sustav podiže jednom naredbom. Isporuka je automatizirana kroz GitHub Actions pipeline u kojem provjera koda, end-to-end test cijelog sustava i skeniranje slika alatom Trivy prethode objavi u registry, pri čemu nalaz kritične ranjivosti zaustavlja objavu. Produkcijsko okruženje izvedeno je na Kubernetesu s probama zdravlja, ograničenjima resursa, trajnom pohranom, razdvojenom konfiguracijom i tajnama, ograničenim ovlastima i mrežnom segmentacijom. Kroz četiri izvedena incidentna scenarija provjerena je otpornost sustava, a mjerenjem tijekom zamjene verzije utvrđen je i otklonjen gubitak zahtjeva.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Uvod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Rad opisuje kako je postojeća aplikacija provedena kroz cijeli životni ciklus isporuke: od pakiranja u kontejnerske slike, preko standardiziranog lokalnog okruženja i automatizirane izgradnje sa sigurnosnim provjerama, do orkestriranog produkcijskog okruženja. Izvorni kod aplikacije bio je zadan i nije mijenjan osim na dva mjesta koja su izravno proizašla iz operativnih zahtjeva, što je posebno obrazloženo u poglavlju 3.7.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2.1. Definicija problema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Aplikaciju čini pet procesa koji surađuju i imaju različite ovisnosti: dvije Node.js usluge s HTTP sučeljem, jedan pozadinski proces bez sučelja, poslužitelj relacijske baze i queue poslužitelj. Da bi takav sustav pokrenuo na svom računalu, razvojni bi inženjer klasično morao ručno instalirati i uskladiti verzije svih tih komponenti. Rezultat je poznata pojava u kojoj sustav radi na jednom računalu, a na drugom ne, pri čemu se razlika teško utvrđuje jer okruženje nije nigdje zapisano.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Problem se produbljuje pri isporuci u produkciju. Potrebno je osigurati da se isti sustav pokrene identično, da se oporavi od pada pojedine komponente, da se nova verzija uvede bez prekida rada i da se pritom ne izloži nepotrebnim sigurnosnim rizicima. Zadatak projekta je stoga uspostaviti postupak isporuke koji je reproducibilan, automatiziran i sigurnosno kontroliran u svakoj fazi.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2.2. Postojeći pristupi rješavanju problema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Povijesno je prvi odgovor na ovaj problem bilo izvođenje aplikacije izravno na poslužitelju. Takav pristup ne razdvaja aplikacije međusobno, pa njihove ovisnosti dolaze u sukob, a stanje poslužitelja s vremenom postaje nemoguće rekonstruirati.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Drugi ustaljeni pristup je virtualizacija, u kojoj svaka aplikacija dobiva vlastitu virtualnu mašinu s potpunim operacijskim sustavom. Izolacija je time snažna jer svaka mašina ima vlastitu jezgru, ali cijena je visoka: slike su veličine gigabajta, pokretanje traje desetke sekundi, a na jednom poslužitelju izvodi se relativno mali broj instanci.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Treći pristup, primijenjen u ovom projektu, je kontejnerizacija. Kontejner ne virtualizira sklopovlje nego procesni prostor: svi kontejneri dijele jezgru domaćina, a izolirani su mehanizmima imenskih prostora i kontrolnih skupina. Zbog toga su slike reda veličine desetaka megabajta, pokretanje traje sekundu, a okruženje je opisano datotekom koja se verzionira zajedno s kodom. Sigurnosne implikacije dijeljene jezgre sustavno su obrađene u smjernicama NIST-a za sigurnost aplikacijskih kontejnera [7], koje su korištene kao okvir za mjere opisane u poglavlju 3.6.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Za orkestraciju kontejnera u produkciji danas je de facto standard Kubernetes [1], koji uvodi deklarativni model: umjesto naredbi što treba pokrenuti, opisuje se željeno stanje sustava, a orkestrator neprekidno usklađuje stvarno stanje sa željenim.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Opis rješenja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3.1. Arhitektura sustava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Granice servisa prate granice odgovornosti. Web sučelje poslužuje statički sadržaj, API prima zahtjeve i objavljuje narudžbe u queue, pozadinski obrađivač ih preuzima i upisuje u bazu, a baza i queue čine sloj pohrane. Za bazu i queue korištene su službene slike, jer održavanje vlastitih ne bi donijelo nikakvu korist.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Najvažnija arhitektonska odluka je razdvajanje sinkronog od asinkronog dijela obrade. API na zahtjev za kupnjom ne upisuje narudžbu izravno u bazu, nego je objavljuje u queue i korisniku odmah vraća potvrdu o primitku. Razlog je izrazito neravnomjeran promet kod prodaje ulaznica: bez queuea nagli val zahtjeva ide izravno na bazu i ruši je, dok s queueom val puni operaciju u memoriji, a obrađivač ga preuzima vlastitim tempom.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Nusprodukt te odluke je da odgovor API-ja ne jamči da je posao dovršen, nego samo da je preuzet. Ta se posljedica pokazala i u radu te je oblikovala dvije daljnje odluke: automatizirani test provjerava ishod u petlji, a pozadinski obrađivač nema HTTP provjeru spremnosti jer ne prima mrežni promet.</w:t>
      </w:r>
    </w:p>
    <w:p>
      <w:pPr>
        <w:spacing w:after="0" w:before="160"/>
        <w:jc w:val="center"/>
      </w:pPr>
      <w:r>
        <w:drawing>
          <wp:inline distT="0" distB="0" distL="0" distR="0">
            <wp:extent cx="581025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Slika 1. Arhitektura sustava i tok podataka pri kupnji ulaznice. Vanjski promet ulazi isključivo kroz Ingress; baza i queue dostupni su samo unutar klastera.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3.2. Kontejnerizacija servisa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Za svaki od tri vlastita servisa napisana je datoteka za izgradnju slike s dvije faze. Prva faza instalira ovisnosti, a druga u čistu minimalnu sliku kopira samo rezultat. Alati potrebni za izgradnju time ne završavaju u isporučenoj slici, čime se smanjuje i njezina veličina i broj paketa koje skener može prijaviti kao ranjive [6].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FROM node:22-alpine AS builder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WORKDIR /app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COPY package*.json ./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RUN npm install --omit=dev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FROM node:22-alpine AS runtime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WORKDIR /app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RUN addgroup -g 10001 -S appgroup &amp;&amp; \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adduser -u 10001 -S -G appgroup appuser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COPY --from=builder /app/node_modules ./node_modules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COPY src/ ./src/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USER 10001</w:t>
      </w:r>
    </w:p>
    <w:p>
      <w:pPr>
        <w:shd w:fill="F2F2F2" w:val="clear"/>
        <w:spacing w:after="12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CMD ["node", "src/server.js"]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Redoslijed naredbi nije proizvoljan. Popis ovisnosti kopira se prije izvornog koda kako izmjena koda ne bi poništila predmemoriju i pokrenula ponovnu instalaciju ovisnosti pri svakoj izgradnji. Kopirane datoteke namjerno ostaju u vlasništvu administratorskog računa, dok ih aplikacijski korisnik samo čita, pa proces ne može prepisati vlastiti kod ni u slučaju kompromitacije. Korisnik je zadan brojčanom oznakom, a ne imenom, jer orkestrator ne može provjeriti je li korisnik zadan imenom administratorski.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3.3. Lokalno razvojno okruženje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Lokalno okruženje opisano je jednom datotekom koja cijeli sustav podiže jednom naredbom. Tri postavke zaslužuju obrazloženje.</w:t>
      </w:r>
    </w:p>
    <w:p>
      <w:pPr>
        <w:pStyle w:val="ListParagraph"/>
        <w:numPr>
          <w:ilvl w:val="0"/>
          <w:numId w:val="1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Ovisnosti o pokretanju uvjetovane su zdravljem, a ne samim pokretanjem. Baza otvara mrežni port nekoliko sekundi prije nego je spremna primati upite, pa bi se API bez te provjere spojio prerano i prekinuo rad.</w:t>
      </w:r>
    </w:p>
    <w:p>
      <w:pPr>
        <w:pStyle w:val="ListParagraph"/>
        <w:numPr>
          <w:ilvl w:val="0"/>
          <w:numId w:val="1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Trajnost podataka osigurana je imenovanim volumenom, jer se sadržaj kontejnera briše pri njegovu uklanjanju.</w:t>
      </w:r>
    </w:p>
    <w:p>
      <w:pPr>
        <w:pStyle w:val="ListParagraph"/>
        <w:numPr>
          <w:ilvl w:val="0"/>
          <w:numId w:val="1"/>
        </w:num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Za brz razvoj postavljeno je automatsko osvježavanje koje izmjenu koda prenosi u kontejner i ponovno pokreće proces. Samo prijenos ne bi bio dovoljan jer izvršno okruženje ne prati promjene datoteka.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Ispravnost okruženja provjerena je krajnjim tokom kupnje ulaznice, u kojem se narudžba nakon nekoliko sekundi pojavljuje u bazi s oznakom obrađene, čime je potvrđen cijeli lanac od API-ja preko queuea i obrađivača do baze.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3.4. Automatizirana isporuka i sigurnosne kontrole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Isporuka je automatizirana kroz pipeline koji se pokreće na svaku promjenu u glavnoj grani [5]. Pipeline je namjerno oblikovan kao lanac brana u kojem objava slike dolazi na kraj, tek nakon svih provjera.</w:t>
      </w:r>
    </w:p>
    <w:p>
      <w:pPr>
        <w:spacing w:after="0" w:before="160"/>
        <w:jc w:val="center"/>
      </w:pPr>
      <w:r>
        <w:drawing>
          <wp:inline distT="0" distB="0" distL="0" distR="0">
            <wp:extent cx="581025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Slika 2. Struktura pipelinea. Slike se grade u lokalni izvršni sloj, a ne izravno u registry, kako bi skeniranje moglo prethoditi objavi.</w:t>
      </w:r>
    </w:p>
    <w:tbl>
      <w:tblPr>
        <w:tblW w:type="dxa" w:w="9638"/>
        <w:tblBorders>
          <w:top w:val="single" w:color="9AAAA6" w:sz="4"/>
          <w:left w:val="single" w:color="9AAAA6" w:sz="4"/>
          <w:bottom w:val="single" w:color="9AAAA6" w:sz="4"/>
          <w:right w:val="single" w:color="9AAAA6" w:sz="4"/>
          <w:insideH w:val="single" w:color="C4CFCC" w:sz="2"/>
          <w:insideV w:val="single" w:color="C4CFCC" w:sz="2"/>
        </w:tblBorders>
      </w:tblPr>
      <w:tblGrid>
        <w:gridCol w:w="1500"/>
        <w:gridCol w:w="4200"/>
        <w:gridCol w:w="3938"/>
      </w:tblGrid>
      <w:tr>
        <w:trPr>
          <w:tblHeader/>
        </w:trPr>
        <w:tc>
          <w:tcPr>
            <w:tcW w:type="dxa" w:w="15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Faza</w:t>
            </w:r>
          </w:p>
        </w:tc>
        <w:tc>
          <w:tcPr>
            <w:tcW w:type="dxa" w:w="42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Sadržaj</w:t>
            </w:r>
          </w:p>
        </w:tc>
        <w:tc>
          <w:tcPr>
            <w:tcW w:type="dxa" w:w="3938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Uloga u lancu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Instalacija ovisnosti, provjera sintakse, revizija ovisnosti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Zaustavlja očite greške u sekundama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smoke test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Podizanje cijelog sustava i stvarna kupnja ulaznice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Dokazuje da servisi rade zajedno, ne samo pojedinačno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 i skeniranje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Izgradnja slika i provjera ranjivosti alatom Trivy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Sigurnosna brana; nalaz kritične razine ruši izgradnju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objava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Slanje slika u registry</w:t>
            </w:r>
          </w:p>
        </w:tc>
        <w:tc>
          <w:tcPr>
            <w:tcW w:type="dxa" w:w="39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Izvršava se samo ako su sve prethodne faze prošle</w:t>
            </w:r>
          </w:p>
        </w:tc>
      </w:tr>
    </w:tbl>
    <w:p>
      <w:pPr>
        <w:spacing w:after="220" w:before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Tablica 1. Faze pipelinea i njihova uloga. Objava se nalazi iza sigurnosne brane, pa slika s kritičnom ranjivošću ne dolazi do registryja.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Skeniranje se izvodi u dva prolaza. Prvi je brana ograničena na kritičnu razinu i s podešenim izlaznim kodom ruši izgradnju [4]. Drugi bilježi sve nalaze u strojno čitljivom obliku i nikada ne ruši izgradnju; izvršava se i onda kada je brana pala, kako bi nalaz postojao upravo u trenutku kada je najpotrebniji.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Svaka se slika označava dvjema oznakama: nepromjenjivom oznakom izvedenom iz identifikatora promjene i pokretnom oznakom za pogodnost. U produkciji se referencira prva, jer druga s vremenom pokazuje na drugi sadržaj i onemogućuje reproducibilnu isporuku. Za prijavu u registry koristi se token koji okruženje samo dodjeljuje, pa u repozitoriju nema nijedne upisane lozinke.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3.5. Sigurnosni nalaz i korektivna mjera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Prvo pokretanje pipelinea završilo je neuspješno na sva tri servisa. Brana je prijavila kritičnu ranjivost i, u skladu sa svojom svrhom, zaustavila objavu.</w:t>
      </w:r>
    </w:p>
    <w:tbl>
      <w:tblPr>
        <w:tblW w:type="dxa" w:w="9638"/>
        <w:tblBorders>
          <w:top w:val="single" w:color="9AAAA6" w:sz="4"/>
          <w:left w:val="single" w:color="9AAAA6" w:sz="4"/>
          <w:bottom w:val="single" w:color="9AAAA6" w:sz="4"/>
          <w:right w:val="single" w:color="9AAAA6" w:sz="4"/>
          <w:insideH w:val="single" w:color="C4CFCC" w:sz="2"/>
          <w:insideV w:val="single" w:color="C4CFCC" w:sz="2"/>
        </w:tblBorders>
      </w:tblPr>
      <w:tblGrid>
        <w:gridCol w:w="2100"/>
        <w:gridCol w:w="3200"/>
        <w:gridCol w:w="4338"/>
      </w:tblGrid>
      <w:tr>
        <w:trPr>
          <w:tblHeader/>
        </w:trPr>
        <w:tc>
          <w:tcPr>
            <w:tcW w:type="dxa" w:w="21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Stavka</w:t>
            </w:r>
          </w:p>
        </w:tc>
        <w:tc>
          <w:tcPr>
            <w:tcW w:type="dxa" w:w="32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Vrijednost</w:t>
            </w:r>
          </w:p>
        </w:tc>
        <w:tc>
          <w:tcPr>
            <w:tcW w:type="dxa" w:w="4338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Napomena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Paket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 7.5.11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Popravak dostupan u verziji 7.5.19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Ranjivost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CVE-2026-59873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Uskraćivanje usluge posebno oblikovanom datotekom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Razina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CRITICAL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Razina na kojoj brana zaustavlja objavu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Izvor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Alat za upravljanje paketima u baznoj slici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Nije ovisnost aplikacije</w:t>
            </w:r>
          </w:p>
        </w:tc>
      </w:tr>
    </w:tbl>
    <w:p>
      <w:pPr>
        <w:spacing w:after="220" w:before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Tablica 2. Nalaz koji je zaustavio prvu objavu.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Analiza je pokazala da su paketi operacijskog sustava i ovisnosti same aplikacije imali nula nalaza. Ranjivi paket dolazio je iz alata za upravljanje paketima ugrađenog u baznu sliku, pa izmjena popisa ovisnosti aplikacije ne bi promijenila ništa.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Razmotrene su tri mogućnosti. Postavljanje iznimke odbačeno je jer bi ranjivost ostala u objavljenoj slici, a brana izgubila smisao. Čekanje nove bazne slike odbačeno je kao jedino rješenje jer ne ovisi o projektu. Odabrano je uklanjanje samog alata iz izvršne slike, budući da se aplikacija pokreće izravno i taj joj alat u radu nije potreban; bio je potreban isključivo u prvoj fazi izgradnje, koja ionako ne završava u isporučenoj slici.</w:t>
      </w:r>
    </w:p>
    <w:p>
      <w:pPr>
        <w:shd w:fill="F2F2F2" w:val="clear"/>
        <w:spacing w:after="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RUN rm -rf /usr/local/lib/node_modules/npm \</w:t>
      </w:r>
    </w:p>
    <w:p>
      <w:pPr>
        <w:shd w:fill="F2F2F2" w:val="clear"/>
        <w:spacing w:after="120" w:line="220"/>
        <w:ind w:left="28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           /usr/local/bin/npm /usr/local/bin/npx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Mjera je provjerena izravno u slici, a ne samo u ispisu izgradnje, nakon čega je ponovno pokretanje pipelinea prošlo u cijelosti i slike su objavljene. Time je zatvoren cijeli ciklus: nalaz, analiza uzroka, korektivna mjera i ponovna provjera.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3.6. Produkcijska orkestracija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Produkcijsko okruženje opisano je s deset deklarativnih datoteka. Za razliku od lokalnog okruženja, ovdje se ne navodi što treba pokrenuti nego kakvo stanje mora vrijediti, a orkestrator ga održava.</w:t>
      </w:r>
    </w:p>
    <w:tbl>
      <w:tblPr>
        <w:tblW w:type="dxa" w:w="9638"/>
        <w:tblBorders>
          <w:top w:val="single" w:color="9AAAA6" w:sz="4"/>
          <w:left w:val="single" w:color="9AAAA6" w:sz="4"/>
          <w:bottom w:val="single" w:color="9AAAA6" w:sz="4"/>
          <w:right w:val="single" w:color="9AAAA6" w:sz="4"/>
          <w:insideH w:val="single" w:color="C4CFCC" w:sz="2"/>
          <w:insideV w:val="single" w:color="C4CFCC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Mehanizam</w:t>
            </w:r>
          </w:p>
        </w:tc>
        <w:tc>
          <w:tcPr>
            <w:tcW w:type="dxa" w:w="7038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Svrha i izvedba u projektu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Replikacija i strategija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Dvije replike API-ja i sučelja; zamjena verzije dopušta privremeni višak, ali nijedan manjak replika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Provjere zdravlja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Provjera života utvrđuje radi li proces; provjera spremnosti dodatno provjerava dostupnost baze i queuea i odlučuje prima li replika promet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Resursi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Zajamčene i najveće dopuštene vrijednosti procesorskog vremena i memorije za svaki servis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Trajna pohrana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Zahtjev za diskom odvojen od životnog vijeka instance baze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Konfiguracija i tajne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Netajne postavke odvojene od lozinke; lozinka se stvara izvan repozitorija [2]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Vanjski pristup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Jedinstvena ulazna točka koja usmjerava promet na sučelje odnosno API; baza i queue nisu izloženi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Ovlasti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Zaseban identitet aplikacije bez ijednog prava i bez pristupnog tokena; odvojen račun za dijagnostiku s pravom čitanja, ali bez prava na tajne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Mrežna segmentacija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Zabrana svog ulaznog prometa uz izričita dopuštenja; baza i queue primaju promet samo od API-ja i obrađivača [3]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Ojačavanje procesa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Zabrana rada s administratorskim ovlastima, zabrana stjecanja dodatnih ovlasti, uklanjanje jezgrinih privilegija, datotečni sustav samo za čitanje i ograničenje sistemskih poziva [7]</w:t>
            </w:r>
          </w:p>
        </w:tc>
      </w:tr>
    </w:tbl>
    <w:p>
      <w:pPr>
        <w:spacing w:after="220" w:before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Tablica 3. Mehanizmi produkcijskog okruženja i njihova izvedba.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Svih sedam instanci podiglo se iz prvog pokušaja i bez ijednog ponovnog pokretanja, unatoč navedenim ograničenjima. Ispravnost je potvrđena krajnjim tokom kupnje ulaznice kroz vanjsku ulaznu točku, čime je provjeren i put kroz mrežna pravila.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3.7. Rješavanje problema isporuke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Kako tvrdnja o isporuci bez prekida rada ne bi ostala nedokazana, tijekom zamjene verzije uvedeno je mjerenje koje svakih pola sekunde poziva krajnju točku zdravlja i bilježi svaki neuspjeh. Da bi se razlikovale verzije, aplikacija u odgovor uključuje oznaku koja se u sliku utiskuje pri izgradnji.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Prvo mjerenje otkrilo je dva neuspjela zahtjeva u trenutku prijelaza. Uzrok nije bila sama zamjena nego njezino vremensko preklapanje: instanci koja se gasi istodobno se šalje signal za prekid rada i uklanja se njezina adresa iz popisa odredišta, a to se uklanjanje mora proširiti kroz klaster i nije trenutno [8]. U tom kratkom razdoblju promet još stiže instanci koja već završava rad. Aplikacija je problem pogoršavala jer je na signal za prekid odmah zatvarala veze i izlazila, ne dovršivši započete zahtjeve.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Uvedene su tri mjere: odgoda prije slanja signala za prekid, uredno zatvaranje u kodu aplikacije koje najprije prestaje primati nove veze i dovršava započete, te produljeno vrijeme dopušteno za uredni završetak. Ovo je jedina izmjena zadanog izvornog koda u projektu i proizašla je izravno iz mjerenja.</w:t>
      </w:r>
    </w:p>
    <w:tbl>
      <w:tblPr>
        <w:tblW w:type="dxa" w:w="9638"/>
        <w:tblBorders>
          <w:top w:val="single" w:color="9AAAA6" w:sz="4"/>
          <w:left w:val="single" w:color="9AAAA6" w:sz="4"/>
          <w:bottom w:val="single" w:color="9AAAA6" w:sz="4"/>
          <w:right w:val="single" w:color="9AAAA6" w:sz="4"/>
          <w:insideH w:val="single" w:color="C4CFCC" w:sz="2"/>
          <w:insideV w:val="single" w:color="C4CFCC" w:sz="2"/>
        </w:tblBorders>
      </w:tblPr>
      <w:tblGrid>
        <w:gridCol w:w="4200"/>
        <w:gridCol w:w="2700"/>
        <w:gridCol w:w="2738"/>
      </w:tblGrid>
      <w:tr>
        <w:trPr>
          <w:tblHeader/>
        </w:trPr>
        <w:tc>
          <w:tcPr>
            <w:tcW w:type="dxa" w:w="42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Mjerenje</w:t>
            </w:r>
          </w:p>
        </w:tc>
        <w:tc>
          <w:tcPr>
            <w:tcW w:type="dxa" w:w="27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Zamjena instanci</w:t>
            </w:r>
          </w:p>
        </w:tc>
        <w:tc>
          <w:tcPr>
            <w:tcW w:type="dxa" w:w="2738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Neuspjeli zahtjevi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Prije korektivnih mjera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Nakon korektivnih mjera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od 60</w:t>
            </w:r>
          </w:p>
        </w:tc>
      </w:tr>
    </w:tbl>
    <w:p>
      <w:pPr>
        <w:spacing w:after="220" w:before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Tablica 4. Usporedba mjerenja prije i nakon uvođenja urednog zatvaranja.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Osim ovog, izvedena su i tri scenarija kvara koja su zabilježena u priručniku za dijagnostiku. Pri uklanjanju instance baze sustav je bio nedostupan približno jedanaest sekundi i oporavio se bez ijedne naredbe, a podaci su preživjeli jer se nalaze na trajnom disku. Pri isporuci nepostojeće oznake slike nova instanca nikada nije postala spremna, zamjena je ostala zaustavljena, a postojeće instance nastavile su posluživati promet; od šezdeset zahtjeva nijedan nije bio neuspješan. Pri postavljanju neispravne lozinke instanca se pokrenula bez ijedne greške u zapisu, ali nikada nije postala spremna, pa se uzrok mogao utvrditi tek iz događaja vezanih uz instancu, a ne iz zapisa; od sto dvadeset zahtjeva nijedan nije bio neuspješan.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Rezultati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Rezultat projekta je cjelovit i automatiziran postupak isporuke, opisan u istom repozitoriju u kojem se nalazi i aplikacija. Sljedeća tablica sažima mjerljive pokazatelje.</w:t>
      </w:r>
    </w:p>
    <w:tbl>
      <w:tblPr>
        <w:tblW w:type="dxa" w:w="9638"/>
        <w:tblBorders>
          <w:top w:val="single" w:color="9AAAA6" w:sz="4"/>
          <w:left w:val="single" w:color="9AAAA6" w:sz="4"/>
          <w:bottom w:val="single" w:color="9AAAA6" w:sz="4"/>
          <w:right w:val="single" w:color="9AAAA6" w:sz="4"/>
          <w:insideH w:val="single" w:color="C4CFCC" w:sz="2"/>
          <w:insideV w:val="single" w:color="C4CFCC" w:sz="2"/>
        </w:tblBorders>
      </w:tblPr>
      <w:tblGrid>
        <w:gridCol w:w="4600"/>
        <w:gridCol w:w="2400"/>
        <w:gridCol w:w="2638"/>
      </w:tblGrid>
      <w:tr>
        <w:trPr>
          <w:tblHeader/>
        </w:trPr>
        <w:tc>
          <w:tcPr>
            <w:tcW w:type="dxa" w:w="46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Pokazatelj</w:t>
            </w:r>
          </w:p>
        </w:tc>
        <w:tc>
          <w:tcPr>
            <w:tcW w:type="dxa" w:w="2400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Vrijednost</w:t>
            </w:r>
          </w:p>
        </w:tc>
        <w:tc>
          <w:tcPr>
            <w:tcW w:type="dxa" w:w="2638"/>
            <w:shd w:fill="E8ED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Napomena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Veličina izvršne slike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 MB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Minimalna bazna slika i višefazna izgradnja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Trajanje cijelog pipelinea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min 32 s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Provjera, test, skeniranje i objava tri slike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Kritične ranjivosti u objavljenim slikama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Nakon uklanjanja nepotrebnog alata iz slike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Nedostupnost pri gubitku baze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oko 11 s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Samostalan oporavak bez intervencije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Neuspjeli zahtjevi pri neuspjeloj isporuci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od 60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Postojeće instance nastavljaju posluživati</w:t>
            </w:r>
          </w:p>
        </w:tc>
      </w:tr>
      <w:tr>
        <w:trPr>
          <w:tblHeader w:val="false"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Neuspjeli zahtjevi pri zamjeni verzije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od 60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Nakon uvođenja urednog zatvaranja</w:t>
            </w:r>
          </w:p>
        </w:tc>
      </w:tr>
    </w:tbl>
    <w:p>
      <w:pPr>
        <w:spacing w:after="220" w:before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Tablica 5. Mjerljivi pokazatelji postignutog rješenja.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Usporedno s tim, ručno izvođenje istog postupka — izgradnja triju slika, provjera ispravnosti, skeniranje i objava — zahtijeva petnaestak do dvadesetak minuta uz stalni nadzor. Osim uštede vremena, važnija je razlika u tome što se automatizirani postupak izvodi identično na svakoj promjeni, neovisno o osobi koja ga pokreće.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Uz izvorni kod, repozitorij sadrži datoteke za izgradnju slika, opis lokalnog okruženja, definiciju pipelinea, deklarativne datoteke produkcijskog okruženja te dokumentaciju: opis arhitekture s obrazloženjem odluka, upute za isporuku, sigurnosno izvješće skeniranja, priručnik za dijagnostiku kvarova i dnevnik rada s kronologijom svih incidenata.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Zaključak i sljedeći koraci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Projekt pokazuje da se problem neponovljivog okruženja i nesigurne isporuke rješava time što se okruženje opiše kao kod i ta se opisana slika koristi nepromijenjena u svim fazama. Kontejnerizacija je odabrana zbog reproducibilnosti, brzine i primjerenosti orkestraciji, uz svjesno prihvaćanje slabije izolacije koja proizlazi iz dijeljene jezgre. Ta je cijena pokrivena nizom mjera: procesom bez administratorskih ovlasti, minimalnom slikom, uklanjanjem nepotrebnih alata, skeniranjem prije objave, ograničenim ovlastima prema orkestratoru i mrežnom segmentacijom.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Najvažniji zaključak nije tehnički nego metodološki. Sigurnosna brana pokazala je svoju vrijednost tek kada je zaustavila objavu, a tvrdnja o isporuci bez prekida rada pokazala se netočnom sve dok nije izmjerena. Oba nalaza proizašla su iz provjere, a ne iz konfiguracije koja je izgledala ispravno. Isporuka bez prekida rada nije posljedica same upotrebe orkestratora nego zbroja provjera spremnosti, strategije zamjene, odgode pri gašenju i urednog zatvaranja u samoj aplikaciji.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Kao sljedeći koraci predviđaju se: dohvat slika iz registryja po nepromjenjivoj oznaci umjesto lokalnog učitavanja; izvođenje baze kao usluge sa stanjem, s replikacijom i automatiziranim sigurnosnim kopijama; uvođenje automatskog skaliranja prema opterećenju i pravila o najmanjem broju dostupnih instanci; centralizirano prikupljanje zapisa i metrika umjesto ručnog pregleda; zaštita prometa certifikatom s automatskim obnavljanjem; te prelazak na isporuku u kojoj je stanje u repozitoriju jedini izvor istine, čime nestaje i razilaženje između repozitorija i stvarnog stanja koje se pojavljuje nakon ručnog povratka na prethodnu verziju.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Literatura</w:t>
      </w:r>
    </w:p>
    <w:p>
      <w:pPr>
        <w:spacing w:after="80" w:line="240"/>
        <w:ind w:left="400" w:hanging="4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 The Kubernetes Authors (2026). Kubernetes Documentation – Overview, Dostupno na: https://kubernetes.io/docs/concepts/overview/ Pristupljeno: 2026-09-07</w:t>
      </w:r>
    </w:p>
    <w:p>
      <w:pPr>
        <w:spacing w:after="80" w:line="240"/>
        <w:ind w:left="400" w:hanging="4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 The Kubernetes Authors (2026). Kubernetes Documentation – Secrets, Dostupno na: https://kubernetes.io/docs/concepts/configuration/secret/ Pristupljeno: 2026-09-07</w:t>
      </w:r>
    </w:p>
    <w:p>
      <w:pPr>
        <w:spacing w:after="80" w:line="240"/>
        <w:ind w:left="400" w:hanging="4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 The Kubernetes Authors (2026). Kubernetes Documentation – Network Policies, Dostupno na: https://kubernetes.io/docs/concepts/services-networking/network-policies/ Pristupljeno: 2026-09-07</w:t>
      </w:r>
    </w:p>
    <w:p>
      <w:pPr>
        <w:spacing w:after="80" w:line="240"/>
        <w:ind w:left="400" w:hanging="4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 Aqua Security (2026). Trivy Documentation, Dostupno na: https://trivy.dev/latest/ Pristupljeno: 2026-09-07</w:t>
      </w:r>
    </w:p>
    <w:p>
      <w:pPr>
        <w:spacing w:after="80" w:line="240"/>
        <w:ind w:left="400" w:hanging="4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 GitHub, Inc. (2026). GitHub Actions Documentation, Dostupno na: https://docs.github.com/en/actions Pristupljeno: 2026-09-07</w:t>
      </w:r>
    </w:p>
    <w:p>
      <w:pPr>
        <w:spacing w:after="80" w:line="240"/>
        <w:ind w:left="400" w:hanging="4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 Docker, Inc. (2026). Building best practices, Dostupno na: https://docs.docker.com/build/building/best-practices/ Pristupljeno: 2026-09-07</w:t>
      </w:r>
    </w:p>
    <w:p>
      <w:pPr>
        <w:spacing w:after="80" w:line="240"/>
        <w:ind w:left="400" w:hanging="4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 Souppaya, M.; Morello, J. &amp; Scarfone, K. (2017). Application Container Security Guide, NIST Special Publication 800-190, National Institute of Standards and Technology, DOI: 10.6028/NIST.SP.800-190</w:t>
      </w:r>
    </w:p>
    <w:p>
      <w:pPr>
        <w:spacing w:after="80" w:line="240"/>
        <w:ind w:left="400" w:hanging="4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 The Kubernetes Authors (2026). Kubernetes Documentation – Pod Lifecycle: Termination of Pods, Dostupno na: https://kubernetes.io/docs/concepts/workloads/pods/pod-lifecycle/ Pristupljeno: 2026-09-07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242569b72766c22fb031864f4ed43dd75a2358.png"/><Relationship Id="rId9" Type="http://schemas.openxmlformats.org/officeDocument/2006/relationships/image" Target="media/8a3e5117d9670cded991dea96498d34332fb3c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2026-09-07T20:46:06.312Z</dcterms:created>
  <dcterms:modified xsi:type="dcterms:W3CDTF">2026-09-07T20:46:06.312Z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