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5891f9aa0a9e91a6df3eb5411f34e3c3fe2834"/>
    <w:p>
      <w:pPr>
        <w:pStyle w:val="Heading1"/>
      </w:pPr>
      <w:r>
        <w:t xml:space="preserve">ICLR 2027 OpenReview-Style Reviews (Bilingual)</w:t>
      </w:r>
    </w:p>
    <w:p>
      <w:pPr>
        <w:pStyle w:val="FirstParagraph"/>
      </w:pPr>
      <w:r>
        <w:t xml:space="preserve">Use each block below for copy-paste into OpenReview. Scores use the</w:t>
      </w:r>
      <w:r>
        <w:t xml:space="preserve"> </w:t>
      </w:r>
      <w:r>
        <w:rPr>
          <w:bCs/>
          <w:b/>
        </w:rPr>
        <w:t xml:space="preserve">1–3</w:t>
      </w:r>
      <w:r>
        <w:t xml:space="preserve"> </w:t>
      </w:r>
      <w:r>
        <w:t xml:space="preserve">scale (Presentation / Informativeness / Soundness).</w:t>
      </w:r>
    </w:p>
    <w:p>
      <w:r>
        <w:pict>
          <v:rect style="width:0;height:1.5pt" o:hralign="center" o:hrstd="t" o:hr="t"/>
        </w:pict>
      </w:r>
    </w:p>
    <w:bookmarkEnd w:id="20"/>
    <w:bookmarkStart w:id="37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28" w:name="english"/>
    <w:p>
      <w:pPr>
        <w:pStyle w:val="Heading2"/>
      </w:pPr>
      <w:r>
        <w:t xml:space="preserve">English</w:t>
      </w:r>
    </w:p>
    <w:bookmarkStart w:id="21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submission PDF. I drafted this review in English and produced the Chinese section with LLM assistance for paste-in. My own assessment before polishing: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for readers in RL theory; limited practical takeaway for the broader ICLR audience.</w:t>
      </w:r>
    </w:p>
    <w:bookmarkEnd w:id="21"/>
    <w:bookmarkStart w:id="22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analyzes a</w:t>
      </w:r>
      <w:r>
        <w:t xml:space="preserve"> </w:t>
      </w:r>
      <w:r>
        <w:rPr>
          <w:bCs/>
          <w:b/>
        </w:rPr>
        <w:t xml:space="preserve">population-level</w:t>
      </w:r>
      <w:r>
        <w:t xml:space="preserve"> </w:t>
      </w:r>
      <w:r>
        <w:t xml:space="preserve">formalization of Soft Actor-Critic (SAC):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mean, tanh push-forward) with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with uniform error (</w:t>
      </w:r>
      <w:r>
        <w:rPr>
          <w:iCs/>
          <w:i/>
        </w:rPr>
        <w:t xml:space="preserve">{</w:t>
      </w:r>
      <w:r>
        <w:rPr>
          <w:iCs/>
          <w:i/>
        </w:rPr>
        <w:t xml:space="preserve">}).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target policy</w:t>
      </w:r>
      <w:r>
        <w:rPr>
          <w:iCs/>
          <w:i/>
        </w:rPr>
        <w:t xml:space="preserve"> </w:t>
      </w:r>
      <w:r>
        <w:rPr>
          <w:iCs/>
          <w:i/>
        </w:rPr>
        <w:t xml:space="preserve">is either the classical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Gibbs</w:t>
      </w:r>
      <w:r>
        <w:rPr>
          <w:iCs/>
          <w:i/>
        </w:rPr>
        <w:t xml:space="preserve"> </w:t>
      </w:r>
      <w:r>
        <w:rPr>
          <w:iCs/>
          <w:i/>
        </w:rPr>
        <w:t xml:space="preserve">(softmax of (-</w:t>
      </w:r>
      <w:r>
        <w:rPr>
          <w:iCs/>
          <w:i/>
        </w:rPr>
        <w:t xml:space="preserve">Q_n/</w:t>
      </w:r>
      <w:r>
        <w:rPr>
          <w:iCs/>
          <w:i/>
        </w:rPr>
        <w:t xml:space="preserve">), Eq. (4)) or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policy mirror descent</w:t>
      </w:r>
      <w:r>
        <w:rPr>
          <w:iCs/>
          <w:i/>
        </w:rPr>
        <w:t xml:space="preserve"> </w:t>
      </w:r>
      <w:r>
        <w:rPr>
          <w:iCs/>
          <w:i/>
        </w:rPr>
        <w:t xml:space="preserve">target (Eq. (5)) with proximal step (</w:t>
      </w:r>
      <w:r>
        <w:rPr>
          <w:iCs/>
          <w:i/>
        </w:rPr>
        <w:t xml:space="preserve">), where the MD chain ({</w:t>
      </w:r>
      <w:r>
        <w:rPr>
          <w:iCs/>
          <w:i/>
          <w:iCs/>
          <w:i/>
        </w:rPr>
        <w:t xml:space="preserve">n}) is updated from the</w:t>
      </w:r>
      <w:r>
        <w:rPr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previous target</w:t>
      </w:r>
      <w:r>
        <w:rPr>
          <w:iCs/>
          <w:i/>
          <w:iCs/>
          <w:i/>
        </w:rPr>
        <w:t xml:space="preserve"> </w:t>
      </w:r>
      <w:r>
        <w:rPr>
          <w:iCs/>
          <w:i/>
          <w:iCs/>
          <w:i/>
        </w:rPr>
        <w:t xml:space="preserve">(not from the current actor (</w:t>
      </w:r>
      <w:r>
        <w:rPr>
          <w:iCs/>
          <w:i/>
        </w:rPr>
        <w:t xml:space="preserve">{w_n})). Under optimal-occupancy concentrability and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Legendre-operator curvature</w:t>
      </w:r>
      <w:r>
        <w:rPr>
          <w:iCs/>
          <w:i/>
        </w:rPr>
        <w:t xml:space="preserve"> </w:t>
      </w:r>
      <w:r>
        <w:rPr>
          <w:iCs/>
          <w:i/>
        </w:rPr>
        <w:t xml:space="preserve">condition (R</w:t>
      </w:r>
      <w:r>
        <w:t xml:space="preserve">{</w:t>
      </w:r>
      <w:r>
        <w:t xml:space="preserve">Q}/2 &lt;</w:t>
      </w:r>
      <w:r>
        <w:t xml:space="preserve"> </w:t>
      </w:r>
      <w:r>
        <w:t xml:space="preserve">), the authors prove strong convexity/smoothness of the actor KL objective, bound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, and obtain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(O(N^{-1/5})) (plus approximation error) when (</w:t>
      </w:r>
      <w:r>
        <w:t xml:space="preserve">=</w:t>
      </w:r>
      <w:r>
        <w:t xml:space="preserve"> </w:t>
      </w:r>
      <w:r>
        <w:t xml:space="preserve">(N^{-4/5})).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contrasts Gibbs vs MD: the Gibbs tracking bound retains a</w:t>
      </w:r>
      <w:r>
        <w:t xml:space="preserve"> </w:t>
      </w:r>
      <w:r>
        <w:rPr>
          <w:bCs/>
          <w:b/>
        </w:rPr>
        <w:t xml:space="preserve">non-vanishing</w:t>
      </w:r>
      <w:r>
        <w:t xml:space="preserve"> </w:t>
      </w:r>
      <w:r>
        <w:t xml:space="preserve">(1/</w:t>
      </w:r>
      <w:r>
        <w:t xml:space="preserve">) term, whereas (</w:t>
      </w:r>
      <w:r>
        <w:t xml:space="preserve">) controls MD target drift. Appendix experiments on a solvable MDP illustrate failure when the curvature condition is violated.</w:t>
      </w:r>
    </w:p>
    <w:bookmarkEnd w:id="22"/>
    <w:bookmarkStart w:id="23" w:name="ratings"/>
    <w:p>
      <w:pPr>
        <w:pStyle w:val="Heading3"/>
      </w:pPr>
      <w:r>
        <w:t xml:space="preserve">Ratings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68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Algorithm, assumptions, and theorems are clearly linked; heavy notation is signposted.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Meaningful for RL theory (SAC parametrization + tracking), but narrow audience and no deep RL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 program appears coherent; results are conditional on strong oracle/curvature assumptions and omit sampling and critic TD dynamics.</w:t>
            </w:r>
          </w:p>
        </w:tc>
      </w:tr>
    </w:tbl>
    <w:bookmarkEnd w:id="23"/>
    <w:bookmarkStart w:id="24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Closes a gap between SAC practice and theory.</w:t>
      </w:r>
      <w:r>
        <w:t xml:space="preserve"> </w:t>
      </w:r>
      <w:r>
        <w:t xml:space="preserve">The analysis matches squashed Gaussian actors and partial KL updates (not abstract policy-space mirror descent) and yields an explicit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best-iterate rate with a clear (</w:t>
      </w:r>
      <w:r>
        <w:t xml:space="preserve">)–(N) trade-off (Theorem 3).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Quantitative Gibbs vs mirror-descent tracking.</w:t>
      </w:r>
      <w:r>
        <w:t xml:space="preserve"> </w:t>
      </w:r>
      <w:r>
        <w:t xml:space="preserve">Showing a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contribution in the Gibbs tracking bound versus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 drift</w:t>
      </w:r>
      <w:r>
        <w:t xml:space="preserve"> </w:t>
      </w:r>
      <w:r>
        <w:t xml:space="preserve">for MD targets is a derived, design-relevant distinction (Corollary 1, Lemma 2, Figure 2), not merely definitional.</w:t>
      </w:r>
    </w:p>
    <w:bookmarkEnd w:id="24"/>
    <w:bookmarkStart w:id="25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practical impact.</w:t>
      </w:r>
      <w:r>
        <w:t xml:space="preserve"> </w:t>
      </w:r>
      <w:r>
        <w:t xml:space="preserve">Population critic oracle, single exact projected actor step, and an unverifiable global curvature condition (R_{</w:t>
      </w:r>
      <w:r>
        <w:t xml:space="preserve">Q}/2 &lt;</w:t>
      </w:r>
      <w:r>
        <w:t xml:space="preserve"> </w:t>
      </w:r>
      <w:r>
        <w:t xml:space="preserve">) (only toy Fourier examples) mean the main rate is</w:t>
      </w:r>
      <w:r>
        <w:t xml:space="preserve"> </w:t>
      </w:r>
      <w:r>
        <w:rPr>
          <w:bCs/>
          <w:b/>
        </w:rPr>
        <w:t xml:space="preserve">conditional</w:t>
      </w:r>
      <w:r>
        <w:t xml:space="preserve"> </w:t>
      </w:r>
      <w:r>
        <w:t xml:space="preserve">for standard deep SAC; main-text experiments do not validate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rate on realistic training.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MD tracking advantages are partly built into the target.</w:t>
      </w:r>
      <w:r>
        <w:t xml:space="preserve"> </w:t>
      </w:r>
      <w:r>
        <w:t xml:space="preserve">The (O(</w:t>
      </w:r>
      <w:r>
        <w:t xml:space="preserve">)) target drift follows from the (1/</w:t>
      </w:r>
      <w:r>
        <w:t xml:space="preserve">) KL penalty in Eq. (5); the incremental insight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stated more explicitly, and the (</w:t>
      </w:r>
      <w:r>
        <w:t xml:space="preserve">_n) target chain may not match all SAC implementations (target networks / actor-defined targets).</w:t>
      </w:r>
    </w:p>
    <w:bookmarkEnd w:id="25"/>
    <w:bookmarkStart w:id="26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provide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(architecture, regularization, or online estimates) under which (R_{</w:t>
      </w:r>
      <w:r>
        <w:t xml:space="preserve">Q}/2 &lt;</w:t>
      </w:r>
      <w:r>
        <w:t xml:space="preserve"> </w:t>
      </w:r>
      <w:r>
        <w:t xml:space="preserve">) holds with high probability during learning?</w:t>
      </w:r>
    </w:p>
    <w:p>
      <w:pPr>
        <w:numPr>
          <w:ilvl w:val="0"/>
          <w:numId w:val="1003"/>
        </w:numPr>
      </w:pPr>
      <w:r>
        <w:t xml:space="preserve">How do the bounds change with</w:t>
      </w:r>
      <w:r>
        <w:t xml:space="preserve"> </w:t>
      </w:r>
      <w:r>
        <w:rPr>
          <w:bCs/>
          <w:b/>
        </w:rPr>
        <w:t xml:space="preserve">multiple actor gradient steps</w:t>
      </w:r>
      <w:r>
        <w:t xml:space="preserve"> </w:t>
      </w:r>
      <w:r>
        <w:t xml:space="preserve">per critic update (standard SAC), and is there a path to</w:t>
      </w:r>
      <w:r>
        <w:t xml:space="preserve"> </w:t>
      </w:r>
      <w:r>
        <w:rPr>
          <w:bCs/>
          <w:b/>
        </w:rPr>
        <w:t xml:space="preserve">joint stochastic actor–critic</w:t>
      </w:r>
      <w:r>
        <w:t xml:space="preserve"> </w:t>
      </w:r>
      <w:r>
        <w:t xml:space="preserve">analysis?</w:t>
      </w:r>
    </w:p>
    <w:p>
      <w:pPr>
        <w:numPr>
          <w:ilvl w:val="0"/>
          <w:numId w:val="1003"/>
        </w:numPr>
      </w:pPr>
      <w:r>
        <w:t xml:space="preserve">Please clarify how much of the mirror-vs-Gibbs tracking gap in Figure 2 is</w:t>
      </w:r>
      <w:r>
        <w:t xml:space="preserve"> </w:t>
      </w:r>
      <w:r>
        <w:rPr>
          <w:bCs/>
          <w:b/>
        </w:rPr>
        <w:t xml:space="preserve">intrinsic to the MD target definition</w:t>
      </w:r>
      <w:r>
        <w:t xml:space="preserve"> </w:t>
      </w:r>
      <w:r>
        <w:t xml:space="preserve">versus problem-independent constants in the tracking lemmas.</w:t>
      </w:r>
    </w:p>
    <w:bookmarkEnd w:id="26"/>
    <w:bookmarkStart w:id="27" w:name="X363cafa85d7808484213b5978b89b6c3fc459e3"/>
    <w:p>
      <w:pPr>
        <w:pStyle w:val="Heading3"/>
      </w:pPr>
      <w:r>
        <w:t xml:space="preserve">Suggested overall (if your form includes it)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Weak Accept (theory) / Borderline (general ICLR)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中文"/>
    <w:p>
      <w:pPr>
        <w:pStyle w:val="Heading2"/>
      </w:pPr>
      <w:r>
        <w:t xml:space="preserve">中文</w:t>
      </w:r>
    </w:p>
    <w:bookmarkStart w:id="29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已阅读投稿 PDF 全文；英文为本人撰写，中文由 LLM 整理便于粘贴。润色前倾向：</w:t>
      </w:r>
      <w:r>
        <w:rPr>
          <w:bCs/>
          <w:b/>
        </w:rPr>
        <w:t xml:space="preserve">弱接收</w:t>
      </w:r>
      <w:r>
        <w:t xml:space="preserve">（RL 理论读者）；对 ICLR 广义受众</w:t>
      </w:r>
      <w:r>
        <w:t xml:space="preserve"> </w:t>
      </w:r>
      <w:r>
        <w:rPr>
          <w:bCs/>
          <w:b/>
        </w:rPr>
        <w:t xml:space="preserve">工程启示有限</w:t>
      </w:r>
      <w:r>
        <w:t xml:space="preserve">。</w:t>
      </w:r>
    </w:p>
    <w:bookmarkEnd w:id="29"/>
    <w:bookmarkStart w:id="30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设定下形式化 SAC：actor 为</w:t>
      </w:r>
      <w:r>
        <w:t xml:space="preserve"> </w:t>
      </w:r>
      <w:r>
        <w:rPr>
          <w:bCs/>
          <w:b/>
        </w:rPr>
        <w:t xml:space="preserve">固定协方差 tanh 压扁高斯</w:t>
      </w:r>
      <w:r>
        <w:t xml:space="preserve">（线性均值），每轮外层迭代对 evolving target 仅做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 reverse-KL 梯度；critic 为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Q_n)，满足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rPr>
          <w:iCs/>
          <w:i/>
        </w:rPr>
        <w:t xml:space="preserve">{</w:t>
      </w:r>
      <w:r>
        <w:rPr>
          <w:iCs/>
          <w:i/>
        </w:rPr>
        <w:t xml:space="preserve">})。</w:t>
      </w:r>
      <w:r>
        <w:rPr>
          <w:bCs/>
          <w:b/>
          <w:iCs/>
          <w:i/>
        </w:rPr>
        <w:t xml:space="preserve">Target</w:t>
      </w:r>
      <w:r>
        <w:rPr>
          <w:iCs/>
          <w:i/>
        </w:rPr>
        <w:t xml:space="preserve"> </w:t>
      </w:r>
      <w:r>
        <w:rPr>
          <w:iCs/>
          <w:i/>
        </w:rPr>
        <w:t xml:space="preserve">为经典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Gibbs</w:t>
      </w:r>
      <w:r>
        <w:rPr>
          <w:iCs/>
          <w:i/>
        </w:rPr>
        <w:t xml:space="preserve">（式 (4)，(</w:t>
      </w:r>
      <w:r>
        <w:rPr>
          <w:iCs/>
          <w:i/>
        </w:rPr>
        <w:t xml:space="preserve">(-</w:t>
      </w:r>
      <w:r>
        <w:rPr>
          <w:iCs/>
          <w:i/>
        </w:rPr>
        <w:t xml:space="preserve">Q_n/</w:t>
      </w:r>
      <w:r>
        <w:rPr>
          <w:iCs/>
          <w:i/>
        </w:rPr>
        <w:t xml:space="preserve">))）或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policy mirror descent</w:t>
      </w:r>
      <w:r>
        <w:rPr>
          <w:iCs/>
          <w:i/>
        </w:rPr>
        <w:t xml:space="preserve">（式 (5)，步长 (</w:t>
      </w:r>
      <w:r>
        <w:rPr>
          <w:iCs/>
          <w:i/>
        </w:rPr>
        <w:t xml:space="preserve">)），其中 MD 链 ({</w:t>
      </w:r>
      <w:r>
        <w:rPr>
          <w:iCs/>
          <w:i/>
          <w:iCs/>
          <w:i/>
        </w:rPr>
        <w:t xml:space="preserve">n}) 由</w:t>
      </w:r>
      <w:r>
        <w:rPr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上一 target</w:t>
      </w:r>
      <w:r>
        <w:rPr>
          <w:iCs/>
          <w:i/>
          <w:iCs/>
          <w:i/>
        </w:rPr>
        <w:t xml:space="preserve"> </w:t>
      </w:r>
      <w:r>
        <w:rPr>
          <w:iCs/>
          <w:i/>
          <w:iCs/>
          <w:i/>
        </w:rPr>
        <w:t xml:space="preserve">递推（非当前 actor (</w:t>
      </w:r>
      <w:r>
        <w:rPr>
          <w:iCs/>
          <w:i/>
        </w:rPr>
        <w:t xml:space="preserve">{w_n})）。在 concentrability 与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Legendre 算子</w:t>
      </w:r>
      <w:r>
        <w:rPr>
          <w:iCs/>
          <w:i/>
        </w:rPr>
        <w:t xml:space="preserve">曲率条件 (R</w:t>
      </w:r>
      <w:r>
        <w:t xml:space="preserve">{</w:t>
      </w:r>
      <w:r>
        <w:t xml:space="preserve">Q}/2 &lt;</w:t>
      </w:r>
      <w:r>
        <w:t xml:space="preserve"> </w:t>
      </w:r>
      <w:r>
        <w:t xml:space="preserve">) 下，作者证明 actor KL 目标强凸/光滑，控制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 误差</w:t>
      </w:r>
      <w:r>
        <w:t xml:space="preserve">，并在 (</w:t>
      </w:r>
      <w:r>
        <w:t xml:space="preserve">=</w:t>
      </w:r>
      <w:r>
        <w:t xml:space="preserve">(N^{-4/5})) 时得到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值差距 (O(N^{-1/5}))（含逼近误差）。</w:t>
      </w:r>
      <w:r>
        <w:rPr>
          <w:bCs/>
          <w:b/>
        </w:rPr>
        <w:t xml:space="preserve">推论 1</w:t>
      </w:r>
      <w:r>
        <w:t xml:space="preserve"> </w:t>
      </w:r>
      <w:r>
        <w:t xml:space="preserve">对比 Gibbs 与 MD：Gibbs tracking 界含</w:t>
      </w:r>
      <w:r>
        <w:t xml:space="preserve"> </w:t>
      </w:r>
      <w:r>
        <w:rPr>
          <w:bCs/>
          <w:b/>
        </w:rPr>
        <w:t xml:space="preserve">不消失</w:t>
      </w:r>
      <w:r>
        <w:t xml:space="preserve"> </w:t>
      </w:r>
      <w:r>
        <w:t xml:space="preserve">的 (1/</w:t>
      </w:r>
      <w:r>
        <w:t xml:space="preserve">)；MD 可通过 (</w:t>
      </w:r>
      <w:r>
        <w:t xml:space="preserve">) 控制漂移。附录玩具 MDP 展示曲率条件破坏时的退化。</w:t>
      </w:r>
    </w:p>
    <w:bookmarkEnd w:id="30"/>
    <w:bookmarkStart w:id="31" w:name="评分"/>
    <w:p>
      <w:pPr>
        <w:pStyle w:val="Heading3"/>
      </w:pPr>
      <w:r>
        <w:t xml:space="preserve">评分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 呈现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算法、假设与定理对应清楚。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 信息量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 SAC 理论分析有意义，但受众窄、无深度 RL 验证。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 可靠性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证明链完整感强；强 oracle/曲率假设；缺采样与 critic TD 动力学。</w:t>
            </w:r>
          </w:p>
        </w:tc>
      </w:tr>
    </w:tbl>
    <w:bookmarkEnd w:id="31"/>
    <w:bookmarkStart w:id="32" w:name="关键优点"/>
    <w:p>
      <w:pPr>
        <w:pStyle w:val="Heading3"/>
      </w:pPr>
      <w:r>
        <w:t xml:space="preserve">关键优点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贴近实现的 SAC 理论</w:t>
      </w:r>
      <w:r>
        <w:t xml:space="preserve">：squashed Gaussian + 部分 KL 更新，给出显式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best-iterate 率及 (</w:t>
      </w:r>
      <w:r>
        <w:t xml:space="preserve">)–(N) 权衡（定理 3）。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Gibbs 与 MD 的 tracking 定量对照</w:t>
      </w:r>
      <w:r>
        <w:t xml:space="preserve">：Gibbs 界中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残留项 vs MD 的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控漂移，对 proximal soft target 设计有推导层面的意义（推论 1、引理 2、图 2）。</w:t>
      </w:r>
    </w:p>
    <w:bookmarkEnd w:id="32"/>
    <w:bookmarkStart w:id="33" w:name="关键缺点"/>
    <w:p>
      <w:pPr>
        <w:pStyle w:val="Heading3"/>
      </w:pPr>
      <w:r>
        <w:t xml:space="preserve">关键缺点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实际影响有限</w:t>
      </w:r>
      <w:r>
        <w:t xml:space="preserve">：population oracle、单步精确投影 actor、难验证的全局曲率 (R_{</w:t>
      </w:r>
      <w:r>
        <w:t xml:space="preserve">Q}/2&lt;</w:t>
      </w:r>
      <w:r>
        <w:t xml:space="preserve">)，使主结论对标准深度 SAC</w:t>
      </w:r>
      <w:r>
        <w:t xml:space="preserve"> </w:t>
      </w:r>
      <w:r>
        <w:rPr>
          <w:bCs/>
          <w:b/>
        </w:rPr>
        <w:t xml:space="preserve">条件性</w:t>
      </w:r>
      <w:r>
        <w:t xml:space="preserve">强；正文实验未在真实训练上验证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率。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MD 优势部分来自 target 定义</w:t>
      </w:r>
      <w:r>
        <w:t xml:space="preserve">：(O(</w:t>
      </w:r>
      <w:r>
        <w:t xml:space="preserve">)) 漂移与式 (5)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 KL</w:t>
      </w:r>
      <w:r>
        <w:t xml:space="preserve"> </w:t>
      </w:r>
      <w:r>
        <w:t xml:space="preserve">内在相关；相对「proximal target 动得慢」的增量 insight 应更明确；(</w:t>
      </w:r>
      <w:r>
        <w:t xml:space="preserve">_n) 链与部分 SAC 实现（target network 等）未必一致。</w:t>
      </w:r>
    </w:p>
    <w:bookmarkEnd w:id="33"/>
    <w:bookmarkStart w:id="34" w:name="给作者的问题"/>
    <w:p>
      <w:pPr>
        <w:pStyle w:val="Heading3"/>
      </w:pPr>
      <w:r>
        <w:t xml:space="preserve">给作者的问题 *</w:t>
      </w:r>
    </w:p>
    <w:p>
      <w:pPr>
        <w:numPr>
          <w:ilvl w:val="0"/>
          <w:numId w:val="1007"/>
        </w:numPr>
      </w:pPr>
      <w:r>
        <w:t xml:space="preserve">是否有</w:t>
      </w:r>
      <w:r>
        <w:t xml:space="preserve"> </w:t>
      </w:r>
      <w:r>
        <w:rPr>
          <w:bCs/>
          <w:b/>
        </w:rPr>
        <w:t xml:space="preserve">可检验</w:t>
      </w:r>
      <w:r>
        <w:t xml:space="preserve"> </w:t>
      </w:r>
      <w:r>
        <w:t xml:space="preserve">条件（结构、正则或在线估计）保证训练时 (R_{</w:t>
      </w:r>
      <w:r>
        <w:t xml:space="preserve">Q}/2 &lt;</w:t>
      </w:r>
      <w:r>
        <w:t xml:space="preserve"> </w:t>
      </w:r>
      <w:r>
        <w:t xml:space="preserve">)？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每 critic 多步 actor</w:t>
      </w:r>
      <w:r>
        <w:t xml:space="preserve">（标准 SAC）与</w:t>
      </w:r>
      <w:r>
        <w:t xml:space="preserve"> </w:t>
      </w:r>
      <w:r>
        <w:rPr>
          <w:bCs/>
          <w:b/>
        </w:rPr>
        <w:t xml:space="preserve">联合随机 actor–critic</w:t>
      </w:r>
      <w:r>
        <w:t xml:space="preserve"> </w:t>
      </w:r>
      <w:r>
        <w:t xml:space="preserve">如何扩展？</w:t>
      </w:r>
    </w:p>
    <w:p>
      <w:pPr>
        <w:numPr>
          <w:ilvl w:val="0"/>
          <w:numId w:val="1007"/>
        </w:numPr>
      </w:pPr>
      <w:r>
        <w:t xml:space="preserve">图 2 中 mirror 相对 Gibbs 的优势，多少来自</w:t>
      </w:r>
      <w:r>
        <w:t xml:space="preserve"> </w:t>
      </w:r>
      <w:r>
        <w:rPr>
          <w:bCs/>
          <w:b/>
        </w:rPr>
        <w:t xml:space="preserve">MD target 定义本身</w:t>
      </w:r>
      <w:r>
        <w:t xml:space="preserve">，多少来自 tracking 引理中的问题常数？</w:t>
      </w:r>
    </w:p>
    <w:bookmarkEnd w:id="34"/>
    <w:bookmarkStart w:id="35" w:name="建议总评若表单包含"/>
    <w:p>
      <w:pPr>
        <w:pStyle w:val="Heading3"/>
      </w:pPr>
      <w:r>
        <w:t xml:space="preserve">建议总评（若表单包含）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Recommendation 总评：</w:t>
      </w:r>
      <w:r>
        <w:t xml:space="preserve"> </w:t>
      </w:r>
      <w:r>
        <w:t xml:space="preserve">弱接收（理论）/ 边界（广义 ICLR）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Confidence 置信度：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54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45" w:name="english-1"/>
    <w:p>
      <w:pPr>
        <w:pStyle w:val="Heading2"/>
      </w:pPr>
      <w:r>
        <w:t xml:space="preserve">English</w:t>
      </w:r>
    </w:p>
    <w:bookmarkStart w:id="38" w:name="ai-documentation-for-reviewing-optional"/>
    <w:p>
      <w:pPr>
        <w:pStyle w:val="Heading3"/>
      </w:pPr>
      <w:r>
        <w:t xml:space="preserve">AI Documentation For Reviewing (optional)</w:t>
      </w:r>
    </w:p>
    <w:p>
      <w:pPr>
        <w:pStyle w:val="FirstParagraph"/>
      </w:pPr>
      <w:r>
        <w:t xml:space="preserve">I read the full 15-page PDF. English review is mine; Chinese adapted with LLM assistance.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.</w:t>
      </w:r>
    </w:p>
    <w:bookmarkEnd w:id="38"/>
    <w:bookmarkStart w:id="39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The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: the</w:t>
      </w:r>
      <w:r>
        <w:t xml:space="preserve"> </w:t>
      </w:r>
      <w:r>
        <w:rPr>
          <w:bCs/>
          <w:b/>
        </w:rPr>
        <w:t xml:space="preserve">entropy-regularized policy</w:t>
      </w:r>
      <w:r>
        <w:t xml:space="preserve"> </w:t>
      </w:r>
      <w:r>
        <w:t xml:space="preserve">is parameterized directly 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t xml:space="preserve">density,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(Q) (Eqs. 11–12), rather than learning scalar (Q(s,a)) plus a separate actor regression (SAC/MPO). Training uses</w:t>
      </w:r>
      <w:r>
        <w:t xml:space="preserve"> </w:t>
      </w:r>
      <w:r>
        <w:rPr>
          <w:bCs/>
          <w:b/>
        </w:rPr>
        <w:t xml:space="preserve">soft TD</w:t>
      </w:r>
      <w:r>
        <w:t xml:space="preserve"> </w:t>
      </w:r>
      <w:r>
        <w:t xml:space="preserve">with twin critics and target networks; the flow is updated with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15), distinct from Trust-PCL’s full gradient-TD.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is tuned via closed-form</w:t>
      </w:r>
      <w:r>
        <w:t xml:space="preserve"> </w:t>
      </w:r>
      <w:r>
        <w:rPr>
          <w:bCs/>
          <w:b/>
        </w:rPr>
        <w:t xml:space="preserve">OLS</w:t>
      </w:r>
      <w:r>
        <w:t xml:space="preserve"> </w:t>
      </w:r>
      <w:r>
        <w:t xml:space="preserve">on ((</w:t>
      </w:r>
      <w:r>
        <w:t xml:space="preserve">_</w:t>
      </w:r>
      <w:r>
        <w:t xml:space="preserve">,</w:t>
      </w:r>
      <w:r>
        <w:t xml:space="preserve"> </w:t>
      </w:r>
      <w:r>
        <w:t xml:space="preserve">)) (Eq. 17). A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term (Eqs. 18–20, scale (</w:t>
      </w:r>
      <w:r>
        <w:t xml:space="preserve">)) pushes toward colder softmaps when TD residual vanishes.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(masked autoregressive neural spline flows) is evaluated on</w:t>
      </w:r>
      <w:r>
        <w:t xml:space="preserve"> </w:t>
      </w:r>
      <w:r>
        <w:rPr>
          <w:bCs/>
          <w:b/>
        </w:rPr>
        <w:t xml:space="preserve">8 DeepMind Control</w:t>
      </w:r>
      <w:r>
        <w:t xml:space="preserve"> </w:t>
      </w:r>
      <w:r>
        <w:t xml:space="preserve">tasks (500k steps, 5 seeds, IQM + bootstrap CIs) against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with flow-architecture and (</w:t>
      </w:r>
      <w:r>
        <w:t xml:space="preserve">)/(</w:t>
      </w:r>
      <w:r>
        <w:t xml:space="preserve">) ablations. QNF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 but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SAC/CrossQ on exploitation-heavy tasks (e.g., cheetah-run, walker-run) and weak-exploration settings (e.g., hopper-stand). Scope is simulation-only, dense-reward focused.</w:t>
      </w:r>
    </w:p>
    <w:bookmarkEnd w:id="39"/>
    <w:bookmarkStart w:id="40" w:name="ratings-1"/>
    <w:p>
      <w:pPr>
        <w:pStyle w:val="Heading3"/>
      </w:pPr>
      <w:r>
        <w:t xml:space="preserve">Ratings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68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Motivation, Algorithm 1, and Figure 1 clearly explain QNF updates; related work positions MEow/Trust-PCL.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Unifies softmax policy with flows and useful (</w:t>
            </w:r>
            <w:r>
              <w:t xml:space="preserve">)-OLS/greedification; narrow benchmarks and no convergence theory.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is plausible and ablations support choices; several tasks lag strong baselines; baseline tuning not fully harmonized.</w:t>
            </w:r>
          </w:p>
        </w:tc>
      </w:tr>
    </w:tbl>
    <w:bookmarkEnd w:id="40"/>
    <w:bookmarkStart w:id="41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Clean conceptual unification.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softmax policy as the generative model</w:t>
      </w:r>
      <w:r>
        <w:t xml:space="preserve"> </w:t>
      </w:r>
      <w:r>
        <w:t xml:space="preserve">removes SAC-style separate policy-improvement regression while keeping standard off-policy TD machinery.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Training mechanisms with ablations.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autotuning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address fixed-(</w:t>
      </w:r>
      <w:r>
        <w:t xml:space="preserve">) sensitivity (Figure 4) and stagnation at (</w:t>
      </w:r>
      <w:r>
        <w:t xml:space="preserve">), with experiments matching the narrative.</w:t>
      </w:r>
    </w:p>
    <w:bookmarkEnd w:id="41"/>
    <w:bookmarkStart w:id="42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Empirical claims exceed evidence.</w:t>
      </w:r>
      <w:r>
        <w:t xml:space="preserve"> </w:t>
      </w:r>
      <w:r>
        <w:t xml:space="preserve">The abstract’s</w:t>
      </w:r>
      <w:r>
        <w:t xml:space="preserve"> </w:t>
      </w:r>
      <w:r>
        <w:t xml:space="preserve">“</w:t>
      </w:r>
      <w:r>
        <w:t xml:space="preserve">similar to widely used actor-critic</w:t>
      </w:r>
      <w:r>
        <w:t xml:space="preserve">”</w:t>
      </w:r>
      <w:r>
        <w:t xml:space="preserve"> </w:t>
      </w:r>
      <w:r>
        <w:t xml:space="preserve">is not supported on multiple reported tasks where</w:t>
      </w:r>
      <w:r>
        <w:t xml:space="preserve"> </w:t>
      </w:r>
      <w:r>
        <w:rPr>
          <w:bCs/>
          <w:b/>
        </w:rPr>
        <w:t xml:space="preserve">CrossQ/SAC win</w:t>
      </w:r>
      <w:r>
        <w:t xml:space="preserve">; missing wall-clock, broader benchmarks (sparse/high-dimensional), and statistical head-to-head tests at matched compute.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Complexity and fairness.</w:t>
      </w:r>
      <w:r>
        <w:t xml:space="preserve"> </w:t>
      </w:r>
      <w:r>
        <w:t xml:space="preserve">Flows add sampling/log-det cost and instability heuristics; comparisons use shared hyperparameters across envs and stochastic eval for all flows—fairness to tuned SAC/CrossQ and MEow is unclear.</w:t>
      </w:r>
    </w:p>
    <w:bookmarkEnd w:id="42"/>
    <w:bookmarkStart w:id="43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 / walker-run / hopper-stand</w:t>
      </w:r>
      <w:r>
        <w:t xml:space="preserve">, please report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vs SAC/CrossQ at</w:t>
      </w:r>
      <w:r>
        <w:t xml:space="preserve"> </w:t>
      </w:r>
      <w:r>
        <w:rPr>
          <w:bCs/>
          <w:b/>
        </w:rPr>
        <w:t xml:space="preserve">matched environment steps and wall-time</w:t>
      </w:r>
      <w:r>
        <w:t xml:space="preserve">, with significance tests.</w:t>
      </w:r>
    </w:p>
    <w:p>
      <w:pPr>
        <w:numPr>
          <w:ilvl w:val="0"/>
          <w:numId w:val="1011"/>
        </w:numPr>
      </w:pPr>
      <w:r>
        <w:t xml:space="preserve">Does performance rely on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 </w:t>
      </w:r>
      <w:r>
        <w:t xml:space="preserve">specifically, or on the single-model parameterization? Ablate against a flow actor with SAC-style entropy tuning and no greed.</w:t>
      </w:r>
    </w:p>
    <w:p>
      <w:pPr>
        <w:numPr>
          <w:ilvl w:val="0"/>
          <w:numId w:val="1011"/>
        </w:numPr>
      </w:pPr>
      <w:r>
        <w:t xml:space="preserve">Will</w:t>
      </w:r>
      <w:r>
        <w:t xml:space="preserve"> </w:t>
      </w:r>
      <w:r>
        <w:rPr>
          <w:bCs/>
          <w:b/>
        </w:rPr>
        <w:t xml:space="preserve">full hyperparameter tables and code</w:t>
      </w:r>
      <w:r>
        <w:t xml:space="preserve"> </w:t>
      </w:r>
      <w:r>
        <w:t xml:space="preserve">reproduce all baselines exactly (anonymous supplement claim)?</w:t>
      </w:r>
    </w:p>
    <w:bookmarkEnd w:id="43"/>
    <w:bookmarkStart w:id="44" w:name="suggested-overall"/>
    <w:p>
      <w:pPr>
        <w:pStyle w:val="Heading3"/>
      </w:pPr>
      <w:r>
        <w:t xml:space="preserve">Suggested overall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Borderline Accept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中文-1"/>
    <w:p>
      <w:pPr>
        <w:pStyle w:val="Heading2"/>
      </w:pPr>
      <w:r>
        <w:t xml:space="preserve">中文</w:t>
      </w:r>
    </w:p>
    <w:bookmarkStart w:id="46" w:name="ai-文档说明可选"/>
    <w:p>
      <w:pPr>
        <w:pStyle w:val="Heading3"/>
      </w:pPr>
      <w:r>
        <w:t xml:space="preserve">AI 文档说明（可选）</w:t>
      </w:r>
    </w:p>
    <w:p>
      <w:pPr>
        <w:pStyle w:val="FirstParagraph"/>
      </w:pPr>
      <w:r>
        <w:t xml:space="preserve">已读 15 页全文；英文自撰，中文 LLM 整理。倾向：</w:t>
      </w:r>
      <w:r>
        <w:rPr>
          <w:bCs/>
          <w:b/>
        </w:rPr>
        <w:t xml:space="preserve">边界接收</w:t>
      </w:r>
      <w:r>
        <w:t xml:space="preserve">。</w:t>
      </w:r>
    </w:p>
    <w:bookmarkEnd w:id="46"/>
    <w:bookmarkStart w:id="47" w:name="论文摘要-1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本文提出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：用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t xml:space="preserve">直接参数化</w:t>
      </w:r>
      <w:r>
        <w:t xml:space="preserve"> </w:t>
      </w:r>
      <w:r>
        <w:rPr>
          <w:bCs/>
          <w:b/>
        </w:rPr>
        <w:t xml:space="preserve">熵正则策略</w:t>
      </w:r>
      <w:r>
        <w:t xml:space="preserve">，使策略密度</w:t>
      </w:r>
      <w:r>
        <w:t xml:space="preserve"> </w:t>
      </w:r>
      <w:r>
        <w:rPr>
          <w:bCs/>
          <w:b/>
        </w:rPr>
        <w:t xml:space="preserve">即为</w:t>
      </w:r>
      <w:r>
        <w:t xml:space="preserve"> </w:t>
      </w:r>
      <w:r>
        <w:t xml:space="preserve">隐式 (Q) 的 softmax（式 11–12），而非先学 (Q(s,a)) 再单独 actor 回归（SAC/MPO）。训练为</w:t>
      </w:r>
      <w:r>
        <w:t xml:space="preserve"> </w:t>
      </w:r>
      <w:r>
        <w:rPr>
          <w:bCs/>
          <w:b/>
        </w:rPr>
        <w:t xml:space="preserve">soft TD</w:t>
      </w:r>
      <w:r>
        <w:t xml:space="preserve">、双 critic 与 target；flow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（式 15），区别于 Trust-PCL 的 full gradient-TD。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通过对 ((</w:t>
      </w:r>
      <w:r>
        <w:t xml:space="preserve">_</w:t>
      </w:r>
      <w:r>
        <w:t xml:space="preserve">,</w:t>
      </w:r>
      <w:r>
        <w:t xml:space="preserve">)) 的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（式 17）自适应；</w:t>
      </w:r>
      <w:r>
        <w:rPr>
          <w:bCs/>
          <w:b/>
        </w:rPr>
        <w:t xml:space="preserve">greedification</w:t>
      </w:r>
      <w:r>
        <w:t xml:space="preserve">（式 18–20，(</w:t>
      </w:r>
      <w:r>
        <w:t xml:space="preserve">)）在 TD 残差趋零时推向更冷 softmax。</w:t>
      </w:r>
      <w:r>
        <w:rPr>
          <w:bCs/>
          <w:b/>
        </w:rPr>
        <w:t xml:space="preserve">QMANSF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8 个 DMC</w:t>
      </w:r>
      <w:r>
        <w:t xml:space="preserve"> </w:t>
      </w:r>
      <w:r>
        <w:t xml:space="preserve">任务（500k 步、5 seed、IQM+CI）上对比</w:t>
      </w:r>
      <w:r>
        <w:t xml:space="preserve"> </w:t>
      </w:r>
      <w:r>
        <w:rPr>
          <w:bCs/>
          <w:b/>
        </w:rPr>
        <w:t xml:space="preserve">SAC、CrossQ、FMER、FPO、MEow</w:t>
      </w:r>
      <w:r>
        <w:t xml:space="preserve">，并做 flow 与 (</w:t>
      </w:r>
      <w:r>
        <w:t xml:space="preserve">)/(</w:t>
      </w:r>
      <w:r>
        <w:t xml:space="preserve">) 消融。多任务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利用型</w:t>
      </w:r>
      <w:r>
        <w:t xml:space="preserve">（cheetah-run、walker-run）与</w:t>
      </w:r>
      <w:r>
        <w:t xml:space="preserve"> </w:t>
      </w:r>
      <w:r>
        <w:rPr>
          <w:bCs/>
          <w:b/>
        </w:rPr>
        <w:t xml:space="preserve">弱探索</w:t>
      </w:r>
      <w:r>
        <w:t xml:space="preserve">（hopper-stand）上</w:t>
      </w:r>
      <w:r>
        <w:t xml:space="preserve"> </w:t>
      </w:r>
      <w:r>
        <w:rPr>
          <w:bCs/>
          <w:b/>
        </w:rPr>
        <w:t xml:space="preserve">弱于</w:t>
      </w:r>
      <w:r>
        <w:t xml:space="preserve"> </w:t>
      </w:r>
      <w:r>
        <w:t xml:space="preserve">SAC/CrossQ。仅限仿真、偏 dense reward。</w:t>
      </w:r>
    </w:p>
    <w:bookmarkEnd w:id="47"/>
    <w:bookmarkStart w:id="48" w:name="评分-1"/>
    <w:p>
      <w:pPr>
        <w:pStyle w:val="Heading3"/>
      </w:pPr>
      <w:r>
        <w:t xml:space="preserve">评分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动机、算法与 Figure 1 清楚。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思路新、训练技巧有用，但 benchmark 窄、无收敛理论。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方法合理；多任务落后强基线；基线调参对齐不充分。</w:t>
            </w:r>
          </w:p>
        </w:tc>
      </w:tr>
    </w:tbl>
    <w:bookmarkEnd w:id="48"/>
    <w:bookmarkStart w:id="49" w:name="关键优点-1"/>
    <w:p>
      <w:pPr>
        <w:pStyle w:val="Heading3"/>
      </w:pPr>
      <w:r>
        <w:t xml:space="preserve">关键优点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概念统一</w:t>
      </w:r>
      <w:r>
        <w:t xml:space="preserve">：softmax 策略即生成模型，去掉 SAC 式独立 policy improvement，仍用标准 off-policy TD。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(</w:t>
      </w:r>
      <w:r>
        <w:rPr>
          <w:bCs/>
          <w:b/>
        </w:rPr>
        <w:t xml:space="preserve">) OLS 与 greedification</w:t>
      </w:r>
      <w:r>
        <w:t xml:space="preserve"> </w:t>
      </w:r>
      <w:r>
        <w:t xml:space="preserve">有 Figure 4 等消融支撑，针对固定 (</w:t>
      </w:r>
      <w:r>
        <w:t xml:space="preserve">) 敏感与 (</w:t>
      </w:r>
      <w:r>
        <w:t xml:space="preserve">) 停滞。</w:t>
      </w:r>
    </w:p>
    <w:bookmarkEnd w:id="49"/>
    <w:bookmarkStart w:id="50" w:name="关键缺点-1"/>
    <w:p>
      <w:pPr>
        <w:pStyle w:val="Heading3"/>
      </w:pPr>
      <w:r>
        <w:t xml:space="preserve">关键缺点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实验不足以支撑「与主流 actor–critic 相当」</w:t>
      </w:r>
      <w:r>
        <w:t xml:space="preserve">：多篇任务 SAC/CrossQ 更优；缺 wall-time、更广 benchmark 与同算力显著性检验。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复杂度高、对比难完全公平</w:t>
      </w:r>
      <w:r>
        <w:t xml:space="preserve">：flow 更贵更不稳；跨环境共用超参、MEow 等基线来源不一。</w:t>
      </w:r>
    </w:p>
    <w:bookmarkEnd w:id="50"/>
    <w:bookmarkStart w:id="51" w:name="给作者的问题-1"/>
    <w:p>
      <w:pPr>
        <w:pStyle w:val="Heading3"/>
      </w:pPr>
      <w:r>
        <w:t xml:space="preserve">给作者的问题 *</w:t>
      </w:r>
    </w:p>
    <w:p>
      <w:pPr>
        <w:numPr>
          <w:ilvl w:val="0"/>
          <w:numId w:val="1015"/>
        </w:numPr>
      </w:pPr>
      <w:r>
        <w:t xml:space="preserve">cheetah-run / walker-run / hopper-stand：</w:t>
      </w:r>
      <w:r>
        <w:rPr>
          <w:bCs/>
          <w:b/>
        </w:rPr>
        <w:t xml:space="preserve">同步数、同 wall-time</w:t>
      </w:r>
      <w:r>
        <w:t xml:space="preserve"> </w:t>
      </w:r>
      <w:r>
        <w:t xml:space="preserve">下相对 SAC/CrossQ 的</w:t>
      </w:r>
      <w:r>
        <w:t xml:space="preserve"> </w:t>
      </w:r>
      <w:r>
        <w:rPr>
          <w:bCs/>
          <w:b/>
        </w:rPr>
        <w:t xml:space="preserve">最终 IQM 与显著性</w:t>
      </w:r>
      <w:r>
        <w:t xml:space="preserve">？</w:t>
      </w:r>
    </w:p>
    <w:p>
      <w:pPr>
        <w:numPr>
          <w:ilvl w:val="0"/>
          <w:numId w:val="1015"/>
        </w:numPr>
      </w:pPr>
      <w:r>
        <w:t xml:space="preserve">收益是否主要来自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，而非单模型参数化？能否 ablate flow + SAC 熵调、无 greed？</w:t>
      </w:r>
    </w:p>
    <w:p>
      <w:pPr>
        <w:numPr>
          <w:ilvl w:val="0"/>
          <w:numId w:val="1015"/>
        </w:numPr>
      </w:pPr>
      <w:r>
        <w:t xml:space="preserve">是否公开</w:t>
      </w:r>
      <w:r>
        <w:t xml:space="preserve"> </w:t>
      </w:r>
      <w:r>
        <w:rPr>
          <w:bCs/>
          <w:b/>
        </w:rPr>
        <w:t xml:space="preserve">完整超参与代码</w:t>
      </w:r>
      <w:r>
        <w:t xml:space="preserve"> </w:t>
      </w:r>
      <w:r>
        <w:t xml:space="preserve">以精确复现各 baseline？</w:t>
      </w:r>
    </w:p>
    <w:bookmarkEnd w:id="51"/>
    <w:bookmarkStart w:id="52" w:name="建议总评"/>
    <w:p>
      <w:pPr>
        <w:pStyle w:val="Heading3"/>
      </w:pPr>
      <w:r>
        <w:t xml:space="preserve">建议总评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Recommendation：</w:t>
      </w:r>
      <w:r>
        <w:t xml:space="preserve"> </w:t>
      </w:r>
      <w:r>
        <w:t xml:space="preserve">边界接收</w:t>
      </w:r>
      <w:r>
        <w:br/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Confidence：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for reviewer paste-in. Adjust AI Documentation to match your actual AI use policy.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2026-10-16T14:11:19Z</dcterms:created>
  <dcterms:modified xsi:type="dcterms:W3CDTF">2026-10-16T14:11:19Z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