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91C3" w14:textId="77777777" w:rsidR="00BC011E" w:rsidRDefault="004F205A">
      <w:pPr>
        <w:spacing w:before="1800" w:after="200"/>
        <w:jc w:val="center"/>
      </w:pPr>
      <w:r>
        <w:rPr>
          <w:b/>
          <w:color w:val="0B2545"/>
          <w:sz w:val="52"/>
        </w:rPr>
        <w:t>VCL2FMXConverter v5.0 Vanguard</w:t>
      </w:r>
      <w:r>
        <w:rPr>
          <w:b/>
          <w:color w:val="0B2545"/>
          <w:sz w:val="52"/>
        </w:rPr>
        <w:br/>
        <w:t>vs.</w:t>
      </w:r>
      <w:r>
        <w:rPr>
          <w:b/>
          <w:color w:val="0B2545"/>
          <w:sz w:val="52"/>
        </w:rPr>
        <w:br/>
        <w:t>MidaConverter</w:t>
      </w:r>
    </w:p>
    <w:p w14:paraId="3F05981E" w14:textId="77777777" w:rsidR="00BC011E" w:rsidRDefault="004F205A">
      <w:pPr>
        <w:spacing w:after="480"/>
        <w:jc w:val="center"/>
      </w:pPr>
      <w:r>
        <w:rPr>
          <w:i/>
          <w:color w:val="1F4D78"/>
          <w:sz w:val="28"/>
        </w:rPr>
        <w:t>Side-by-Side Detailed Product Analysis</w:t>
      </w:r>
    </w:p>
    <w:tbl>
      <w:tblPr>
        <w:tblStyle w:val="TableGrid"/>
        <w:tblW w:w="0" w:type="auto"/>
        <w:jc w:val="center"/>
        <w:tblLayout w:type="fixed"/>
        <w:tblLook w:val="04A0" w:firstRow="1" w:lastRow="0" w:firstColumn="1" w:lastColumn="0" w:noHBand="0" w:noVBand="1"/>
      </w:tblPr>
      <w:tblGrid>
        <w:gridCol w:w="2088"/>
        <w:gridCol w:w="7272"/>
      </w:tblGrid>
      <w:tr w:rsidR="00BC011E" w14:paraId="6980F73C" w14:textId="77777777">
        <w:trPr>
          <w:jc w:val="center"/>
        </w:trPr>
        <w:tc>
          <w:tcPr>
            <w:tcW w:w="2088" w:type="dxa"/>
            <w:shd w:val="clear" w:color="auto" w:fill="E8EEF5"/>
            <w:vAlign w:val="center"/>
          </w:tcPr>
          <w:p w14:paraId="54A98C2B" w14:textId="77777777" w:rsidR="00BC011E" w:rsidRDefault="004F205A">
            <w:pPr>
              <w:spacing w:after="0" w:line="276" w:lineRule="auto"/>
            </w:pPr>
            <w:r>
              <w:rPr>
                <w:b/>
                <w:color w:val="0B2545"/>
                <w:sz w:val="19"/>
              </w:rPr>
              <w:t>Field</w:t>
            </w:r>
          </w:p>
        </w:tc>
        <w:tc>
          <w:tcPr>
            <w:tcW w:w="7272" w:type="dxa"/>
            <w:shd w:val="clear" w:color="auto" w:fill="E8EEF5"/>
            <w:vAlign w:val="center"/>
          </w:tcPr>
          <w:p w14:paraId="0773333A" w14:textId="77777777" w:rsidR="00BC011E" w:rsidRDefault="004F205A">
            <w:pPr>
              <w:spacing w:after="0" w:line="276" w:lineRule="auto"/>
            </w:pPr>
            <w:r>
              <w:rPr>
                <w:b/>
                <w:color w:val="0B2545"/>
                <w:sz w:val="19"/>
              </w:rPr>
              <w:t>Value</w:t>
            </w:r>
          </w:p>
        </w:tc>
      </w:tr>
      <w:tr w:rsidR="00BC011E" w14:paraId="549C14F7" w14:textId="77777777">
        <w:trPr>
          <w:jc w:val="center"/>
        </w:trPr>
        <w:tc>
          <w:tcPr>
            <w:tcW w:w="2088" w:type="dxa"/>
            <w:vAlign w:val="center"/>
          </w:tcPr>
          <w:p w14:paraId="1399975C" w14:textId="77777777" w:rsidR="00BC011E" w:rsidRDefault="004F205A">
            <w:pPr>
              <w:spacing w:after="0" w:line="276" w:lineRule="auto"/>
            </w:pPr>
            <w:r>
              <w:rPr>
                <w:sz w:val="19"/>
              </w:rPr>
              <w:t>Prepared for</w:t>
            </w:r>
          </w:p>
        </w:tc>
        <w:tc>
          <w:tcPr>
            <w:tcW w:w="7272" w:type="dxa"/>
            <w:vAlign w:val="center"/>
          </w:tcPr>
          <w:p w14:paraId="065060BE" w14:textId="77777777" w:rsidR="00BC011E" w:rsidRDefault="004F205A">
            <w:pPr>
              <w:spacing w:after="0" w:line="276" w:lineRule="auto"/>
            </w:pPr>
            <w:r>
              <w:rPr>
                <w:sz w:val="19"/>
              </w:rPr>
              <w:t>VCL2FMXConverter v5.0 release review</w:t>
            </w:r>
          </w:p>
        </w:tc>
      </w:tr>
      <w:tr w:rsidR="00BC011E" w14:paraId="292CE104" w14:textId="77777777">
        <w:trPr>
          <w:jc w:val="center"/>
        </w:trPr>
        <w:tc>
          <w:tcPr>
            <w:tcW w:w="2088" w:type="dxa"/>
            <w:vAlign w:val="center"/>
          </w:tcPr>
          <w:p w14:paraId="02DD2D90" w14:textId="77777777" w:rsidR="00BC011E" w:rsidRDefault="004F205A">
            <w:pPr>
              <w:spacing w:after="0" w:line="276" w:lineRule="auto"/>
            </w:pPr>
            <w:r>
              <w:rPr>
                <w:sz w:val="19"/>
              </w:rPr>
              <w:t>Revision date</w:t>
            </w:r>
          </w:p>
        </w:tc>
        <w:tc>
          <w:tcPr>
            <w:tcW w:w="7272" w:type="dxa"/>
            <w:vAlign w:val="center"/>
          </w:tcPr>
          <w:p w14:paraId="7A299B04" w14:textId="77777777" w:rsidR="00BC011E" w:rsidRDefault="004F205A">
            <w:pPr>
              <w:spacing w:after="0" w:line="276" w:lineRule="auto"/>
            </w:pPr>
            <w:r>
              <w:rPr>
                <w:sz w:val="19"/>
              </w:rPr>
              <w:t>June 30, 2026</w:t>
            </w:r>
          </w:p>
        </w:tc>
      </w:tr>
      <w:tr w:rsidR="00BC011E" w14:paraId="4A520EA2" w14:textId="77777777">
        <w:trPr>
          <w:jc w:val="center"/>
        </w:trPr>
        <w:tc>
          <w:tcPr>
            <w:tcW w:w="2088" w:type="dxa"/>
            <w:vAlign w:val="center"/>
          </w:tcPr>
          <w:p w14:paraId="39C12AE6" w14:textId="77777777" w:rsidR="00BC011E" w:rsidRDefault="004F205A">
            <w:pPr>
              <w:spacing w:after="0" w:line="276" w:lineRule="auto"/>
            </w:pPr>
            <w:r>
              <w:rPr>
                <w:sz w:val="19"/>
              </w:rPr>
              <w:t>VCL2FMX evidence</w:t>
            </w:r>
          </w:p>
        </w:tc>
        <w:tc>
          <w:tcPr>
            <w:tcW w:w="7272" w:type="dxa"/>
            <w:vAlign w:val="center"/>
          </w:tcPr>
          <w:p w14:paraId="4297883B" w14:textId="77777777" w:rsidR="00BC011E" w:rsidRDefault="004F205A">
            <w:pPr>
              <w:spacing w:after="0" w:line="276" w:lineRule="auto"/>
            </w:pPr>
            <w:r>
              <w:rPr>
                <w:sz w:val="19"/>
              </w:rPr>
              <w:t>Local v5 source tree, user guide, engineering guide, contracts guide, contracts README, contract manifest, source distribution, and mapping packs.</w:t>
            </w:r>
          </w:p>
        </w:tc>
      </w:tr>
      <w:tr w:rsidR="00BC011E" w14:paraId="35E3ED2D" w14:textId="77777777">
        <w:trPr>
          <w:jc w:val="center"/>
        </w:trPr>
        <w:tc>
          <w:tcPr>
            <w:tcW w:w="2088" w:type="dxa"/>
            <w:vAlign w:val="center"/>
          </w:tcPr>
          <w:p w14:paraId="49083677" w14:textId="77777777" w:rsidR="00BC011E" w:rsidRDefault="004F205A">
            <w:pPr>
              <w:spacing w:after="0" w:line="276" w:lineRule="auto"/>
            </w:pPr>
            <w:r>
              <w:rPr>
                <w:sz w:val="19"/>
              </w:rPr>
              <w:t>Mida evidence</w:t>
            </w:r>
          </w:p>
        </w:tc>
        <w:tc>
          <w:tcPr>
            <w:tcW w:w="7272" w:type="dxa"/>
            <w:vAlign w:val="center"/>
          </w:tcPr>
          <w:p w14:paraId="5B1E565C" w14:textId="77777777" w:rsidR="00BC011E" w:rsidRDefault="004F205A">
            <w:pPr>
              <w:spacing w:after="0" w:line="276" w:lineRule="auto"/>
            </w:pPr>
            <w:r>
              <w:rPr>
                <w:sz w:val="19"/>
              </w:rPr>
              <w:t>Public MidaConverter product pages, FAQ, order page, update page, and Embarcadero blog reference.</w:t>
            </w:r>
          </w:p>
        </w:tc>
      </w:tr>
      <w:tr w:rsidR="00BC011E" w14:paraId="463BCA26" w14:textId="77777777">
        <w:trPr>
          <w:jc w:val="center"/>
        </w:trPr>
        <w:tc>
          <w:tcPr>
            <w:tcW w:w="2088" w:type="dxa"/>
            <w:vAlign w:val="center"/>
          </w:tcPr>
          <w:p w14:paraId="040EA474" w14:textId="77777777" w:rsidR="00BC011E" w:rsidRDefault="004F205A">
            <w:pPr>
              <w:spacing w:after="0" w:line="276" w:lineRule="auto"/>
            </w:pPr>
            <w:r>
              <w:rPr>
                <w:sz w:val="19"/>
              </w:rPr>
              <w:t>Scope note</w:t>
            </w:r>
          </w:p>
        </w:tc>
        <w:tc>
          <w:tcPr>
            <w:tcW w:w="7272" w:type="dxa"/>
            <w:vAlign w:val="center"/>
          </w:tcPr>
          <w:p w14:paraId="40C7A618" w14:textId="77777777" w:rsidR="00BC011E" w:rsidRDefault="004F205A">
            <w:pPr>
              <w:spacing w:after="0" w:line="276" w:lineRule="auto"/>
            </w:pPr>
            <w:r>
              <w:rPr>
                <w:sz w:val="19"/>
              </w:rPr>
              <w:t>MidaConverter was evaluated from public reference material only. VCL2FMXConverter was evaluated from local source, docs, and contract inventory.</w:t>
            </w:r>
          </w:p>
        </w:tc>
      </w:tr>
    </w:tbl>
    <w:p w14:paraId="7EC6EF10" w14:textId="77777777" w:rsidR="00BC011E" w:rsidRDefault="00BC011E">
      <w:pPr>
        <w:spacing w:after="40"/>
      </w:pPr>
    </w:p>
    <w:tbl>
      <w:tblPr>
        <w:tblStyle w:val="TableGrid"/>
        <w:tblW w:w="0" w:type="auto"/>
        <w:jc w:val="center"/>
        <w:tblLayout w:type="fixed"/>
        <w:tblLook w:val="04A0" w:firstRow="1" w:lastRow="0" w:firstColumn="1" w:lastColumn="0" w:noHBand="0" w:noVBand="1"/>
      </w:tblPr>
      <w:tblGrid>
        <w:gridCol w:w="9360"/>
      </w:tblGrid>
      <w:tr w:rsidR="00BC011E" w14:paraId="13649B8D" w14:textId="77777777">
        <w:trPr>
          <w:jc w:val="center"/>
        </w:trPr>
        <w:tc>
          <w:tcPr>
            <w:tcW w:w="9360" w:type="dxa"/>
            <w:shd w:val="clear" w:color="auto" w:fill="FFF2CC"/>
          </w:tcPr>
          <w:p w14:paraId="30CE4228" w14:textId="77777777" w:rsidR="00BC011E" w:rsidRDefault="004F205A">
            <w:pPr>
              <w:spacing w:after="80"/>
            </w:pPr>
            <w:r>
              <w:rPr>
                <w:b/>
                <w:color w:val="0B2545"/>
              </w:rPr>
              <w:t>Bottom line</w:t>
            </w:r>
          </w:p>
          <w:p w14:paraId="73CCD06B" w14:textId="77777777" w:rsidR="00BC011E" w:rsidRDefault="004F205A">
            <w:pPr>
              <w:spacing w:after="0" w:line="288" w:lineRule="auto"/>
            </w:pPr>
            <w:r>
              <w:t>MidaConverter advertises broader commercial migration breadth, especially multi-target conversion and paid Studio features. VCL2FMXConverter v5.0 Vanguard provides stronger transparency, source ownership, repeatable contract-backed quality control, zero license cost, and a more auditable path for users who need to understand and extend the converter.</w:t>
            </w:r>
          </w:p>
        </w:tc>
      </w:tr>
    </w:tbl>
    <w:p w14:paraId="15B01B4F" w14:textId="77777777" w:rsidR="00BC011E" w:rsidRDefault="00BC011E">
      <w:pPr>
        <w:spacing w:after="40"/>
      </w:pPr>
    </w:p>
    <w:p w14:paraId="20146A30" w14:textId="77777777" w:rsidR="00BC011E" w:rsidRDefault="004F205A">
      <w:r>
        <w:br w:type="page"/>
      </w:r>
    </w:p>
    <w:sdt>
      <w:sdtPr>
        <w:rPr>
          <w:rFonts w:ascii="Calibri" w:eastAsiaTheme="minorEastAsia" w:hAnsi="Calibri" w:cstheme="minorBidi"/>
          <w:b w:val="0"/>
          <w:bCs w:val="0"/>
          <w:color w:val="auto"/>
          <w:sz w:val="22"/>
          <w:szCs w:val="22"/>
        </w:rPr>
        <w:id w:val="-1717965513"/>
        <w:docPartObj>
          <w:docPartGallery w:val="Table of Contents"/>
          <w:docPartUnique/>
        </w:docPartObj>
      </w:sdtPr>
      <w:sdtEndPr>
        <w:rPr>
          <w:noProof/>
        </w:rPr>
      </w:sdtEndPr>
      <w:sdtContent>
        <w:p w14:paraId="059A9658" w14:textId="552A20F4" w:rsidR="00484FAA" w:rsidRDefault="00484FAA">
          <w:pPr>
            <w:pStyle w:val="TOCHeading"/>
          </w:pPr>
          <w:r>
            <w:t>Table of Contents</w:t>
          </w:r>
        </w:p>
        <w:p w14:paraId="3416E742" w14:textId="79E893E6" w:rsidR="00484FAA" w:rsidRDefault="00484FAA">
          <w:pPr>
            <w:pStyle w:val="TOC1"/>
            <w:tabs>
              <w:tab w:val="right" w:leader="dot" w:pos="9350"/>
            </w:tabs>
            <w:rPr>
              <w:noProof/>
            </w:rPr>
          </w:pPr>
          <w:r>
            <w:fldChar w:fldCharType="begin"/>
          </w:r>
          <w:r>
            <w:instrText xml:space="preserve"> TOC \o "1-3" \h \z \u </w:instrText>
          </w:r>
          <w:r>
            <w:fldChar w:fldCharType="separate"/>
          </w:r>
          <w:hyperlink w:anchor="_Toc233733816" w:history="1">
            <w:r w:rsidRPr="002F256E">
              <w:rPr>
                <w:rStyle w:val="Hyperlink"/>
                <w:noProof/>
              </w:rPr>
              <w:t>1. Executive Summary</w:t>
            </w:r>
            <w:r>
              <w:rPr>
                <w:noProof/>
                <w:webHidden/>
              </w:rPr>
              <w:tab/>
            </w:r>
            <w:r>
              <w:rPr>
                <w:noProof/>
                <w:webHidden/>
              </w:rPr>
              <w:fldChar w:fldCharType="begin"/>
            </w:r>
            <w:r>
              <w:rPr>
                <w:noProof/>
                <w:webHidden/>
              </w:rPr>
              <w:instrText xml:space="preserve"> PAGEREF _Toc233733816 \h </w:instrText>
            </w:r>
            <w:r>
              <w:rPr>
                <w:noProof/>
                <w:webHidden/>
              </w:rPr>
            </w:r>
            <w:r>
              <w:rPr>
                <w:noProof/>
                <w:webHidden/>
              </w:rPr>
              <w:fldChar w:fldCharType="separate"/>
            </w:r>
            <w:r>
              <w:rPr>
                <w:noProof/>
                <w:webHidden/>
              </w:rPr>
              <w:t>3</w:t>
            </w:r>
            <w:r>
              <w:rPr>
                <w:noProof/>
                <w:webHidden/>
              </w:rPr>
              <w:fldChar w:fldCharType="end"/>
            </w:r>
          </w:hyperlink>
        </w:p>
        <w:p w14:paraId="6DB29AE0" w14:textId="21681C76" w:rsidR="00484FAA" w:rsidRDefault="00484FAA">
          <w:pPr>
            <w:pStyle w:val="TOC1"/>
            <w:tabs>
              <w:tab w:val="right" w:leader="dot" w:pos="9350"/>
            </w:tabs>
            <w:rPr>
              <w:noProof/>
            </w:rPr>
          </w:pPr>
          <w:hyperlink w:anchor="_Toc233733817" w:history="1">
            <w:r w:rsidRPr="002F256E">
              <w:rPr>
                <w:rStyle w:val="Hyperlink"/>
                <w:noProof/>
              </w:rPr>
              <w:t>2. Method and Evidence Quality</w:t>
            </w:r>
            <w:r>
              <w:rPr>
                <w:noProof/>
                <w:webHidden/>
              </w:rPr>
              <w:tab/>
            </w:r>
            <w:r>
              <w:rPr>
                <w:noProof/>
                <w:webHidden/>
              </w:rPr>
              <w:fldChar w:fldCharType="begin"/>
            </w:r>
            <w:r>
              <w:rPr>
                <w:noProof/>
                <w:webHidden/>
              </w:rPr>
              <w:instrText xml:space="preserve"> PAGEREF _Toc233733817 \h </w:instrText>
            </w:r>
            <w:r>
              <w:rPr>
                <w:noProof/>
                <w:webHidden/>
              </w:rPr>
            </w:r>
            <w:r>
              <w:rPr>
                <w:noProof/>
                <w:webHidden/>
              </w:rPr>
              <w:fldChar w:fldCharType="separate"/>
            </w:r>
            <w:r>
              <w:rPr>
                <w:noProof/>
                <w:webHidden/>
              </w:rPr>
              <w:t>4</w:t>
            </w:r>
            <w:r>
              <w:rPr>
                <w:noProof/>
                <w:webHidden/>
              </w:rPr>
              <w:fldChar w:fldCharType="end"/>
            </w:r>
          </w:hyperlink>
        </w:p>
        <w:p w14:paraId="77EC83A6" w14:textId="78077EDD" w:rsidR="00484FAA" w:rsidRDefault="00484FAA">
          <w:pPr>
            <w:pStyle w:val="TOC1"/>
            <w:tabs>
              <w:tab w:val="right" w:leader="dot" w:pos="9350"/>
            </w:tabs>
            <w:rPr>
              <w:noProof/>
            </w:rPr>
          </w:pPr>
          <w:hyperlink w:anchor="_Toc233733818" w:history="1">
            <w:r w:rsidRPr="002F256E">
              <w:rPr>
                <w:rStyle w:val="Hyperlink"/>
                <w:noProof/>
              </w:rPr>
              <w:t>3. Product Positioning and Audience</w:t>
            </w:r>
            <w:r>
              <w:rPr>
                <w:noProof/>
                <w:webHidden/>
              </w:rPr>
              <w:tab/>
            </w:r>
            <w:r>
              <w:rPr>
                <w:noProof/>
                <w:webHidden/>
              </w:rPr>
              <w:fldChar w:fldCharType="begin"/>
            </w:r>
            <w:r>
              <w:rPr>
                <w:noProof/>
                <w:webHidden/>
              </w:rPr>
              <w:instrText xml:space="preserve"> PAGEREF _Toc233733818 \h </w:instrText>
            </w:r>
            <w:r>
              <w:rPr>
                <w:noProof/>
                <w:webHidden/>
              </w:rPr>
            </w:r>
            <w:r>
              <w:rPr>
                <w:noProof/>
                <w:webHidden/>
              </w:rPr>
              <w:fldChar w:fldCharType="separate"/>
            </w:r>
            <w:r>
              <w:rPr>
                <w:noProof/>
                <w:webHidden/>
              </w:rPr>
              <w:t>4</w:t>
            </w:r>
            <w:r>
              <w:rPr>
                <w:noProof/>
                <w:webHidden/>
              </w:rPr>
              <w:fldChar w:fldCharType="end"/>
            </w:r>
          </w:hyperlink>
        </w:p>
        <w:p w14:paraId="4783764F" w14:textId="1A424C56" w:rsidR="00484FAA" w:rsidRDefault="00484FAA">
          <w:pPr>
            <w:pStyle w:val="TOC2"/>
            <w:tabs>
              <w:tab w:val="right" w:leader="dot" w:pos="9350"/>
            </w:tabs>
            <w:rPr>
              <w:noProof/>
            </w:rPr>
          </w:pPr>
          <w:hyperlink w:anchor="_Toc233733819" w:history="1">
            <w:r w:rsidRPr="002F256E">
              <w:rPr>
                <w:rStyle w:val="Hyperlink"/>
                <w:noProof/>
              </w:rPr>
              <w:t>VCL2FMXConverter v5.0 Vanguard</w:t>
            </w:r>
            <w:r>
              <w:rPr>
                <w:noProof/>
                <w:webHidden/>
              </w:rPr>
              <w:tab/>
            </w:r>
            <w:r>
              <w:rPr>
                <w:noProof/>
                <w:webHidden/>
              </w:rPr>
              <w:fldChar w:fldCharType="begin"/>
            </w:r>
            <w:r>
              <w:rPr>
                <w:noProof/>
                <w:webHidden/>
              </w:rPr>
              <w:instrText xml:space="preserve"> PAGEREF _Toc233733819 \h </w:instrText>
            </w:r>
            <w:r>
              <w:rPr>
                <w:noProof/>
                <w:webHidden/>
              </w:rPr>
            </w:r>
            <w:r>
              <w:rPr>
                <w:noProof/>
                <w:webHidden/>
              </w:rPr>
              <w:fldChar w:fldCharType="separate"/>
            </w:r>
            <w:r>
              <w:rPr>
                <w:noProof/>
                <w:webHidden/>
              </w:rPr>
              <w:t>4</w:t>
            </w:r>
            <w:r>
              <w:rPr>
                <w:noProof/>
                <w:webHidden/>
              </w:rPr>
              <w:fldChar w:fldCharType="end"/>
            </w:r>
          </w:hyperlink>
        </w:p>
        <w:p w14:paraId="195E8A0C" w14:textId="05CD1868" w:rsidR="00484FAA" w:rsidRDefault="00484FAA">
          <w:pPr>
            <w:pStyle w:val="TOC2"/>
            <w:tabs>
              <w:tab w:val="right" w:leader="dot" w:pos="9350"/>
            </w:tabs>
            <w:rPr>
              <w:noProof/>
            </w:rPr>
          </w:pPr>
          <w:hyperlink w:anchor="_Toc233733820" w:history="1">
            <w:r w:rsidRPr="002F256E">
              <w:rPr>
                <w:rStyle w:val="Hyperlink"/>
                <w:noProof/>
              </w:rPr>
              <w:t>MidaConverter</w:t>
            </w:r>
            <w:r>
              <w:rPr>
                <w:noProof/>
                <w:webHidden/>
              </w:rPr>
              <w:tab/>
            </w:r>
            <w:r>
              <w:rPr>
                <w:noProof/>
                <w:webHidden/>
              </w:rPr>
              <w:fldChar w:fldCharType="begin"/>
            </w:r>
            <w:r>
              <w:rPr>
                <w:noProof/>
                <w:webHidden/>
              </w:rPr>
              <w:instrText xml:space="preserve"> PAGEREF _Toc233733820 \h </w:instrText>
            </w:r>
            <w:r>
              <w:rPr>
                <w:noProof/>
                <w:webHidden/>
              </w:rPr>
            </w:r>
            <w:r>
              <w:rPr>
                <w:noProof/>
                <w:webHidden/>
              </w:rPr>
              <w:fldChar w:fldCharType="separate"/>
            </w:r>
            <w:r>
              <w:rPr>
                <w:noProof/>
                <w:webHidden/>
              </w:rPr>
              <w:t>5</w:t>
            </w:r>
            <w:r>
              <w:rPr>
                <w:noProof/>
                <w:webHidden/>
              </w:rPr>
              <w:fldChar w:fldCharType="end"/>
            </w:r>
          </w:hyperlink>
        </w:p>
        <w:p w14:paraId="5AE29D90" w14:textId="05C56BBE" w:rsidR="00484FAA" w:rsidRDefault="00484FAA">
          <w:pPr>
            <w:pStyle w:val="TOC1"/>
            <w:tabs>
              <w:tab w:val="right" w:leader="dot" w:pos="9350"/>
            </w:tabs>
            <w:rPr>
              <w:noProof/>
            </w:rPr>
          </w:pPr>
          <w:hyperlink w:anchor="_Toc233733821" w:history="1">
            <w:r w:rsidRPr="002F256E">
              <w:rPr>
                <w:rStyle w:val="Hyperlink"/>
                <w:noProof/>
              </w:rPr>
              <w:t>4. Licensing, Cost, and Ownership</w:t>
            </w:r>
            <w:r>
              <w:rPr>
                <w:noProof/>
                <w:webHidden/>
              </w:rPr>
              <w:tab/>
            </w:r>
            <w:r>
              <w:rPr>
                <w:noProof/>
                <w:webHidden/>
              </w:rPr>
              <w:fldChar w:fldCharType="begin"/>
            </w:r>
            <w:r>
              <w:rPr>
                <w:noProof/>
                <w:webHidden/>
              </w:rPr>
              <w:instrText xml:space="preserve"> PAGEREF _Toc233733821 \h </w:instrText>
            </w:r>
            <w:r>
              <w:rPr>
                <w:noProof/>
                <w:webHidden/>
              </w:rPr>
            </w:r>
            <w:r>
              <w:rPr>
                <w:noProof/>
                <w:webHidden/>
              </w:rPr>
              <w:fldChar w:fldCharType="separate"/>
            </w:r>
            <w:r>
              <w:rPr>
                <w:noProof/>
                <w:webHidden/>
              </w:rPr>
              <w:t>5</w:t>
            </w:r>
            <w:r>
              <w:rPr>
                <w:noProof/>
                <w:webHidden/>
              </w:rPr>
              <w:fldChar w:fldCharType="end"/>
            </w:r>
          </w:hyperlink>
        </w:p>
        <w:p w14:paraId="42C387C9" w14:textId="31A00A8E" w:rsidR="00484FAA" w:rsidRDefault="00484FAA">
          <w:pPr>
            <w:pStyle w:val="TOC1"/>
            <w:tabs>
              <w:tab w:val="right" w:leader="dot" w:pos="9350"/>
            </w:tabs>
            <w:rPr>
              <w:noProof/>
            </w:rPr>
          </w:pPr>
          <w:hyperlink w:anchor="_Toc233733822" w:history="1">
            <w:r w:rsidRPr="002F256E">
              <w:rPr>
                <w:rStyle w:val="Hyperlink"/>
                <w:noProof/>
              </w:rPr>
              <w:t>5. Supported Inputs, Outputs, and Conversion Targets</w:t>
            </w:r>
            <w:r>
              <w:rPr>
                <w:noProof/>
                <w:webHidden/>
              </w:rPr>
              <w:tab/>
            </w:r>
            <w:r>
              <w:rPr>
                <w:noProof/>
                <w:webHidden/>
              </w:rPr>
              <w:fldChar w:fldCharType="begin"/>
            </w:r>
            <w:r>
              <w:rPr>
                <w:noProof/>
                <w:webHidden/>
              </w:rPr>
              <w:instrText xml:space="preserve"> PAGEREF _Toc233733822 \h </w:instrText>
            </w:r>
            <w:r>
              <w:rPr>
                <w:noProof/>
                <w:webHidden/>
              </w:rPr>
            </w:r>
            <w:r>
              <w:rPr>
                <w:noProof/>
                <w:webHidden/>
              </w:rPr>
              <w:fldChar w:fldCharType="separate"/>
            </w:r>
            <w:r>
              <w:rPr>
                <w:noProof/>
                <w:webHidden/>
              </w:rPr>
              <w:t>6</w:t>
            </w:r>
            <w:r>
              <w:rPr>
                <w:noProof/>
                <w:webHidden/>
              </w:rPr>
              <w:fldChar w:fldCharType="end"/>
            </w:r>
          </w:hyperlink>
        </w:p>
        <w:p w14:paraId="623D0821" w14:textId="183CFA43" w:rsidR="00484FAA" w:rsidRDefault="00484FAA">
          <w:pPr>
            <w:pStyle w:val="TOC1"/>
            <w:tabs>
              <w:tab w:val="right" w:leader="dot" w:pos="9350"/>
            </w:tabs>
            <w:rPr>
              <w:noProof/>
            </w:rPr>
          </w:pPr>
          <w:hyperlink w:anchor="_Toc233733823" w:history="1">
            <w:r w:rsidRPr="002F256E">
              <w:rPr>
                <w:rStyle w:val="Hyperlink"/>
                <w:noProof/>
              </w:rPr>
              <w:t>6. Conversion Engine Depth and Code Handling</w:t>
            </w:r>
            <w:r>
              <w:rPr>
                <w:noProof/>
                <w:webHidden/>
              </w:rPr>
              <w:tab/>
            </w:r>
            <w:r>
              <w:rPr>
                <w:noProof/>
                <w:webHidden/>
              </w:rPr>
              <w:fldChar w:fldCharType="begin"/>
            </w:r>
            <w:r>
              <w:rPr>
                <w:noProof/>
                <w:webHidden/>
              </w:rPr>
              <w:instrText xml:space="preserve"> PAGEREF _Toc233733823 \h </w:instrText>
            </w:r>
            <w:r>
              <w:rPr>
                <w:noProof/>
                <w:webHidden/>
              </w:rPr>
            </w:r>
            <w:r>
              <w:rPr>
                <w:noProof/>
                <w:webHidden/>
              </w:rPr>
              <w:fldChar w:fldCharType="separate"/>
            </w:r>
            <w:r>
              <w:rPr>
                <w:noProof/>
                <w:webHidden/>
              </w:rPr>
              <w:t>7</w:t>
            </w:r>
            <w:r>
              <w:rPr>
                <w:noProof/>
                <w:webHidden/>
              </w:rPr>
              <w:fldChar w:fldCharType="end"/>
            </w:r>
          </w:hyperlink>
        </w:p>
        <w:p w14:paraId="5A6DB939" w14:textId="67A9972B" w:rsidR="00484FAA" w:rsidRDefault="00484FAA">
          <w:pPr>
            <w:pStyle w:val="TOC2"/>
            <w:tabs>
              <w:tab w:val="right" w:leader="dot" w:pos="9350"/>
            </w:tabs>
            <w:rPr>
              <w:noProof/>
            </w:rPr>
          </w:pPr>
          <w:hyperlink w:anchor="_Toc233733824" w:history="1">
            <w:r w:rsidRPr="002F256E">
              <w:rPr>
                <w:rStyle w:val="Hyperlink"/>
                <w:noProof/>
              </w:rPr>
              <w:t>VCL2FMXConverter internals</w:t>
            </w:r>
            <w:r>
              <w:rPr>
                <w:noProof/>
                <w:webHidden/>
              </w:rPr>
              <w:tab/>
            </w:r>
            <w:r>
              <w:rPr>
                <w:noProof/>
                <w:webHidden/>
              </w:rPr>
              <w:fldChar w:fldCharType="begin"/>
            </w:r>
            <w:r>
              <w:rPr>
                <w:noProof/>
                <w:webHidden/>
              </w:rPr>
              <w:instrText xml:space="preserve"> PAGEREF _Toc233733824 \h </w:instrText>
            </w:r>
            <w:r>
              <w:rPr>
                <w:noProof/>
                <w:webHidden/>
              </w:rPr>
            </w:r>
            <w:r>
              <w:rPr>
                <w:noProof/>
                <w:webHidden/>
              </w:rPr>
              <w:fldChar w:fldCharType="separate"/>
            </w:r>
            <w:r>
              <w:rPr>
                <w:noProof/>
                <w:webHidden/>
              </w:rPr>
              <w:t>7</w:t>
            </w:r>
            <w:r>
              <w:rPr>
                <w:noProof/>
                <w:webHidden/>
              </w:rPr>
              <w:fldChar w:fldCharType="end"/>
            </w:r>
          </w:hyperlink>
        </w:p>
        <w:p w14:paraId="3E679460" w14:textId="14FE53D4" w:rsidR="00484FAA" w:rsidRDefault="00484FAA">
          <w:pPr>
            <w:pStyle w:val="TOC2"/>
            <w:tabs>
              <w:tab w:val="right" w:leader="dot" w:pos="9350"/>
            </w:tabs>
            <w:rPr>
              <w:noProof/>
            </w:rPr>
          </w:pPr>
          <w:hyperlink w:anchor="_Toc233733825" w:history="1">
            <w:r w:rsidRPr="002F256E">
              <w:rPr>
                <w:rStyle w:val="Hyperlink"/>
                <w:noProof/>
              </w:rPr>
              <w:t>MidaConverter internals</w:t>
            </w:r>
            <w:r>
              <w:rPr>
                <w:noProof/>
                <w:webHidden/>
              </w:rPr>
              <w:tab/>
            </w:r>
            <w:r>
              <w:rPr>
                <w:noProof/>
                <w:webHidden/>
              </w:rPr>
              <w:fldChar w:fldCharType="begin"/>
            </w:r>
            <w:r>
              <w:rPr>
                <w:noProof/>
                <w:webHidden/>
              </w:rPr>
              <w:instrText xml:space="preserve"> PAGEREF _Toc233733825 \h </w:instrText>
            </w:r>
            <w:r>
              <w:rPr>
                <w:noProof/>
                <w:webHidden/>
              </w:rPr>
            </w:r>
            <w:r>
              <w:rPr>
                <w:noProof/>
                <w:webHidden/>
              </w:rPr>
              <w:fldChar w:fldCharType="separate"/>
            </w:r>
            <w:r>
              <w:rPr>
                <w:noProof/>
                <w:webHidden/>
              </w:rPr>
              <w:t>7</w:t>
            </w:r>
            <w:r>
              <w:rPr>
                <w:noProof/>
                <w:webHidden/>
              </w:rPr>
              <w:fldChar w:fldCharType="end"/>
            </w:r>
          </w:hyperlink>
        </w:p>
        <w:p w14:paraId="26B40A75" w14:textId="414F67F6" w:rsidR="00484FAA" w:rsidRDefault="00484FAA">
          <w:pPr>
            <w:pStyle w:val="TOC1"/>
            <w:tabs>
              <w:tab w:val="right" w:leader="dot" w:pos="9350"/>
            </w:tabs>
            <w:rPr>
              <w:noProof/>
            </w:rPr>
          </w:pPr>
          <w:hyperlink w:anchor="_Toc233733826" w:history="1">
            <w:r w:rsidRPr="002F256E">
              <w:rPr>
                <w:rStyle w:val="Hyperlink"/>
                <w:noProof/>
              </w:rPr>
              <w:t>7. Component, Property, Event, and Third-Party Mapping</w:t>
            </w:r>
            <w:r>
              <w:rPr>
                <w:noProof/>
                <w:webHidden/>
              </w:rPr>
              <w:tab/>
            </w:r>
            <w:r>
              <w:rPr>
                <w:noProof/>
                <w:webHidden/>
              </w:rPr>
              <w:fldChar w:fldCharType="begin"/>
            </w:r>
            <w:r>
              <w:rPr>
                <w:noProof/>
                <w:webHidden/>
              </w:rPr>
              <w:instrText xml:space="preserve"> PAGEREF _Toc233733826 \h </w:instrText>
            </w:r>
            <w:r>
              <w:rPr>
                <w:noProof/>
                <w:webHidden/>
              </w:rPr>
            </w:r>
            <w:r>
              <w:rPr>
                <w:noProof/>
                <w:webHidden/>
              </w:rPr>
              <w:fldChar w:fldCharType="separate"/>
            </w:r>
            <w:r>
              <w:rPr>
                <w:noProof/>
                <w:webHidden/>
              </w:rPr>
              <w:t>8</w:t>
            </w:r>
            <w:r>
              <w:rPr>
                <w:noProof/>
                <w:webHidden/>
              </w:rPr>
              <w:fldChar w:fldCharType="end"/>
            </w:r>
          </w:hyperlink>
        </w:p>
        <w:p w14:paraId="6401ED57" w14:textId="1C779F84" w:rsidR="00484FAA" w:rsidRDefault="00484FAA">
          <w:pPr>
            <w:pStyle w:val="TOC2"/>
            <w:tabs>
              <w:tab w:val="right" w:leader="dot" w:pos="9350"/>
            </w:tabs>
            <w:rPr>
              <w:noProof/>
            </w:rPr>
          </w:pPr>
          <w:hyperlink w:anchor="_Toc233733827" w:history="1">
            <w:r w:rsidRPr="002F256E">
              <w:rPr>
                <w:rStyle w:val="Hyperlink"/>
                <w:noProof/>
              </w:rPr>
              <w:t>VCL2FMXConverter mapping model</w:t>
            </w:r>
            <w:r>
              <w:rPr>
                <w:noProof/>
                <w:webHidden/>
              </w:rPr>
              <w:tab/>
            </w:r>
            <w:r>
              <w:rPr>
                <w:noProof/>
                <w:webHidden/>
              </w:rPr>
              <w:fldChar w:fldCharType="begin"/>
            </w:r>
            <w:r>
              <w:rPr>
                <w:noProof/>
                <w:webHidden/>
              </w:rPr>
              <w:instrText xml:space="preserve"> PAGEREF _Toc233733827 \h </w:instrText>
            </w:r>
            <w:r>
              <w:rPr>
                <w:noProof/>
                <w:webHidden/>
              </w:rPr>
            </w:r>
            <w:r>
              <w:rPr>
                <w:noProof/>
                <w:webHidden/>
              </w:rPr>
              <w:fldChar w:fldCharType="separate"/>
            </w:r>
            <w:r>
              <w:rPr>
                <w:noProof/>
                <w:webHidden/>
              </w:rPr>
              <w:t>8</w:t>
            </w:r>
            <w:r>
              <w:rPr>
                <w:noProof/>
                <w:webHidden/>
              </w:rPr>
              <w:fldChar w:fldCharType="end"/>
            </w:r>
          </w:hyperlink>
        </w:p>
        <w:p w14:paraId="38FAFD58" w14:textId="14440A95" w:rsidR="00484FAA" w:rsidRDefault="00484FAA">
          <w:pPr>
            <w:pStyle w:val="TOC2"/>
            <w:tabs>
              <w:tab w:val="right" w:leader="dot" w:pos="9350"/>
            </w:tabs>
            <w:rPr>
              <w:noProof/>
            </w:rPr>
          </w:pPr>
          <w:hyperlink w:anchor="_Toc233733828" w:history="1">
            <w:r w:rsidRPr="002F256E">
              <w:rPr>
                <w:rStyle w:val="Hyperlink"/>
                <w:noProof/>
              </w:rPr>
              <w:t>MidaConverter mapping model</w:t>
            </w:r>
            <w:r>
              <w:rPr>
                <w:noProof/>
                <w:webHidden/>
              </w:rPr>
              <w:tab/>
            </w:r>
            <w:r>
              <w:rPr>
                <w:noProof/>
                <w:webHidden/>
              </w:rPr>
              <w:fldChar w:fldCharType="begin"/>
            </w:r>
            <w:r>
              <w:rPr>
                <w:noProof/>
                <w:webHidden/>
              </w:rPr>
              <w:instrText xml:space="preserve"> PAGEREF _Toc233733828 \h </w:instrText>
            </w:r>
            <w:r>
              <w:rPr>
                <w:noProof/>
                <w:webHidden/>
              </w:rPr>
            </w:r>
            <w:r>
              <w:rPr>
                <w:noProof/>
                <w:webHidden/>
              </w:rPr>
              <w:fldChar w:fldCharType="separate"/>
            </w:r>
            <w:r>
              <w:rPr>
                <w:noProof/>
                <w:webHidden/>
              </w:rPr>
              <w:t>8</w:t>
            </w:r>
            <w:r>
              <w:rPr>
                <w:noProof/>
                <w:webHidden/>
              </w:rPr>
              <w:fldChar w:fldCharType="end"/>
            </w:r>
          </w:hyperlink>
        </w:p>
        <w:p w14:paraId="0FD5F18A" w14:textId="476751F1" w:rsidR="00484FAA" w:rsidRDefault="00484FAA">
          <w:pPr>
            <w:pStyle w:val="TOC1"/>
            <w:tabs>
              <w:tab w:val="right" w:leader="dot" w:pos="9350"/>
            </w:tabs>
            <w:rPr>
              <w:noProof/>
            </w:rPr>
          </w:pPr>
          <w:hyperlink w:anchor="_Toc233733829" w:history="1">
            <w:r w:rsidRPr="002F256E">
              <w:rPr>
                <w:rStyle w:val="Hyperlink"/>
                <w:noProof/>
              </w:rPr>
              <w:t>8. Data-Aware Conversion, LiveBindings, and Database Migration</w:t>
            </w:r>
            <w:r>
              <w:rPr>
                <w:noProof/>
                <w:webHidden/>
              </w:rPr>
              <w:tab/>
            </w:r>
            <w:r>
              <w:rPr>
                <w:noProof/>
                <w:webHidden/>
              </w:rPr>
              <w:fldChar w:fldCharType="begin"/>
            </w:r>
            <w:r>
              <w:rPr>
                <w:noProof/>
                <w:webHidden/>
              </w:rPr>
              <w:instrText xml:space="preserve"> PAGEREF _Toc233733829 \h </w:instrText>
            </w:r>
            <w:r>
              <w:rPr>
                <w:noProof/>
                <w:webHidden/>
              </w:rPr>
            </w:r>
            <w:r>
              <w:rPr>
                <w:noProof/>
                <w:webHidden/>
              </w:rPr>
              <w:fldChar w:fldCharType="separate"/>
            </w:r>
            <w:r>
              <w:rPr>
                <w:noProof/>
                <w:webHidden/>
              </w:rPr>
              <w:t>9</w:t>
            </w:r>
            <w:r>
              <w:rPr>
                <w:noProof/>
                <w:webHidden/>
              </w:rPr>
              <w:fldChar w:fldCharType="end"/>
            </w:r>
          </w:hyperlink>
        </w:p>
        <w:p w14:paraId="1D9FE312" w14:textId="07ABD44C" w:rsidR="00484FAA" w:rsidRDefault="00484FAA">
          <w:pPr>
            <w:pStyle w:val="TOC1"/>
            <w:tabs>
              <w:tab w:val="right" w:leader="dot" w:pos="9350"/>
            </w:tabs>
            <w:rPr>
              <w:noProof/>
            </w:rPr>
          </w:pPr>
          <w:hyperlink w:anchor="_Toc233733830" w:history="1">
            <w:r w:rsidRPr="002F256E">
              <w:rPr>
                <w:rStyle w:val="Hyperlink"/>
                <w:noProof/>
              </w:rPr>
              <w:t>9. WinAPI, Windows Messages, GDI, Media, and Platform-Specific Behavior</w:t>
            </w:r>
            <w:r>
              <w:rPr>
                <w:noProof/>
                <w:webHidden/>
              </w:rPr>
              <w:tab/>
            </w:r>
            <w:r>
              <w:rPr>
                <w:noProof/>
                <w:webHidden/>
              </w:rPr>
              <w:fldChar w:fldCharType="begin"/>
            </w:r>
            <w:r>
              <w:rPr>
                <w:noProof/>
                <w:webHidden/>
              </w:rPr>
              <w:instrText xml:space="preserve"> PAGEREF _Toc233733830 \h </w:instrText>
            </w:r>
            <w:r>
              <w:rPr>
                <w:noProof/>
                <w:webHidden/>
              </w:rPr>
            </w:r>
            <w:r>
              <w:rPr>
                <w:noProof/>
                <w:webHidden/>
              </w:rPr>
              <w:fldChar w:fldCharType="separate"/>
            </w:r>
            <w:r>
              <w:rPr>
                <w:noProof/>
                <w:webHidden/>
              </w:rPr>
              <w:t>9</w:t>
            </w:r>
            <w:r>
              <w:rPr>
                <w:noProof/>
                <w:webHidden/>
              </w:rPr>
              <w:fldChar w:fldCharType="end"/>
            </w:r>
          </w:hyperlink>
        </w:p>
        <w:p w14:paraId="19D6FC43" w14:textId="115D870D" w:rsidR="00484FAA" w:rsidRDefault="00484FAA">
          <w:pPr>
            <w:pStyle w:val="TOC1"/>
            <w:tabs>
              <w:tab w:val="right" w:leader="dot" w:pos="9350"/>
            </w:tabs>
            <w:rPr>
              <w:noProof/>
            </w:rPr>
          </w:pPr>
          <w:hyperlink w:anchor="_Toc233733831" w:history="1">
            <w:r w:rsidRPr="002F256E">
              <w:rPr>
                <w:rStyle w:val="Hyperlink"/>
                <w:noProof/>
              </w:rPr>
              <w:t>10. Reporting, Dry-Run, Validation, and Regression Discipline</w:t>
            </w:r>
            <w:r>
              <w:rPr>
                <w:noProof/>
                <w:webHidden/>
              </w:rPr>
              <w:tab/>
            </w:r>
            <w:r>
              <w:rPr>
                <w:noProof/>
                <w:webHidden/>
              </w:rPr>
              <w:fldChar w:fldCharType="begin"/>
            </w:r>
            <w:r>
              <w:rPr>
                <w:noProof/>
                <w:webHidden/>
              </w:rPr>
              <w:instrText xml:space="preserve"> PAGEREF _Toc233733831 \h </w:instrText>
            </w:r>
            <w:r>
              <w:rPr>
                <w:noProof/>
                <w:webHidden/>
              </w:rPr>
            </w:r>
            <w:r>
              <w:rPr>
                <w:noProof/>
                <w:webHidden/>
              </w:rPr>
              <w:fldChar w:fldCharType="separate"/>
            </w:r>
            <w:r>
              <w:rPr>
                <w:noProof/>
                <w:webHidden/>
              </w:rPr>
              <w:t>10</w:t>
            </w:r>
            <w:r>
              <w:rPr>
                <w:noProof/>
                <w:webHidden/>
              </w:rPr>
              <w:fldChar w:fldCharType="end"/>
            </w:r>
          </w:hyperlink>
        </w:p>
        <w:p w14:paraId="67985E32" w14:textId="039509AB" w:rsidR="00484FAA" w:rsidRDefault="00484FAA">
          <w:pPr>
            <w:pStyle w:val="TOC1"/>
            <w:tabs>
              <w:tab w:val="right" w:leader="dot" w:pos="9350"/>
            </w:tabs>
            <w:rPr>
              <w:noProof/>
            </w:rPr>
          </w:pPr>
          <w:hyperlink w:anchor="_Toc233733832" w:history="1">
            <w:r w:rsidRPr="002F256E">
              <w:rPr>
                <w:rStyle w:val="Hyperlink"/>
                <w:noProof/>
              </w:rPr>
              <w:t>11. Documentation and User Workflow</w:t>
            </w:r>
            <w:r>
              <w:rPr>
                <w:noProof/>
                <w:webHidden/>
              </w:rPr>
              <w:tab/>
            </w:r>
            <w:r>
              <w:rPr>
                <w:noProof/>
                <w:webHidden/>
              </w:rPr>
              <w:fldChar w:fldCharType="begin"/>
            </w:r>
            <w:r>
              <w:rPr>
                <w:noProof/>
                <w:webHidden/>
              </w:rPr>
              <w:instrText xml:space="preserve"> PAGEREF _Toc233733832 \h </w:instrText>
            </w:r>
            <w:r>
              <w:rPr>
                <w:noProof/>
                <w:webHidden/>
              </w:rPr>
            </w:r>
            <w:r>
              <w:rPr>
                <w:noProof/>
                <w:webHidden/>
              </w:rPr>
              <w:fldChar w:fldCharType="separate"/>
            </w:r>
            <w:r>
              <w:rPr>
                <w:noProof/>
                <w:webHidden/>
              </w:rPr>
              <w:t>11</w:t>
            </w:r>
            <w:r>
              <w:rPr>
                <w:noProof/>
                <w:webHidden/>
              </w:rPr>
              <w:fldChar w:fldCharType="end"/>
            </w:r>
          </w:hyperlink>
        </w:p>
        <w:p w14:paraId="5B62856B" w14:textId="391BDF75" w:rsidR="00484FAA" w:rsidRDefault="00484FAA">
          <w:pPr>
            <w:pStyle w:val="TOC1"/>
            <w:tabs>
              <w:tab w:val="right" w:leader="dot" w:pos="9350"/>
            </w:tabs>
            <w:rPr>
              <w:noProof/>
            </w:rPr>
          </w:pPr>
          <w:hyperlink w:anchor="_Toc233733833" w:history="1">
            <w:r w:rsidRPr="002F256E">
              <w:rPr>
                <w:rStyle w:val="Hyperlink"/>
                <w:noProof/>
              </w:rPr>
              <w:t>12. Risk Profile and Limitations</w:t>
            </w:r>
            <w:r>
              <w:rPr>
                <w:noProof/>
                <w:webHidden/>
              </w:rPr>
              <w:tab/>
            </w:r>
            <w:r>
              <w:rPr>
                <w:noProof/>
                <w:webHidden/>
              </w:rPr>
              <w:fldChar w:fldCharType="begin"/>
            </w:r>
            <w:r>
              <w:rPr>
                <w:noProof/>
                <w:webHidden/>
              </w:rPr>
              <w:instrText xml:space="preserve"> PAGEREF _Toc233733833 \h </w:instrText>
            </w:r>
            <w:r>
              <w:rPr>
                <w:noProof/>
                <w:webHidden/>
              </w:rPr>
            </w:r>
            <w:r>
              <w:rPr>
                <w:noProof/>
                <w:webHidden/>
              </w:rPr>
              <w:fldChar w:fldCharType="separate"/>
            </w:r>
            <w:r>
              <w:rPr>
                <w:noProof/>
                <w:webHidden/>
              </w:rPr>
              <w:t>12</w:t>
            </w:r>
            <w:r>
              <w:rPr>
                <w:noProof/>
                <w:webHidden/>
              </w:rPr>
              <w:fldChar w:fldCharType="end"/>
            </w:r>
          </w:hyperlink>
        </w:p>
        <w:p w14:paraId="6DA5513B" w14:textId="447C63E6" w:rsidR="00484FAA" w:rsidRDefault="00484FAA">
          <w:pPr>
            <w:pStyle w:val="TOC2"/>
            <w:tabs>
              <w:tab w:val="right" w:leader="dot" w:pos="9350"/>
            </w:tabs>
            <w:rPr>
              <w:noProof/>
            </w:rPr>
          </w:pPr>
          <w:hyperlink w:anchor="_Toc233733834" w:history="1">
            <w:r w:rsidRPr="002F256E">
              <w:rPr>
                <w:rStyle w:val="Hyperlink"/>
                <w:noProof/>
              </w:rPr>
              <w:t>VCL2FMXConverter risk profile</w:t>
            </w:r>
            <w:r>
              <w:rPr>
                <w:noProof/>
                <w:webHidden/>
              </w:rPr>
              <w:tab/>
            </w:r>
            <w:r>
              <w:rPr>
                <w:noProof/>
                <w:webHidden/>
              </w:rPr>
              <w:fldChar w:fldCharType="begin"/>
            </w:r>
            <w:r>
              <w:rPr>
                <w:noProof/>
                <w:webHidden/>
              </w:rPr>
              <w:instrText xml:space="preserve"> PAGEREF _Toc233733834 \h </w:instrText>
            </w:r>
            <w:r>
              <w:rPr>
                <w:noProof/>
                <w:webHidden/>
              </w:rPr>
            </w:r>
            <w:r>
              <w:rPr>
                <w:noProof/>
                <w:webHidden/>
              </w:rPr>
              <w:fldChar w:fldCharType="separate"/>
            </w:r>
            <w:r>
              <w:rPr>
                <w:noProof/>
                <w:webHidden/>
              </w:rPr>
              <w:t>12</w:t>
            </w:r>
            <w:r>
              <w:rPr>
                <w:noProof/>
                <w:webHidden/>
              </w:rPr>
              <w:fldChar w:fldCharType="end"/>
            </w:r>
          </w:hyperlink>
        </w:p>
        <w:p w14:paraId="7A2A2BD5" w14:textId="7797AD6E" w:rsidR="00484FAA" w:rsidRDefault="00484FAA">
          <w:pPr>
            <w:pStyle w:val="TOC2"/>
            <w:tabs>
              <w:tab w:val="right" w:leader="dot" w:pos="9350"/>
            </w:tabs>
            <w:rPr>
              <w:noProof/>
            </w:rPr>
          </w:pPr>
          <w:hyperlink w:anchor="_Toc233733835" w:history="1">
            <w:r w:rsidRPr="002F256E">
              <w:rPr>
                <w:rStyle w:val="Hyperlink"/>
                <w:noProof/>
              </w:rPr>
              <w:t>MidaConverter risk profile</w:t>
            </w:r>
            <w:r>
              <w:rPr>
                <w:noProof/>
                <w:webHidden/>
              </w:rPr>
              <w:tab/>
            </w:r>
            <w:r>
              <w:rPr>
                <w:noProof/>
                <w:webHidden/>
              </w:rPr>
              <w:fldChar w:fldCharType="begin"/>
            </w:r>
            <w:r>
              <w:rPr>
                <w:noProof/>
                <w:webHidden/>
              </w:rPr>
              <w:instrText xml:space="preserve"> PAGEREF _Toc233733835 \h </w:instrText>
            </w:r>
            <w:r>
              <w:rPr>
                <w:noProof/>
                <w:webHidden/>
              </w:rPr>
            </w:r>
            <w:r>
              <w:rPr>
                <w:noProof/>
                <w:webHidden/>
              </w:rPr>
              <w:fldChar w:fldCharType="separate"/>
            </w:r>
            <w:r>
              <w:rPr>
                <w:noProof/>
                <w:webHidden/>
              </w:rPr>
              <w:t>12</w:t>
            </w:r>
            <w:r>
              <w:rPr>
                <w:noProof/>
                <w:webHidden/>
              </w:rPr>
              <w:fldChar w:fldCharType="end"/>
            </w:r>
          </w:hyperlink>
        </w:p>
        <w:p w14:paraId="3EE07DB2" w14:textId="49FDF2A0" w:rsidR="00484FAA" w:rsidRDefault="00484FAA">
          <w:pPr>
            <w:pStyle w:val="TOC1"/>
            <w:tabs>
              <w:tab w:val="right" w:leader="dot" w:pos="9350"/>
            </w:tabs>
            <w:rPr>
              <w:noProof/>
            </w:rPr>
          </w:pPr>
          <w:hyperlink w:anchor="_Toc233733836" w:history="1">
            <w:r w:rsidRPr="002F256E">
              <w:rPr>
                <w:rStyle w:val="Hyperlink"/>
                <w:noProof/>
              </w:rPr>
              <w:t>13. Final User-Value Judgment</w:t>
            </w:r>
            <w:r>
              <w:rPr>
                <w:noProof/>
                <w:webHidden/>
              </w:rPr>
              <w:tab/>
            </w:r>
            <w:r>
              <w:rPr>
                <w:noProof/>
                <w:webHidden/>
              </w:rPr>
              <w:fldChar w:fldCharType="begin"/>
            </w:r>
            <w:r>
              <w:rPr>
                <w:noProof/>
                <w:webHidden/>
              </w:rPr>
              <w:instrText xml:space="preserve"> PAGEREF _Toc233733836 \h </w:instrText>
            </w:r>
            <w:r>
              <w:rPr>
                <w:noProof/>
                <w:webHidden/>
              </w:rPr>
            </w:r>
            <w:r>
              <w:rPr>
                <w:noProof/>
                <w:webHidden/>
              </w:rPr>
              <w:fldChar w:fldCharType="separate"/>
            </w:r>
            <w:r>
              <w:rPr>
                <w:noProof/>
                <w:webHidden/>
              </w:rPr>
              <w:t>12</w:t>
            </w:r>
            <w:r>
              <w:rPr>
                <w:noProof/>
                <w:webHidden/>
              </w:rPr>
              <w:fldChar w:fldCharType="end"/>
            </w:r>
          </w:hyperlink>
        </w:p>
        <w:p w14:paraId="4542DE1F" w14:textId="0F50B128" w:rsidR="00484FAA" w:rsidRDefault="00484FAA">
          <w:pPr>
            <w:pStyle w:val="TOC1"/>
            <w:tabs>
              <w:tab w:val="right" w:leader="dot" w:pos="9350"/>
            </w:tabs>
            <w:rPr>
              <w:noProof/>
            </w:rPr>
          </w:pPr>
          <w:hyperlink w:anchor="_Toc233733837" w:history="1">
            <w:r w:rsidRPr="002F256E">
              <w:rPr>
                <w:rStyle w:val="Hyperlink"/>
                <w:noProof/>
              </w:rPr>
              <w:t>14. Appendix A: VCL2FMX v5 Contract Inventory</w:t>
            </w:r>
            <w:r>
              <w:rPr>
                <w:noProof/>
                <w:webHidden/>
              </w:rPr>
              <w:tab/>
            </w:r>
            <w:r>
              <w:rPr>
                <w:noProof/>
                <w:webHidden/>
              </w:rPr>
              <w:fldChar w:fldCharType="begin"/>
            </w:r>
            <w:r>
              <w:rPr>
                <w:noProof/>
                <w:webHidden/>
              </w:rPr>
              <w:instrText xml:space="preserve"> PAGEREF _Toc233733837 \h </w:instrText>
            </w:r>
            <w:r>
              <w:rPr>
                <w:noProof/>
                <w:webHidden/>
              </w:rPr>
            </w:r>
            <w:r>
              <w:rPr>
                <w:noProof/>
                <w:webHidden/>
              </w:rPr>
              <w:fldChar w:fldCharType="separate"/>
            </w:r>
            <w:r>
              <w:rPr>
                <w:noProof/>
                <w:webHidden/>
              </w:rPr>
              <w:t>13</w:t>
            </w:r>
            <w:r>
              <w:rPr>
                <w:noProof/>
                <w:webHidden/>
              </w:rPr>
              <w:fldChar w:fldCharType="end"/>
            </w:r>
          </w:hyperlink>
        </w:p>
        <w:p w14:paraId="3150178A" w14:textId="628A7C05" w:rsidR="00484FAA" w:rsidRDefault="00484FAA">
          <w:pPr>
            <w:pStyle w:val="TOC1"/>
            <w:tabs>
              <w:tab w:val="right" w:leader="dot" w:pos="9350"/>
            </w:tabs>
            <w:rPr>
              <w:noProof/>
            </w:rPr>
          </w:pPr>
          <w:hyperlink w:anchor="_Toc233733838" w:history="1">
            <w:r w:rsidRPr="002F256E">
              <w:rPr>
                <w:rStyle w:val="Hyperlink"/>
                <w:noProof/>
              </w:rPr>
              <w:t>15. Appendix B: Source References</w:t>
            </w:r>
            <w:r>
              <w:rPr>
                <w:noProof/>
                <w:webHidden/>
              </w:rPr>
              <w:tab/>
            </w:r>
            <w:r>
              <w:rPr>
                <w:noProof/>
                <w:webHidden/>
              </w:rPr>
              <w:fldChar w:fldCharType="begin"/>
            </w:r>
            <w:r>
              <w:rPr>
                <w:noProof/>
                <w:webHidden/>
              </w:rPr>
              <w:instrText xml:space="preserve"> PAGEREF _Toc233733838 \h </w:instrText>
            </w:r>
            <w:r>
              <w:rPr>
                <w:noProof/>
                <w:webHidden/>
              </w:rPr>
            </w:r>
            <w:r>
              <w:rPr>
                <w:noProof/>
                <w:webHidden/>
              </w:rPr>
              <w:fldChar w:fldCharType="separate"/>
            </w:r>
            <w:r>
              <w:rPr>
                <w:noProof/>
                <w:webHidden/>
              </w:rPr>
              <w:t>14</w:t>
            </w:r>
            <w:r>
              <w:rPr>
                <w:noProof/>
                <w:webHidden/>
              </w:rPr>
              <w:fldChar w:fldCharType="end"/>
            </w:r>
          </w:hyperlink>
        </w:p>
        <w:p w14:paraId="68A3DF86" w14:textId="1980513E" w:rsidR="00484FAA" w:rsidRDefault="00484FAA">
          <w:pPr>
            <w:pStyle w:val="TOC2"/>
            <w:tabs>
              <w:tab w:val="right" w:leader="dot" w:pos="9350"/>
            </w:tabs>
            <w:rPr>
              <w:noProof/>
            </w:rPr>
          </w:pPr>
          <w:hyperlink w:anchor="_Toc233733839" w:history="1">
            <w:r w:rsidRPr="002F256E">
              <w:rPr>
                <w:rStyle w:val="Hyperlink"/>
                <w:noProof/>
              </w:rPr>
              <w:t>Local VCL2FMXConverter references</w:t>
            </w:r>
            <w:r>
              <w:rPr>
                <w:noProof/>
                <w:webHidden/>
              </w:rPr>
              <w:tab/>
            </w:r>
            <w:r>
              <w:rPr>
                <w:noProof/>
                <w:webHidden/>
              </w:rPr>
              <w:fldChar w:fldCharType="begin"/>
            </w:r>
            <w:r>
              <w:rPr>
                <w:noProof/>
                <w:webHidden/>
              </w:rPr>
              <w:instrText xml:space="preserve"> PAGEREF _Toc233733839 \h </w:instrText>
            </w:r>
            <w:r>
              <w:rPr>
                <w:noProof/>
                <w:webHidden/>
              </w:rPr>
            </w:r>
            <w:r>
              <w:rPr>
                <w:noProof/>
                <w:webHidden/>
              </w:rPr>
              <w:fldChar w:fldCharType="separate"/>
            </w:r>
            <w:r>
              <w:rPr>
                <w:noProof/>
                <w:webHidden/>
              </w:rPr>
              <w:t>14</w:t>
            </w:r>
            <w:r>
              <w:rPr>
                <w:noProof/>
                <w:webHidden/>
              </w:rPr>
              <w:fldChar w:fldCharType="end"/>
            </w:r>
          </w:hyperlink>
        </w:p>
        <w:p w14:paraId="71C30213" w14:textId="66E5E9B0" w:rsidR="00484FAA" w:rsidRDefault="00484FAA">
          <w:pPr>
            <w:pStyle w:val="TOC2"/>
            <w:tabs>
              <w:tab w:val="right" w:leader="dot" w:pos="9350"/>
            </w:tabs>
            <w:rPr>
              <w:noProof/>
            </w:rPr>
          </w:pPr>
          <w:hyperlink w:anchor="_Toc233733840" w:history="1">
            <w:r w:rsidRPr="002F256E">
              <w:rPr>
                <w:rStyle w:val="Hyperlink"/>
                <w:noProof/>
              </w:rPr>
              <w:t>Public MidaConverter references</w:t>
            </w:r>
            <w:r>
              <w:rPr>
                <w:noProof/>
                <w:webHidden/>
              </w:rPr>
              <w:tab/>
            </w:r>
            <w:r>
              <w:rPr>
                <w:noProof/>
                <w:webHidden/>
              </w:rPr>
              <w:fldChar w:fldCharType="begin"/>
            </w:r>
            <w:r>
              <w:rPr>
                <w:noProof/>
                <w:webHidden/>
              </w:rPr>
              <w:instrText xml:space="preserve"> PAGEREF _Toc233733840 \h </w:instrText>
            </w:r>
            <w:r>
              <w:rPr>
                <w:noProof/>
                <w:webHidden/>
              </w:rPr>
            </w:r>
            <w:r>
              <w:rPr>
                <w:noProof/>
                <w:webHidden/>
              </w:rPr>
              <w:fldChar w:fldCharType="separate"/>
            </w:r>
            <w:r>
              <w:rPr>
                <w:noProof/>
                <w:webHidden/>
              </w:rPr>
              <w:t>14</w:t>
            </w:r>
            <w:r>
              <w:rPr>
                <w:noProof/>
                <w:webHidden/>
              </w:rPr>
              <w:fldChar w:fldCharType="end"/>
            </w:r>
          </w:hyperlink>
        </w:p>
        <w:p w14:paraId="61339068" w14:textId="2A7D3D8D" w:rsidR="00484FAA" w:rsidRDefault="00484FAA">
          <w:pPr>
            <w:pStyle w:val="TOC1"/>
            <w:tabs>
              <w:tab w:val="right" w:leader="dot" w:pos="9350"/>
            </w:tabs>
            <w:rPr>
              <w:noProof/>
            </w:rPr>
          </w:pPr>
          <w:hyperlink w:anchor="_Toc233733841" w:history="1">
            <w:r w:rsidRPr="002F256E">
              <w:rPr>
                <w:rStyle w:val="Hyperlink"/>
                <w:noProof/>
              </w:rPr>
              <w:t>16. Appendix C: VCL2FMX v5 Mapping Pack Set</w:t>
            </w:r>
            <w:r>
              <w:rPr>
                <w:noProof/>
                <w:webHidden/>
              </w:rPr>
              <w:tab/>
            </w:r>
            <w:r>
              <w:rPr>
                <w:noProof/>
                <w:webHidden/>
              </w:rPr>
              <w:fldChar w:fldCharType="begin"/>
            </w:r>
            <w:r>
              <w:rPr>
                <w:noProof/>
                <w:webHidden/>
              </w:rPr>
              <w:instrText xml:space="preserve"> PAGEREF _Toc233733841 \h </w:instrText>
            </w:r>
            <w:r>
              <w:rPr>
                <w:noProof/>
                <w:webHidden/>
              </w:rPr>
            </w:r>
            <w:r>
              <w:rPr>
                <w:noProof/>
                <w:webHidden/>
              </w:rPr>
              <w:fldChar w:fldCharType="separate"/>
            </w:r>
            <w:r>
              <w:rPr>
                <w:noProof/>
                <w:webHidden/>
              </w:rPr>
              <w:t>15</w:t>
            </w:r>
            <w:r>
              <w:rPr>
                <w:noProof/>
                <w:webHidden/>
              </w:rPr>
              <w:fldChar w:fldCharType="end"/>
            </w:r>
          </w:hyperlink>
        </w:p>
        <w:p w14:paraId="168658C1" w14:textId="21AF17A0" w:rsidR="00484FAA" w:rsidRDefault="00484FAA">
          <w:r>
            <w:rPr>
              <w:b/>
              <w:bCs/>
              <w:noProof/>
            </w:rPr>
            <w:fldChar w:fldCharType="end"/>
          </w:r>
        </w:p>
      </w:sdtContent>
    </w:sdt>
    <w:p w14:paraId="27DD5E94" w14:textId="77777777" w:rsidR="00BC011E" w:rsidRDefault="004F205A">
      <w:r>
        <w:br w:type="page"/>
      </w:r>
    </w:p>
    <w:p w14:paraId="728221EA" w14:textId="77777777" w:rsidR="00BC011E" w:rsidRDefault="004F205A">
      <w:pPr>
        <w:pStyle w:val="Heading1"/>
      </w:pPr>
      <w:bookmarkStart w:id="0" w:name="_Toc233733816"/>
      <w:r>
        <w:rPr>
          <w:rFonts w:ascii="Calibri" w:hAnsi="Calibri"/>
        </w:rPr>
        <w:lastRenderedPageBreak/>
        <w:t>1. Executive Summary</w:t>
      </w:r>
      <w:bookmarkEnd w:id="0"/>
    </w:p>
    <w:p w14:paraId="055BF929" w14:textId="77777777" w:rsidR="00BC011E" w:rsidRDefault="004F205A">
      <w:r>
        <w:t>This document compares VCL2FMXConverter v5.0 Vanguard with MidaConverter across product scope, licensing, conversion coverage, third-party support, data-aware handling, reporting, quality assurance, extensibility, and practical value to the user. The comparison intentionally separates public product claims from directly inspectable evidence.</w:t>
      </w:r>
    </w:p>
    <w:p w14:paraId="347243C8" w14:textId="77777777" w:rsidR="00BC011E" w:rsidRDefault="004F205A">
      <w:r>
        <w:t>MidaConverter is a long-running commercial conversion product for Delphi and C++Builder developers. Its public material emphasizes broad conversion breadth: VCL to FireMonkey, VCL to IntraWeb, VCL to TMS WEB Core, report conversion, database component conversion, mobile-oriented conversion, third-party component support, StyleBook generation, LiveBindings creation, Mida Pack visual components, and Studio/Studio Plus custom conversion features.</w:t>
      </w:r>
    </w:p>
    <w:p w14:paraId="1E9F17BD" w14:textId="22F5F910" w:rsidR="00BC011E" w:rsidRDefault="004F205A">
      <w:r>
        <w:t xml:space="preserve">VCL2FMXConverter v5.0 Vanguard is a free and open-source Delphi source converter focused on moving VCL projects toward FMX while making conversion behavior visible and testable. Its defining v5 strength is the contract system: </w:t>
      </w:r>
      <w:r w:rsidR="00433ED2">
        <w:t>227</w:t>
      </w:r>
      <w:r w:rsidR="00344484">
        <w:t xml:space="preserve"> executable expectations</w:t>
      </w:r>
      <w:r>
        <w:t xml:space="preserve"> across include analysis, Windows messaging, comments and boundaries, uses clauses, DFM/FMXL fidelity, GDI/Canvas behavior, component/event mapping, data-aware cases, LiveBindings, dry-run preview, reporting, semantic resolution, and third-party mapping behavior.</w:t>
      </w:r>
    </w:p>
    <w:p w14:paraId="585E7D75" w14:textId="77777777" w:rsidR="00BC011E" w:rsidRDefault="004F205A">
      <w:r>
        <w:t>The most important distinction is not simply feature count. MidaConverter appears broader as a commercial product, especially for paid multi-target migration. VCL2FMXConverter v5.0 is more transparent, inspectable, customizable, and repeatably tested. A user can see the converter source, review mapping packs, read expectations, run contract tests, add a failing case, fix the rule, and prove the behavior stays fixed.</w:t>
      </w:r>
    </w:p>
    <w:tbl>
      <w:tblPr>
        <w:tblStyle w:val="TableGrid"/>
        <w:tblW w:w="0" w:type="auto"/>
        <w:jc w:val="center"/>
        <w:tblLayout w:type="fixed"/>
        <w:tblLook w:val="04A0" w:firstRow="1" w:lastRow="0" w:firstColumn="1" w:lastColumn="0" w:noHBand="0" w:noVBand="1"/>
      </w:tblPr>
      <w:tblGrid>
        <w:gridCol w:w="9360"/>
      </w:tblGrid>
      <w:tr w:rsidR="00BC011E" w14:paraId="5E6FE5EE" w14:textId="77777777">
        <w:trPr>
          <w:jc w:val="center"/>
        </w:trPr>
        <w:tc>
          <w:tcPr>
            <w:tcW w:w="9360" w:type="dxa"/>
            <w:shd w:val="clear" w:color="auto" w:fill="E2F0D9"/>
          </w:tcPr>
          <w:p w14:paraId="3BFFDC81" w14:textId="77777777" w:rsidR="00BC011E" w:rsidRDefault="004F205A">
            <w:pPr>
              <w:spacing w:after="80"/>
            </w:pPr>
            <w:r>
              <w:rPr>
                <w:b/>
                <w:color w:val="0B2545"/>
              </w:rPr>
              <w:t>Overall finding</w:t>
            </w:r>
          </w:p>
          <w:p w14:paraId="61BB0306" w14:textId="77777777" w:rsidR="00BC011E" w:rsidRDefault="004F205A">
            <w:pPr>
              <w:spacing w:after="0" w:line="288" w:lineRule="auto"/>
            </w:pPr>
            <w:r>
              <w:t>If the deciding question is broadest advertised commercial migration scope, MidaConverter has the edge. If the deciding question is the most user control, trust, extensibility, zero cost, and evidence-backed conversion behavior, VCL2FMXConverter v5.0 Vanguard provides more durable value to the broad public user base.</w:t>
            </w:r>
          </w:p>
        </w:tc>
      </w:tr>
    </w:tbl>
    <w:p w14:paraId="05D4B2C2" w14:textId="77777777" w:rsidR="00BC011E" w:rsidRDefault="00BC011E">
      <w:pPr>
        <w:spacing w:after="40"/>
      </w:pPr>
    </w:p>
    <w:tbl>
      <w:tblPr>
        <w:tblStyle w:val="TableGrid"/>
        <w:tblW w:w="0" w:type="auto"/>
        <w:jc w:val="center"/>
        <w:tblLayout w:type="fixed"/>
        <w:tblLook w:val="04A0" w:firstRow="1" w:lastRow="0" w:firstColumn="1" w:lastColumn="0" w:noHBand="0" w:noVBand="1"/>
      </w:tblPr>
      <w:tblGrid>
        <w:gridCol w:w="2232"/>
        <w:gridCol w:w="3672"/>
        <w:gridCol w:w="3456"/>
      </w:tblGrid>
      <w:tr w:rsidR="00BC011E" w14:paraId="1EB1B305" w14:textId="77777777">
        <w:trPr>
          <w:jc w:val="center"/>
        </w:trPr>
        <w:tc>
          <w:tcPr>
            <w:tcW w:w="2232" w:type="dxa"/>
            <w:shd w:val="clear" w:color="auto" w:fill="E8EEF5"/>
            <w:vAlign w:val="center"/>
          </w:tcPr>
          <w:p w14:paraId="4BDA610B" w14:textId="77777777" w:rsidR="00BC011E" w:rsidRDefault="004F205A">
            <w:pPr>
              <w:spacing w:after="0" w:line="276" w:lineRule="auto"/>
            </w:pPr>
            <w:r>
              <w:rPr>
                <w:b/>
                <w:color w:val="0B2545"/>
                <w:sz w:val="17"/>
              </w:rPr>
              <w:t>Aspect</w:t>
            </w:r>
          </w:p>
        </w:tc>
        <w:tc>
          <w:tcPr>
            <w:tcW w:w="3672" w:type="dxa"/>
            <w:shd w:val="clear" w:color="auto" w:fill="E8EEF5"/>
            <w:vAlign w:val="center"/>
          </w:tcPr>
          <w:p w14:paraId="13C9AF0D" w14:textId="77777777" w:rsidR="00BC011E" w:rsidRDefault="004F205A">
            <w:pPr>
              <w:spacing w:after="0" w:line="276" w:lineRule="auto"/>
            </w:pPr>
            <w:r>
              <w:rPr>
                <w:b/>
                <w:color w:val="0B2545"/>
                <w:sz w:val="17"/>
              </w:rPr>
              <w:t>VCL2FMXConverter v5.0 Vanguard</w:t>
            </w:r>
          </w:p>
        </w:tc>
        <w:tc>
          <w:tcPr>
            <w:tcW w:w="3456" w:type="dxa"/>
            <w:shd w:val="clear" w:color="auto" w:fill="E8EEF5"/>
            <w:vAlign w:val="center"/>
          </w:tcPr>
          <w:p w14:paraId="3B4D4736" w14:textId="77777777" w:rsidR="00BC011E" w:rsidRDefault="004F205A">
            <w:pPr>
              <w:spacing w:after="0" w:line="276" w:lineRule="auto"/>
            </w:pPr>
            <w:r>
              <w:rPr>
                <w:b/>
                <w:color w:val="0B2545"/>
                <w:sz w:val="17"/>
              </w:rPr>
              <w:t>MidaConverter</w:t>
            </w:r>
          </w:p>
        </w:tc>
      </w:tr>
      <w:tr w:rsidR="00BC011E" w14:paraId="30383CBA" w14:textId="77777777">
        <w:trPr>
          <w:jc w:val="center"/>
        </w:trPr>
        <w:tc>
          <w:tcPr>
            <w:tcW w:w="2232" w:type="dxa"/>
            <w:vAlign w:val="center"/>
          </w:tcPr>
          <w:p w14:paraId="222D7679" w14:textId="77777777" w:rsidR="00BC011E" w:rsidRDefault="004F205A">
            <w:pPr>
              <w:spacing w:after="0" w:line="276" w:lineRule="auto"/>
            </w:pPr>
            <w:r>
              <w:rPr>
                <w:sz w:val="17"/>
              </w:rPr>
              <w:t>Primary strength</w:t>
            </w:r>
          </w:p>
        </w:tc>
        <w:tc>
          <w:tcPr>
            <w:tcW w:w="3672" w:type="dxa"/>
            <w:vAlign w:val="center"/>
          </w:tcPr>
          <w:p w14:paraId="4526C783" w14:textId="77777777" w:rsidR="00BC011E" w:rsidRDefault="004F205A">
            <w:pPr>
              <w:spacing w:after="0" w:line="276" w:lineRule="auto"/>
            </w:pPr>
            <w:r>
              <w:rPr>
                <w:sz w:val="17"/>
              </w:rPr>
              <w:t>Transparent, free, source-owned, contract-driven VCL-to-FMX conversion with strong reporting.</w:t>
            </w:r>
          </w:p>
        </w:tc>
        <w:tc>
          <w:tcPr>
            <w:tcW w:w="3456" w:type="dxa"/>
            <w:vAlign w:val="center"/>
          </w:tcPr>
          <w:p w14:paraId="7BC0D855" w14:textId="77777777" w:rsidR="00BC011E" w:rsidRDefault="004F205A">
            <w:pPr>
              <w:spacing w:after="0" w:line="276" w:lineRule="auto"/>
            </w:pPr>
            <w:r>
              <w:rPr>
                <w:sz w:val="17"/>
              </w:rPr>
              <w:t>Broad commercial migration suite with many advertised targets and paid Studio features.</w:t>
            </w:r>
          </w:p>
        </w:tc>
      </w:tr>
      <w:tr w:rsidR="00BC011E" w14:paraId="681537AE" w14:textId="77777777">
        <w:trPr>
          <w:jc w:val="center"/>
        </w:trPr>
        <w:tc>
          <w:tcPr>
            <w:tcW w:w="2232" w:type="dxa"/>
            <w:vAlign w:val="center"/>
          </w:tcPr>
          <w:p w14:paraId="787E6B2E" w14:textId="77777777" w:rsidR="00BC011E" w:rsidRDefault="004F205A">
            <w:pPr>
              <w:spacing w:after="0" w:line="276" w:lineRule="auto"/>
            </w:pPr>
            <w:r>
              <w:rPr>
                <w:sz w:val="17"/>
              </w:rPr>
              <w:t>Best fit</w:t>
            </w:r>
          </w:p>
        </w:tc>
        <w:tc>
          <w:tcPr>
            <w:tcW w:w="3672" w:type="dxa"/>
            <w:vAlign w:val="center"/>
          </w:tcPr>
          <w:p w14:paraId="24E2CC15" w14:textId="77777777" w:rsidR="00BC011E" w:rsidRDefault="004F205A">
            <w:pPr>
              <w:spacing w:after="0" w:line="276" w:lineRule="auto"/>
            </w:pPr>
            <w:r>
              <w:rPr>
                <w:sz w:val="17"/>
              </w:rPr>
              <w:t>Developers who want open source, auditable rules, repeatable tests, and practical FMX starting points.</w:t>
            </w:r>
          </w:p>
        </w:tc>
        <w:tc>
          <w:tcPr>
            <w:tcW w:w="3456" w:type="dxa"/>
            <w:vAlign w:val="center"/>
          </w:tcPr>
          <w:p w14:paraId="2BBC0B96" w14:textId="77777777" w:rsidR="00BC011E" w:rsidRDefault="004F205A">
            <w:pPr>
              <w:spacing w:after="0" w:line="276" w:lineRule="auto"/>
            </w:pPr>
            <w:r>
              <w:rPr>
                <w:sz w:val="17"/>
              </w:rPr>
              <w:t>Developers who want an established paid tool with broad target coverage and custom conversion options.</w:t>
            </w:r>
          </w:p>
        </w:tc>
      </w:tr>
      <w:tr w:rsidR="00BC011E" w14:paraId="2D8E1AEF" w14:textId="77777777">
        <w:trPr>
          <w:jc w:val="center"/>
        </w:trPr>
        <w:tc>
          <w:tcPr>
            <w:tcW w:w="2232" w:type="dxa"/>
            <w:vAlign w:val="center"/>
          </w:tcPr>
          <w:p w14:paraId="11060546" w14:textId="77777777" w:rsidR="00BC011E" w:rsidRDefault="004F205A">
            <w:pPr>
              <w:spacing w:after="0" w:line="276" w:lineRule="auto"/>
            </w:pPr>
            <w:r>
              <w:rPr>
                <w:sz w:val="17"/>
              </w:rPr>
              <w:t>Quality model</w:t>
            </w:r>
          </w:p>
        </w:tc>
        <w:tc>
          <w:tcPr>
            <w:tcW w:w="3672" w:type="dxa"/>
            <w:vAlign w:val="center"/>
          </w:tcPr>
          <w:p w14:paraId="2F0519F5" w14:textId="00F49669" w:rsidR="00BC011E" w:rsidRDefault="004F205A">
            <w:pPr>
              <w:spacing w:after="0" w:line="276" w:lineRule="auto"/>
            </w:pPr>
            <w:r>
              <w:rPr>
                <w:sz w:val="17"/>
              </w:rPr>
              <w:t xml:space="preserve">Executable contracts and regression guards in the source tree; </w:t>
            </w:r>
            <w:r w:rsidR="00433ED2">
              <w:rPr>
                <w:sz w:val="17"/>
              </w:rPr>
              <w:t>227</w:t>
            </w:r>
            <w:r w:rsidR="00344484">
              <w:rPr>
                <w:sz w:val="17"/>
              </w:rPr>
              <w:t xml:space="preserve"> expected behaviors</w:t>
            </w:r>
            <w:r>
              <w:rPr>
                <w:sz w:val="17"/>
              </w:rPr>
              <w:t>.</w:t>
            </w:r>
          </w:p>
        </w:tc>
        <w:tc>
          <w:tcPr>
            <w:tcW w:w="3456" w:type="dxa"/>
            <w:vAlign w:val="center"/>
          </w:tcPr>
          <w:p w14:paraId="71C1A970" w14:textId="77777777" w:rsidR="00BC011E" w:rsidRDefault="004F205A">
            <w:pPr>
              <w:spacing w:after="0" w:line="276" w:lineRule="auto"/>
            </w:pPr>
            <w:r>
              <w:rPr>
                <w:sz w:val="17"/>
              </w:rPr>
              <w:t>Public pages advertise product capabilities; internal test method is not public.</w:t>
            </w:r>
          </w:p>
        </w:tc>
      </w:tr>
      <w:tr w:rsidR="00BC011E" w14:paraId="0E0249E4" w14:textId="77777777">
        <w:trPr>
          <w:jc w:val="center"/>
        </w:trPr>
        <w:tc>
          <w:tcPr>
            <w:tcW w:w="2232" w:type="dxa"/>
            <w:vAlign w:val="center"/>
          </w:tcPr>
          <w:p w14:paraId="3FAC165F" w14:textId="77777777" w:rsidR="00BC011E" w:rsidRDefault="004F205A">
            <w:pPr>
              <w:spacing w:after="0" w:line="276" w:lineRule="auto"/>
            </w:pPr>
            <w:r>
              <w:rPr>
                <w:sz w:val="17"/>
              </w:rPr>
              <w:t>Extensibility</w:t>
            </w:r>
          </w:p>
        </w:tc>
        <w:tc>
          <w:tcPr>
            <w:tcW w:w="3672" w:type="dxa"/>
            <w:vAlign w:val="center"/>
          </w:tcPr>
          <w:p w14:paraId="47E3024B" w14:textId="77777777" w:rsidR="00BC011E" w:rsidRDefault="004F205A">
            <w:pPr>
              <w:spacing w:after="0" w:line="276" w:lineRule="auto"/>
            </w:pPr>
            <w:r>
              <w:rPr>
                <w:sz w:val="17"/>
              </w:rPr>
              <w:t>JSON mapping packs, visible Pascal source, contract fixtures, and documentation.</w:t>
            </w:r>
          </w:p>
        </w:tc>
        <w:tc>
          <w:tcPr>
            <w:tcW w:w="3456" w:type="dxa"/>
            <w:vAlign w:val="center"/>
          </w:tcPr>
          <w:p w14:paraId="6ADBD188" w14:textId="77777777" w:rsidR="00BC011E" w:rsidRDefault="004F205A">
            <w:pPr>
              <w:spacing w:after="0" w:line="276" w:lineRule="auto"/>
            </w:pPr>
            <w:r>
              <w:rPr>
                <w:sz w:val="17"/>
              </w:rPr>
              <w:t>Custom conversion tables/scripts in Pro/Studio/Studio Plus; converter internals are not public from the reviewed material.</w:t>
            </w:r>
          </w:p>
        </w:tc>
      </w:tr>
      <w:tr w:rsidR="00BC011E" w14:paraId="1DC23FD0" w14:textId="77777777">
        <w:trPr>
          <w:jc w:val="center"/>
        </w:trPr>
        <w:tc>
          <w:tcPr>
            <w:tcW w:w="2232" w:type="dxa"/>
            <w:vAlign w:val="center"/>
          </w:tcPr>
          <w:p w14:paraId="08D9707F" w14:textId="77777777" w:rsidR="00BC011E" w:rsidRDefault="004F205A">
            <w:pPr>
              <w:spacing w:after="0" w:line="276" w:lineRule="auto"/>
            </w:pPr>
            <w:r>
              <w:rPr>
                <w:sz w:val="17"/>
              </w:rPr>
              <w:t>Cost</w:t>
            </w:r>
          </w:p>
        </w:tc>
        <w:tc>
          <w:tcPr>
            <w:tcW w:w="3672" w:type="dxa"/>
            <w:vAlign w:val="center"/>
          </w:tcPr>
          <w:p w14:paraId="18BD6240" w14:textId="77777777" w:rsidR="00BC011E" w:rsidRDefault="004F205A">
            <w:pPr>
              <w:spacing w:after="0" w:line="276" w:lineRule="auto"/>
            </w:pPr>
            <w:r>
              <w:rPr>
                <w:sz w:val="17"/>
              </w:rPr>
              <w:t>Free/open source under Apache 2.0.</w:t>
            </w:r>
          </w:p>
        </w:tc>
        <w:tc>
          <w:tcPr>
            <w:tcW w:w="3456" w:type="dxa"/>
            <w:vAlign w:val="center"/>
          </w:tcPr>
          <w:p w14:paraId="346EE7E0" w14:textId="77777777" w:rsidR="00BC011E" w:rsidRDefault="004F205A">
            <w:pPr>
              <w:spacing w:after="0" w:line="276" w:lineRule="auto"/>
            </w:pPr>
            <w:r>
              <w:rPr>
                <w:sz w:val="17"/>
              </w:rPr>
              <w:t>Commercial tiers: Pro, Studio, Studio Plus, plus support/update terms.</w:t>
            </w:r>
          </w:p>
        </w:tc>
      </w:tr>
    </w:tbl>
    <w:p w14:paraId="4016D452" w14:textId="77777777" w:rsidR="00BC011E" w:rsidRDefault="00BC011E">
      <w:pPr>
        <w:spacing w:after="40"/>
      </w:pPr>
    </w:p>
    <w:p w14:paraId="46DC2BC0" w14:textId="77777777" w:rsidR="00BC011E" w:rsidRDefault="004F205A">
      <w:pPr>
        <w:pStyle w:val="Heading1"/>
      </w:pPr>
      <w:bookmarkStart w:id="1" w:name="_Toc233733817"/>
      <w:r>
        <w:rPr>
          <w:rFonts w:ascii="Calibri" w:hAnsi="Calibri"/>
        </w:rPr>
        <w:t>2. Method and Evidence Quality</w:t>
      </w:r>
      <w:bookmarkEnd w:id="1"/>
    </w:p>
    <w:p w14:paraId="0787360D" w14:textId="77777777" w:rsidR="00BC011E" w:rsidRDefault="004F205A">
      <w:r>
        <w:t>The VCL2FMX side of this analysis is based on direct local evidence: the v5 source tree, the v5 user guide, engineering guide, conversion contracts guide, contract README, contract manifest, mapping-pack directory, source-distribution history, and recent compile/contract/regression status. That means the analysis can speak not only to advertised capabilities but to how the converter is structured and verified.</w:t>
      </w:r>
    </w:p>
    <w:p w14:paraId="69314745" w14:textId="77777777" w:rsidR="00BC011E" w:rsidRDefault="004F205A">
      <w:r>
        <w:t>The MidaConverter side is based on public pages available from midaconverter.com and a public Embarcadero blog reference. I did not run MidaConverter locally, inspect its source, or execute a test conversion. Therefore, statements about Mida are product-reference statements rather than direct independent test results.</w:t>
      </w:r>
    </w:p>
    <w:p w14:paraId="228804E6" w14:textId="77777777" w:rsidR="00BC011E" w:rsidRDefault="004F205A">
      <w:r>
        <w:t>This distinction matters. A commercial converter can be very capable without exposing its rule set. However, for engineering trust, the ability to inspect tests, read conversion rules, add contracts, and reproduce results is itself a major user-facing feature.</w:t>
      </w:r>
    </w:p>
    <w:tbl>
      <w:tblPr>
        <w:tblStyle w:val="TableGrid"/>
        <w:tblW w:w="0" w:type="auto"/>
        <w:jc w:val="center"/>
        <w:tblLayout w:type="fixed"/>
        <w:tblLook w:val="04A0" w:firstRow="1" w:lastRow="0" w:firstColumn="1" w:lastColumn="0" w:noHBand="0" w:noVBand="1"/>
      </w:tblPr>
      <w:tblGrid>
        <w:gridCol w:w="2304"/>
        <w:gridCol w:w="3528"/>
        <w:gridCol w:w="3528"/>
      </w:tblGrid>
      <w:tr w:rsidR="00BC011E" w14:paraId="54184363" w14:textId="77777777">
        <w:trPr>
          <w:jc w:val="center"/>
        </w:trPr>
        <w:tc>
          <w:tcPr>
            <w:tcW w:w="2304" w:type="dxa"/>
            <w:shd w:val="clear" w:color="auto" w:fill="E8EEF5"/>
            <w:vAlign w:val="center"/>
          </w:tcPr>
          <w:p w14:paraId="5730B56F" w14:textId="77777777" w:rsidR="00BC011E" w:rsidRDefault="004F205A">
            <w:pPr>
              <w:spacing w:after="0" w:line="276" w:lineRule="auto"/>
            </w:pPr>
            <w:r>
              <w:rPr>
                <w:b/>
                <w:color w:val="0B2545"/>
                <w:sz w:val="17"/>
              </w:rPr>
              <w:t>Evidence category</w:t>
            </w:r>
          </w:p>
        </w:tc>
        <w:tc>
          <w:tcPr>
            <w:tcW w:w="3528" w:type="dxa"/>
            <w:shd w:val="clear" w:color="auto" w:fill="E8EEF5"/>
            <w:vAlign w:val="center"/>
          </w:tcPr>
          <w:p w14:paraId="02AD40EA" w14:textId="77777777" w:rsidR="00BC011E" w:rsidRDefault="004F205A">
            <w:pPr>
              <w:spacing w:after="0" w:line="276" w:lineRule="auto"/>
            </w:pPr>
            <w:r>
              <w:rPr>
                <w:b/>
                <w:color w:val="0B2545"/>
                <w:sz w:val="17"/>
              </w:rPr>
              <w:t>VCL2FMXConverter</w:t>
            </w:r>
          </w:p>
        </w:tc>
        <w:tc>
          <w:tcPr>
            <w:tcW w:w="3528" w:type="dxa"/>
            <w:shd w:val="clear" w:color="auto" w:fill="E8EEF5"/>
            <w:vAlign w:val="center"/>
          </w:tcPr>
          <w:p w14:paraId="4B9FFF77" w14:textId="77777777" w:rsidR="00BC011E" w:rsidRDefault="004F205A">
            <w:pPr>
              <w:spacing w:after="0" w:line="276" w:lineRule="auto"/>
            </w:pPr>
            <w:r>
              <w:rPr>
                <w:b/>
                <w:color w:val="0B2545"/>
                <w:sz w:val="17"/>
              </w:rPr>
              <w:t>MidaConverter</w:t>
            </w:r>
          </w:p>
        </w:tc>
      </w:tr>
      <w:tr w:rsidR="00BC011E" w14:paraId="6DD3D764" w14:textId="77777777">
        <w:trPr>
          <w:jc w:val="center"/>
        </w:trPr>
        <w:tc>
          <w:tcPr>
            <w:tcW w:w="2304" w:type="dxa"/>
            <w:vAlign w:val="center"/>
          </w:tcPr>
          <w:p w14:paraId="41DDFE90" w14:textId="77777777" w:rsidR="00BC011E" w:rsidRDefault="004F205A">
            <w:pPr>
              <w:spacing w:after="0" w:line="276" w:lineRule="auto"/>
            </w:pPr>
            <w:r>
              <w:rPr>
                <w:sz w:val="17"/>
              </w:rPr>
              <w:t>Source code</w:t>
            </w:r>
          </w:p>
        </w:tc>
        <w:tc>
          <w:tcPr>
            <w:tcW w:w="3528" w:type="dxa"/>
            <w:vAlign w:val="center"/>
          </w:tcPr>
          <w:p w14:paraId="7C7BACBB" w14:textId="77777777" w:rsidR="00BC011E" w:rsidRDefault="004F205A">
            <w:pPr>
              <w:spacing w:after="0" w:line="276" w:lineRule="auto"/>
            </w:pPr>
            <w:r>
              <w:rPr>
                <w:sz w:val="17"/>
              </w:rPr>
              <w:t>Directly available in the workspace and source distribution.</w:t>
            </w:r>
          </w:p>
        </w:tc>
        <w:tc>
          <w:tcPr>
            <w:tcW w:w="3528" w:type="dxa"/>
            <w:vAlign w:val="center"/>
          </w:tcPr>
          <w:p w14:paraId="2F9E7AA5" w14:textId="77777777" w:rsidR="00BC011E" w:rsidRDefault="004F205A">
            <w:pPr>
              <w:spacing w:after="0" w:line="276" w:lineRule="auto"/>
            </w:pPr>
            <w:r>
              <w:rPr>
                <w:sz w:val="17"/>
              </w:rPr>
              <w:t>Not available in reviewed public material, except Mida Pack source is listed for Studio tiers.</w:t>
            </w:r>
          </w:p>
        </w:tc>
      </w:tr>
      <w:tr w:rsidR="00BC011E" w14:paraId="4CB48BC9" w14:textId="77777777">
        <w:trPr>
          <w:jc w:val="center"/>
        </w:trPr>
        <w:tc>
          <w:tcPr>
            <w:tcW w:w="2304" w:type="dxa"/>
            <w:vAlign w:val="center"/>
          </w:tcPr>
          <w:p w14:paraId="72FB1428" w14:textId="77777777" w:rsidR="00BC011E" w:rsidRDefault="004F205A">
            <w:pPr>
              <w:spacing w:after="0" w:line="276" w:lineRule="auto"/>
            </w:pPr>
            <w:r>
              <w:rPr>
                <w:sz w:val="17"/>
              </w:rPr>
              <w:t>Docs</w:t>
            </w:r>
          </w:p>
        </w:tc>
        <w:tc>
          <w:tcPr>
            <w:tcW w:w="3528" w:type="dxa"/>
            <w:vAlign w:val="center"/>
          </w:tcPr>
          <w:p w14:paraId="2541340D" w14:textId="77777777" w:rsidR="00BC011E" w:rsidRDefault="004F205A">
            <w:pPr>
              <w:spacing w:after="0" w:line="276" w:lineRule="auto"/>
            </w:pPr>
            <w:r>
              <w:rPr>
                <w:sz w:val="17"/>
              </w:rPr>
              <w:t>Local v5 user, engineering, contracts, rules/maps, runtime-flow, help content.</w:t>
            </w:r>
          </w:p>
        </w:tc>
        <w:tc>
          <w:tcPr>
            <w:tcW w:w="3528" w:type="dxa"/>
            <w:vAlign w:val="center"/>
          </w:tcPr>
          <w:p w14:paraId="51769164" w14:textId="77777777" w:rsidR="00BC011E" w:rsidRDefault="004F205A">
            <w:pPr>
              <w:spacing w:after="0" w:line="276" w:lineRule="auto"/>
            </w:pPr>
            <w:r>
              <w:rPr>
                <w:sz w:val="17"/>
              </w:rPr>
              <w:t>Public web pages, FAQ, feature pages, and order page.</w:t>
            </w:r>
          </w:p>
        </w:tc>
      </w:tr>
      <w:tr w:rsidR="00BC011E" w14:paraId="5D9A713C" w14:textId="77777777">
        <w:trPr>
          <w:jc w:val="center"/>
        </w:trPr>
        <w:tc>
          <w:tcPr>
            <w:tcW w:w="2304" w:type="dxa"/>
            <w:vAlign w:val="center"/>
          </w:tcPr>
          <w:p w14:paraId="45636B6C" w14:textId="77777777" w:rsidR="00BC011E" w:rsidRDefault="004F205A">
            <w:pPr>
              <w:spacing w:after="0" w:line="276" w:lineRule="auto"/>
            </w:pPr>
            <w:r>
              <w:rPr>
                <w:sz w:val="17"/>
              </w:rPr>
              <w:t>Test evidence</w:t>
            </w:r>
          </w:p>
        </w:tc>
        <w:tc>
          <w:tcPr>
            <w:tcW w:w="3528" w:type="dxa"/>
            <w:vAlign w:val="center"/>
          </w:tcPr>
          <w:p w14:paraId="121CDA11" w14:textId="6AFF8FD2" w:rsidR="00BC011E" w:rsidRDefault="00433ED2">
            <w:pPr>
              <w:spacing w:after="0" w:line="276" w:lineRule="auto"/>
            </w:pPr>
            <w:r>
              <w:rPr>
                <w:sz w:val="17"/>
              </w:rPr>
              <w:t>227</w:t>
            </w:r>
            <w:r w:rsidR="00344484">
              <w:rPr>
                <w:sz w:val="17"/>
              </w:rPr>
              <w:t xml:space="preserve"> executable contracts</w:t>
            </w:r>
            <w:r w:rsidR="004F205A">
              <w:rPr>
                <w:sz w:val="17"/>
              </w:rPr>
              <w:t>, regression guards, compile checks reported locally.</w:t>
            </w:r>
          </w:p>
        </w:tc>
        <w:tc>
          <w:tcPr>
            <w:tcW w:w="3528" w:type="dxa"/>
            <w:vAlign w:val="center"/>
          </w:tcPr>
          <w:p w14:paraId="77E66AC1" w14:textId="77777777" w:rsidR="00BC011E" w:rsidRDefault="004F205A">
            <w:pPr>
              <w:spacing w:after="0" w:line="276" w:lineRule="auto"/>
            </w:pPr>
            <w:r>
              <w:rPr>
                <w:sz w:val="17"/>
              </w:rPr>
              <w:t>Public capability statements; internal testing not visible.</w:t>
            </w:r>
          </w:p>
        </w:tc>
      </w:tr>
      <w:tr w:rsidR="00BC011E" w14:paraId="418465A0" w14:textId="77777777">
        <w:trPr>
          <w:jc w:val="center"/>
        </w:trPr>
        <w:tc>
          <w:tcPr>
            <w:tcW w:w="2304" w:type="dxa"/>
            <w:vAlign w:val="center"/>
          </w:tcPr>
          <w:p w14:paraId="08F70635" w14:textId="77777777" w:rsidR="00BC011E" w:rsidRDefault="004F205A">
            <w:pPr>
              <w:spacing w:after="0" w:line="276" w:lineRule="auto"/>
            </w:pPr>
            <w:r>
              <w:rPr>
                <w:sz w:val="17"/>
              </w:rPr>
              <w:t>Feature verification</w:t>
            </w:r>
          </w:p>
        </w:tc>
        <w:tc>
          <w:tcPr>
            <w:tcW w:w="3528" w:type="dxa"/>
            <w:vAlign w:val="center"/>
          </w:tcPr>
          <w:p w14:paraId="07B5D8F4" w14:textId="77777777" w:rsidR="00BC011E" w:rsidRDefault="004F205A">
            <w:pPr>
              <w:spacing w:after="0" w:line="276" w:lineRule="auto"/>
            </w:pPr>
            <w:r>
              <w:rPr>
                <w:sz w:val="17"/>
              </w:rPr>
              <w:t>Rules can be confirmed through contracts and generated outputs.</w:t>
            </w:r>
          </w:p>
        </w:tc>
        <w:tc>
          <w:tcPr>
            <w:tcW w:w="3528" w:type="dxa"/>
            <w:vAlign w:val="center"/>
          </w:tcPr>
          <w:p w14:paraId="6650B6DF" w14:textId="77777777" w:rsidR="00BC011E" w:rsidRDefault="004F205A">
            <w:pPr>
              <w:spacing w:after="0" w:line="276" w:lineRule="auto"/>
            </w:pPr>
            <w:r>
              <w:rPr>
                <w:sz w:val="17"/>
              </w:rPr>
              <w:t>Features can be described from public pages but not independently confirmed in this review.</w:t>
            </w:r>
          </w:p>
        </w:tc>
      </w:tr>
    </w:tbl>
    <w:p w14:paraId="0F3B7216" w14:textId="77777777" w:rsidR="00BC011E" w:rsidRDefault="00BC011E">
      <w:pPr>
        <w:spacing w:after="40"/>
      </w:pPr>
    </w:p>
    <w:p w14:paraId="769469FD" w14:textId="77777777" w:rsidR="00BC011E" w:rsidRDefault="004F205A">
      <w:pPr>
        <w:pStyle w:val="Heading1"/>
      </w:pPr>
      <w:bookmarkStart w:id="2" w:name="_Toc233733818"/>
      <w:r>
        <w:rPr>
          <w:rFonts w:ascii="Calibri" w:hAnsi="Calibri"/>
        </w:rPr>
        <w:t>3. Product Positioning and Audience</w:t>
      </w:r>
      <w:bookmarkEnd w:id="2"/>
    </w:p>
    <w:p w14:paraId="36B3115C" w14:textId="77777777" w:rsidR="00BC011E" w:rsidRDefault="004F205A">
      <w:pPr>
        <w:pStyle w:val="Heading2"/>
      </w:pPr>
      <w:bookmarkStart w:id="3" w:name="_Toc233733819"/>
      <w:r>
        <w:rPr>
          <w:rFonts w:ascii="Calibri" w:hAnsi="Calibri"/>
        </w:rPr>
        <w:t>VCL2FMXConverter v5.0 Vanguard</w:t>
      </w:r>
      <w:bookmarkEnd w:id="3"/>
    </w:p>
    <w:p w14:paraId="0EADD968" w14:textId="77777777" w:rsidR="00BC011E" w:rsidRDefault="004F205A">
      <w:r>
        <w:t>VCL2FMXConverter is positioned as a practical migration assistant, not a magic one-click replacement for human modernization. It is designed to convert common Delphi VCL forms, components, properties, events, project structures, DFM/FMXL output, uses clauses, and Pascal code patterns into an FMX starting point. It also tells the user where manual work remains.</w:t>
      </w:r>
    </w:p>
    <w:p w14:paraId="3E7A1C3C" w14:textId="77777777" w:rsidR="00BC011E" w:rsidRDefault="004F205A">
      <w:r>
        <w:t>The v5 Vanguard line moves the product from a rule-based converter into a contract-driven engineering baseline. The user benefit is confidence: difficult cases are no longer merely remembered by the maintainer; they become executable expectations. If a bug is found, the expected behavior can be captured and guarded.</w:t>
      </w:r>
    </w:p>
    <w:p w14:paraId="6D99FF23" w14:textId="77777777" w:rsidR="00BC011E" w:rsidRDefault="004F205A">
      <w:r>
        <w:t>The audience is Delphi developers, project maintainers, technical operators, and project owners who need a free, inspectable, and modifiable path from VCL toward FMX. It is especially useful for users who need to audit what the converter does, explain report findings, add mapping support, and keep conversion behavior stable as the tool evolves.</w:t>
      </w:r>
    </w:p>
    <w:p w14:paraId="47DDDDA5" w14:textId="77777777" w:rsidR="00BC011E" w:rsidRDefault="004F205A">
      <w:pPr>
        <w:pStyle w:val="Heading2"/>
      </w:pPr>
      <w:bookmarkStart w:id="4" w:name="_Toc233733820"/>
      <w:r>
        <w:rPr>
          <w:rFonts w:ascii="Calibri" w:hAnsi="Calibri"/>
        </w:rPr>
        <w:t>MidaConverter</w:t>
      </w:r>
      <w:bookmarkEnd w:id="4"/>
    </w:p>
    <w:p w14:paraId="258CED91" w14:textId="6463F4B8" w:rsidR="00BC011E" w:rsidRDefault="004F205A">
      <w:r>
        <w:t>MidaConverter is positioned as a commercial refactoring and migration product for Delphi and C++Builder developers. Its public home page presents it as a tool that can refactor projects, update old source to newer multi-platform frameworks, convert databases, and reduce code conversion cost.</w:t>
      </w:r>
    </w:p>
    <w:p w14:paraId="2A82995C" w14:textId="77777777" w:rsidR="00BC011E" w:rsidRDefault="004F205A">
      <w:r>
        <w:t>Mida's public material emphasizes broad scope. It advertises VCL-to-FireMonkey conversion, support for more than 200 components, updates to Pascal/C++/DPR files, data module support, third-party components, StyleBook generation, LiveBindings, report conversion, database conversion, VCL-to-IntraWeb, VCL-to-TMS WEB Core, and mobile-related conversion features in higher tiers.</w:t>
      </w:r>
    </w:p>
    <w:p w14:paraId="6F423569" w14:textId="77777777" w:rsidR="00BC011E" w:rsidRDefault="004F205A">
      <w:r>
        <w:t>The audience is Delphi and C++Builder developers who are willing to buy a commercial tool, accept the vendor's product model, and benefit from a larger advertised migration surface. Its Studio and Studio Plus tiers appear aimed at users needing custom conversion, script-based conversion, multiple target frameworks, and broader migration automation.</w:t>
      </w:r>
    </w:p>
    <w:tbl>
      <w:tblPr>
        <w:tblStyle w:val="TableGrid"/>
        <w:tblW w:w="0" w:type="auto"/>
        <w:jc w:val="center"/>
        <w:tblLayout w:type="fixed"/>
        <w:tblLook w:val="04A0" w:firstRow="1" w:lastRow="0" w:firstColumn="1" w:lastColumn="0" w:noHBand="0" w:noVBand="1"/>
      </w:tblPr>
      <w:tblGrid>
        <w:gridCol w:w="2232"/>
        <w:gridCol w:w="3672"/>
        <w:gridCol w:w="3456"/>
      </w:tblGrid>
      <w:tr w:rsidR="00BC011E" w14:paraId="10073A87" w14:textId="77777777">
        <w:trPr>
          <w:jc w:val="center"/>
        </w:trPr>
        <w:tc>
          <w:tcPr>
            <w:tcW w:w="2232" w:type="dxa"/>
            <w:shd w:val="clear" w:color="auto" w:fill="E8EEF5"/>
            <w:vAlign w:val="center"/>
          </w:tcPr>
          <w:p w14:paraId="5A07F8ED" w14:textId="77777777" w:rsidR="00BC011E" w:rsidRDefault="004F205A">
            <w:pPr>
              <w:spacing w:after="0" w:line="276" w:lineRule="auto"/>
            </w:pPr>
            <w:r>
              <w:rPr>
                <w:b/>
                <w:color w:val="0B2545"/>
                <w:sz w:val="17"/>
              </w:rPr>
              <w:t>Positioning area</w:t>
            </w:r>
          </w:p>
        </w:tc>
        <w:tc>
          <w:tcPr>
            <w:tcW w:w="3672" w:type="dxa"/>
            <w:shd w:val="clear" w:color="auto" w:fill="E8EEF5"/>
            <w:vAlign w:val="center"/>
          </w:tcPr>
          <w:p w14:paraId="7EE578A1" w14:textId="77777777" w:rsidR="00BC011E" w:rsidRDefault="004F205A">
            <w:pPr>
              <w:spacing w:after="0" w:line="276" w:lineRule="auto"/>
            </w:pPr>
            <w:r>
              <w:rPr>
                <w:b/>
                <w:color w:val="0B2545"/>
                <w:sz w:val="17"/>
              </w:rPr>
              <w:t>VCL2FMXConverter</w:t>
            </w:r>
          </w:p>
        </w:tc>
        <w:tc>
          <w:tcPr>
            <w:tcW w:w="3456" w:type="dxa"/>
            <w:shd w:val="clear" w:color="auto" w:fill="E8EEF5"/>
            <w:vAlign w:val="center"/>
          </w:tcPr>
          <w:p w14:paraId="4451C534" w14:textId="77777777" w:rsidR="00BC011E" w:rsidRDefault="004F205A">
            <w:pPr>
              <w:spacing w:after="0" w:line="276" w:lineRule="auto"/>
            </w:pPr>
            <w:r>
              <w:rPr>
                <w:b/>
                <w:color w:val="0B2545"/>
                <w:sz w:val="17"/>
              </w:rPr>
              <w:t>MidaConverter</w:t>
            </w:r>
          </w:p>
        </w:tc>
      </w:tr>
      <w:tr w:rsidR="00BC011E" w14:paraId="61EB4F5B" w14:textId="77777777">
        <w:trPr>
          <w:jc w:val="center"/>
        </w:trPr>
        <w:tc>
          <w:tcPr>
            <w:tcW w:w="2232" w:type="dxa"/>
            <w:vAlign w:val="center"/>
          </w:tcPr>
          <w:p w14:paraId="005D1055" w14:textId="77777777" w:rsidR="00BC011E" w:rsidRDefault="004F205A">
            <w:pPr>
              <w:spacing w:after="0" w:line="276" w:lineRule="auto"/>
            </w:pPr>
            <w:r>
              <w:rPr>
                <w:sz w:val="17"/>
              </w:rPr>
              <w:t>Core identity</w:t>
            </w:r>
          </w:p>
        </w:tc>
        <w:tc>
          <w:tcPr>
            <w:tcW w:w="3672" w:type="dxa"/>
            <w:vAlign w:val="center"/>
          </w:tcPr>
          <w:p w14:paraId="0D4844B4" w14:textId="77777777" w:rsidR="00BC011E" w:rsidRDefault="004F205A">
            <w:pPr>
              <w:spacing w:after="0" w:line="276" w:lineRule="auto"/>
            </w:pPr>
            <w:r>
              <w:rPr>
                <w:sz w:val="17"/>
              </w:rPr>
              <w:t>Open-source VCL-to-FMX converter with auditable rules and contracts.</w:t>
            </w:r>
          </w:p>
        </w:tc>
        <w:tc>
          <w:tcPr>
            <w:tcW w:w="3456" w:type="dxa"/>
            <w:vAlign w:val="center"/>
          </w:tcPr>
          <w:p w14:paraId="28806D3C" w14:textId="77777777" w:rsidR="00BC011E" w:rsidRDefault="004F205A">
            <w:pPr>
              <w:spacing w:after="0" w:line="276" w:lineRule="auto"/>
            </w:pPr>
            <w:r>
              <w:rPr>
                <w:sz w:val="17"/>
              </w:rPr>
              <w:t>Commercial Delphi/C++Builder conversion product with broad migration targets.</w:t>
            </w:r>
          </w:p>
        </w:tc>
      </w:tr>
      <w:tr w:rsidR="00BC011E" w14:paraId="217FF511" w14:textId="77777777">
        <w:trPr>
          <w:jc w:val="center"/>
        </w:trPr>
        <w:tc>
          <w:tcPr>
            <w:tcW w:w="2232" w:type="dxa"/>
            <w:vAlign w:val="center"/>
          </w:tcPr>
          <w:p w14:paraId="1B504C56" w14:textId="77777777" w:rsidR="00BC011E" w:rsidRDefault="004F205A">
            <w:pPr>
              <w:spacing w:after="0" w:line="276" w:lineRule="auto"/>
            </w:pPr>
            <w:r>
              <w:rPr>
                <w:sz w:val="17"/>
              </w:rPr>
              <w:t>Conversion philosophy</w:t>
            </w:r>
          </w:p>
        </w:tc>
        <w:tc>
          <w:tcPr>
            <w:tcW w:w="3672" w:type="dxa"/>
            <w:vAlign w:val="center"/>
          </w:tcPr>
          <w:p w14:paraId="728D3B2F" w14:textId="77777777" w:rsidR="00BC011E" w:rsidRDefault="004F205A">
            <w:pPr>
              <w:spacing w:after="0" w:line="276" w:lineRule="auto"/>
            </w:pPr>
            <w:r>
              <w:rPr>
                <w:sz w:val="17"/>
              </w:rPr>
              <w:t>Produce a strong FMX starting point, report unsafe areas, preserve user control.</w:t>
            </w:r>
          </w:p>
        </w:tc>
        <w:tc>
          <w:tcPr>
            <w:tcW w:w="3456" w:type="dxa"/>
            <w:vAlign w:val="center"/>
          </w:tcPr>
          <w:p w14:paraId="2F245FE7" w14:textId="77777777" w:rsidR="00BC011E" w:rsidRDefault="004F205A">
            <w:pPr>
              <w:spacing w:after="0" w:line="276" w:lineRule="auto"/>
            </w:pPr>
            <w:r>
              <w:rPr>
                <w:sz w:val="17"/>
              </w:rPr>
              <w:t>Reduce manual migration effort, automate broad conversion families where possible.</w:t>
            </w:r>
          </w:p>
        </w:tc>
      </w:tr>
      <w:tr w:rsidR="00BC011E" w14:paraId="69342509" w14:textId="77777777">
        <w:trPr>
          <w:jc w:val="center"/>
        </w:trPr>
        <w:tc>
          <w:tcPr>
            <w:tcW w:w="2232" w:type="dxa"/>
            <w:vAlign w:val="center"/>
          </w:tcPr>
          <w:p w14:paraId="44E93FFA" w14:textId="77777777" w:rsidR="00BC011E" w:rsidRDefault="004F205A">
            <w:pPr>
              <w:spacing w:after="0" w:line="276" w:lineRule="auto"/>
            </w:pPr>
            <w:r>
              <w:rPr>
                <w:sz w:val="17"/>
              </w:rPr>
              <w:t>Primary promise</w:t>
            </w:r>
          </w:p>
        </w:tc>
        <w:tc>
          <w:tcPr>
            <w:tcW w:w="3672" w:type="dxa"/>
            <w:vAlign w:val="center"/>
          </w:tcPr>
          <w:p w14:paraId="43483981" w14:textId="77777777" w:rsidR="00BC011E" w:rsidRDefault="004F205A">
            <w:pPr>
              <w:spacing w:after="0" w:line="276" w:lineRule="auto"/>
            </w:pPr>
            <w:r>
              <w:rPr>
                <w:sz w:val="17"/>
              </w:rPr>
              <w:t>Transparent and repeatable conversion behavior.</w:t>
            </w:r>
          </w:p>
        </w:tc>
        <w:tc>
          <w:tcPr>
            <w:tcW w:w="3456" w:type="dxa"/>
            <w:vAlign w:val="center"/>
          </w:tcPr>
          <w:p w14:paraId="44D2E1FB" w14:textId="77777777" w:rsidR="00BC011E" w:rsidRDefault="004F205A">
            <w:pPr>
              <w:spacing w:after="0" w:line="276" w:lineRule="auto"/>
            </w:pPr>
            <w:r>
              <w:rPr>
                <w:sz w:val="17"/>
              </w:rPr>
              <w:t>Broad conversion capability and productivity savings.</w:t>
            </w:r>
          </w:p>
        </w:tc>
      </w:tr>
      <w:tr w:rsidR="00BC011E" w14:paraId="6AF8EFCB" w14:textId="77777777">
        <w:trPr>
          <w:jc w:val="center"/>
        </w:trPr>
        <w:tc>
          <w:tcPr>
            <w:tcW w:w="2232" w:type="dxa"/>
            <w:vAlign w:val="center"/>
          </w:tcPr>
          <w:p w14:paraId="107DB5B8" w14:textId="77777777" w:rsidR="00BC011E" w:rsidRDefault="004F205A">
            <w:pPr>
              <w:spacing w:after="0" w:line="276" w:lineRule="auto"/>
            </w:pPr>
            <w:r>
              <w:rPr>
                <w:sz w:val="17"/>
              </w:rPr>
              <w:t>User control</w:t>
            </w:r>
          </w:p>
        </w:tc>
        <w:tc>
          <w:tcPr>
            <w:tcW w:w="3672" w:type="dxa"/>
            <w:vAlign w:val="center"/>
          </w:tcPr>
          <w:p w14:paraId="41B11974" w14:textId="77777777" w:rsidR="00BC011E" w:rsidRDefault="004F205A">
            <w:pPr>
              <w:spacing w:after="0" w:line="276" w:lineRule="auto"/>
            </w:pPr>
            <w:r>
              <w:rPr>
                <w:sz w:val="17"/>
              </w:rPr>
              <w:t>High: source, JSON mappings, contracts, docs.</w:t>
            </w:r>
          </w:p>
        </w:tc>
        <w:tc>
          <w:tcPr>
            <w:tcW w:w="3456" w:type="dxa"/>
            <w:vAlign w:val="center"/>
          </w:tcPr>
          <w:p w14:paraId="422A472A" w14:textId="77777777" w:rsidR="00BC011E" w:rsidRDefault="004F205A">
            <w:pPr>
              <w:spacing w:after="0" w:line="276" w:lineRule="auto"/>
            </w:pPr>
            <w:r>
              <w:rPr>
                <w:sz w:val="17"/>
              </w:rPr>
              <w:t>Medium to high through product settings, scripts, and custom conversion tables, depending on tier.</w:t>
            </w:r>
          </w:p>
        </w:tc>
      </w:tr>
    </w:tbl>
    <w:p w14:paraId="6B144145" w14:textId="77777777" w:rsidR="00BC011E" w:rsidRDefault="00BC011E">
      <w:pPr>
        <w:spacing w:after="40"/>
      </w:pPr>
    </w:p>
    <w:p w14:paraId="0318DE18" w14:textId="77777777" w:rsidR="00BC011E" w:rsidRDefault="004F205A">
      <w:pPr>
        <w:pStyle w:val="Heading1"/>
      </w:pPr>
      <w:bookmarkStart w:id="5" w:name="_Toc233733821"/>
      <w:r>
        <w:rPr>
          <w:rFonts w:ascii="Calibri" w:hAnsi="Calibri"/>
        </w:rPr>
        <w:t>4. Licensing, Cost, and Ownership</w:t>
      </w:r>
      <w:bookmarkEnd w:id="5"/>
    </w:p>
    <w:p w14:paraId="6C0CF317" w14:textId="77777777" w:rsidR="00BC011E" w:rsidRDefault="004F205A">
      <w:r>
        <w:t>Licensing changes the real value of a conversion tool. A tool that produces helpful code but leaves the user unable to inspect or repair the rules creates a different long-term ownership model than a tool whose source and test expectations are available.</w:t>
      </w:r>
    </w:p>
    <w:tbl>
      <w:tblPr>
        <w:tblStyle w:val="TableGrid"/>
        <w:tblW w:w="0" w:type="auto"/>
        <w:jc w:val="center"/>
        <w:tblLayout w:type="fixed"/>
        <w:tblLook w:val="04A0" w:firstRow="1" w:lastRow="0" w:firstColumn="1" w:lastColumn="0" w:noHBand="0" w:noVBand="1"/>
      </w:tblPr>
      <w:tblGrid>
        <w:gridCol w:w="2088"/>
        <w:gridCol w:w="3816"/>
        <w:gridCol w:w="3456"/>
      </w:tblGrid>
      <w:tr w:rsidR="00BC011E" w14:paraId="17D9A646" w14:textId="77777777">
        <w:trPr>
          <w:jc w:val="center"/>
        </w:trPr>
        <w:tc>
          <w:tcPr>
            <w:tcW w:w="2088" w:type="dxa"/>
            <w:shd w:val="clear" w:color="auto" w:fill="E8EEF5"/>
            <w:vAlign w:val="center"/>
          </w:tcPr>
          <w:p w14:paraId="47D6B849" w14:textId="77777777" w:rsidR="00BC011E" w:rsidRDefault="004F205A">
            <w:pPr>
              <w:spacing w:after="0" w:line="276" w:lineRule="auto"/>
            </w:pPr>
            <w:r>
              <w:rPr>
                <w:b/>
                <w:color w:val="0B2545"/>
                <w:sz w:val="17"/>
              </w:rPr>
              <w:t>Area</w:t>
            </w:r>
          </w:p>
        </w:tc>
        <w:tc>
          <w:tcPr>
            <w:tcW w:w="3816" w:type="dxa"/>
            <w:shd w:val="clear" w:color="auto" w:fill="E8EEF5"/>
            <w:vAlign w:val="center"/>
          </w:tcPr>
          <w:p w14:paraId="1368ADE7" w14:textId="77777777" w:rsidR="00BC011E" w:rsidRDefault="004F205A">
            <w:pPr>
              <w:spacing w:after="0" w:line="276" w:lineRule="auto"/>
            </w:pPr>
            <w:r>
              <w:rPr>
                <w:b/>
                <w:color w:val="0B2545"/>
                <w:sz w:val="17"/>
              </w:rPr>
              <w:t>VCL2FMXConverter</w:t>
            </w:r>
          </w:p>
        </w:tc>
        <w:tc>
          <w:tcPr>
            <w:tcW w:w="3456" w:type="dxa"/>
            <w:shd w:val="clear" w:color="auto" w:fill="E8EEF5"/>
            <w:vAlign w:val="center"/>
          </w:tcPr>
          <w:p w14:paraId="31E4212E" w14:textId="77777777" w:rsidR="00BC011E" w:rsidRDefault="004F205A">
            <w:pPr>
              <w:spacing w:after="0" w:line="276" w:lineRule="auto"/>
            </w:pPr>
            <w:r>
              <w:rPr>
                <w:b/>
                <w:color w:val="0B2545"/>
                <w:sz w:val="17"/>
              </w:rPr>
              <w:t>MidaConverter</w:t>
            </w:r>
          </w:p>
        </w:tc>
      </w:tr>
      <w:tr w:rsidR="00BC011E" w14:paraId="493D3B04" w14:textId="77777777">
        <w:trPr>
          <w:jc w:val="center"/>
        </w:trPr>
        <w:tc>
          <w:tcPr>
            <w:tcW w:w="2088" w:type="dxa"/>
            <w:vAlign w:val="center"/>
          </w:tcPr>
          <w:p w14:paraId="13CC86A0" w14:textId="77777777" w:rsidR="00BC011E" w:rsidRDefault="004F205A">
            <w:pPr>
              <w:spacing w:after="0" w:line="276" w:lineRule="auto"/>
            </w:pPr>
            <w:r>
              <w:rPr>
                <w:sz w:val="17"/>
              </w:rPr>
              <w:t>License/cost</w:t>
            </w:r>
          </w:p>
        </w:tc>
        <w:tc>
          <w:tcPr>
            <w:tcW w:w="3816" w:type="dxa"/>
            <w:vAlign w:val="center"/>
          </w:tcPr>
          <w:p w14:paraId="28556EA2" w14:textId="77777777" w:rsidR="00BC011E" w:rsidRDefault="004F205A">
            <w:pPr>
              <w:spacing w:after="0" w:line="276" w:lineRule="auto"/>
            </w:pPr>
            <w:r>
              <w:rPr>
                <w:sz w:val="17"/>
              </w:rPr>
              <w:t>Free and open source under Apache 2.0.</w:t>
            </w:r>
          </w:p>
        </w:tc>
        <w:tc>
          <w:tcPr>
            <w:tcW w:w="3456" w:type="dxa"/>
            <w:vAlign w:val="center"/>
          </w:tcPr>
          <w:p w14:paraId="708213C4" w14:textId="77777777" w:rsidR="00BC011E" w:rsidRDefault="004F205A">
            <w:pPr>
              <w:spacing w:after="0" w:line="276" w:lineRule="auto"/>
            </w:pPr>
            <w:r>
              <w:rPr>
                <w:sz w:val="17"/>
              </w:rPr>
              <w:t>Commercial product with Pro, Studio, and Studio Plus tiers.</w:t>
            </w:r>
          </w:p>
        </w:tc>
      </w:tr>
      <w:tr w:rsidR="00BC011E" w14:paraId="677B11B8" w14:textId="77777777">
        <w:trPr>
          <w:jc w:val="center"/>
        </w:trPr>
        <w:tc>
          <w:tcPr>
            <w:tcW w:w="2088" w:type="dxa"/>
            <w:vAlign w:val="center"/>
          </w:tcPr>
          <w:p w14:paraId="4D0DE92F" w14:textId="77777777" w:rsidR="00BC011E" w:rsidRDefault="004F205A">
            <w:pPr>
              <w:spacing w:after="0" w:line="276" w:lineRule="auto"/>
            </w:pPr>
            <w:r>
              <w:rPr>
                <w:sz w:val="17"/>
              </w:rPr>
              <w:t>Source access</w:t>
            </w:r>
          </w:p>
        </w:tc>
        <w:tc>
          <w:tcPr>
            <w:tcW w:w="3816" w:type="dxa"/>
            <w:vAlign w:val="center"/>
          </w:tcPr>
          <w:p w14:paraId="29B79D06" w14:textId="77777777" w:rsidR="00BC011E" w:rsidRDefault="004F205A">
            <w:pPr>
              <w:spacing w:after="0" w:line="276" w:lineRule="auto"/>
            </w:pPr>
            <w:r>
              <w:rPr>
                <w:sz w:val="17"/>
              </w:rPr>
              <w:t>Converter source is included in the source distribution.</w:t>
            </w:r>
          </w:p>
        </w:tc>
        <w:tc>
          <w:tcPr>
            <w:tcW w:w="3456" w:type="dxa"/>
            <w:vAlign w:val="center"/>
          </w:tcPr>
          <w:p w14:paraId="040FA6B5" w14:textId="77777777" w:rsidR="00BC011E" w:rsidRDefault="004F205A">
            <w:pPr>
              <w:spacing w:after="0" w:line="276" w:lineRule="auto"/>
            </w:pPr>
            <w:r>
              <w:rPr>
                <w:sz w:val="17"/>
              </w:rPr>
              <w:t>Converter source is not advertised in reviewed public material; Studio tiers list Mida Pack source code.</w:t>
            </w:r>
          </w:p>
        </w:tc>
      </w:tr>
      <w:tr w:rsidR="00BC011E" w14:paraId="1710C73A" w14:textId="77777777">
        <w:trPr>
          <w:jc w:val="center"/>
        </w:trPr>
        <w:tc>
          <w:tcPr>
            <w:tcW w:w="2088" w:type="dxa"/>
            <w:vAlign w:val="center"/>
          </w:tcPr>
          <w:p w14:paraId="7763A0DF" w14:textId="77777777" w:rsidR="00BC011E" w:rsidRDefault="004F205A">
            <w:pPr>
              <w:spacing w:after="0" w:line="276" w:lineRule="auto"/>
            </w:pPr>
            <w:r>
              <w:rPr>
                <w:sz w:val="17"/>
              </w:rPr>
              <w:t>Activation</w:t>
            </w:r>
          </w:p>
        </w:tc>
        <w:tc>
          <w:tcPr>
            <w:tcW w:w="3816" w:type="dxa"/>
            <w:vAlign w:val="center"/>
          </w:tcPr>
          <w:p w14:paraId="441F93D5" w14:textId="77777777" w:rsidR="00BC011E" w:rsidRDefault="004F205A">
            <w:pPr>
              <w:spacing w:after="0" w:line="276" w:lineRule="auto"/>
            </w:pPr>
            <w:r>
              <w:rPr>
                <w:sz w:val="17"/>
              </w:rPr>
              <w:t>No vendor activation model in the reviewed v5 source distribution.</w:t>
            </w:r>
          </w:p>
        </w:tc>
        <w:tc>
          <w:tcPr>
            <w:tcW w:w="3456" w:type="dxa"/>
            <w:vAlign w:val="center"/>
          </w:tcPr>
          <w:p w14:paraId="0A771FEF" w14:textId="77777777" w:rsidR="00BC011E" w:rsidRDefault="004F205A">
            <w:pPr>
              <w:spacing w:after="0" w:line="276" w:lineRule="auto"/>
            </w:pPr>
            <w:r>
              <w:rPr>
                <w:sz w:val="17"/>
              </w:rPr>
              <w:t>Public order page says license is related to one PC/OS and Pro/Studio require internet connection.</w:t>
            </w:r>
          </w:p>
        </w:tc>
      </w:tr>
      <w:tr w:rsidR="00BC011E" w14:paraId="76B62830" w14:textId="77777777">
        <w:trPr>
          <w:jc w:val="center"/>
        </w:trPr>
        <w:tc>
          <w:tcPr>
            <w:tcW w:w="2088" w:type="dxa"/>
            <w:vAlign w:val="center"/>
          </w:tcPr>
          <w:p w14:paraId="79B7C6C5" w14:textId="77777777" w:rsidR="00BC011E" w:rsidRDefault="004F205A">
            <w:pPr>
              <w:spacing w:after="0" w:line="276" w:lineRule="auto"/>
            </w:pPr>
            <w:r>
              <w:rPr>
                <w:sz w:val="17"/>
              </w:rPr>
              <w:t>Updates/support</w:t>
            </w:r>
          </w:p>
        </w:tc>
        <w:tc>
          <w:tcPr>
            <w:tcW w:w="3816" w:type="dxa"/>
            <w:vAlign w:val="center"/>
          </w:tcPr>
          <w:p w14:paraId="1A517771" w14:textId="77777777" w:rsidR="00BC011E" w:rsidRDefault="004F205A">
            <w:pPr>
              <w:spacing w:after="0" w:line="276" w:lineRule="auto"/>
            </w:pPr>
            <w:r>
              <w:rPr>
                <w:sz w:val="17"/>
              </w:rPr>
              <w:t>Community/project-controlled; user can maintain their own fork or local copy.</w:t>
            </w:r>
          </w:p>
        </w:tc>
        <w:tc>
          <w:tcPr>
            <w:tcW w:w="3456" w:type="dxa"/>
            <w:vAlign w:val="center"/>
          </w:tcPr>
          <w:p w14:paraId="425FF7E7" w14:textId="77777777" w:rsidR="00BC011E" w:rsidRDefault="004F205A">
            <w:pPr>
              <w:spacing w:after="0" w:line="276" w:lineRule="auto"/>
            </w:pPr>
            <w:r>
              <w:rPr>
                <w:sz w:val="17"/>
              </w:rPr>
              <w:t>Public order page describes one year of updates/support and renewal cost after that.</w:t>
            </w:r>
          </w:p>
        </w:tc>
      </w:tr>
      <w:tr w:rsidR="00BC011E" w14:paraId="0A6F97F2" w14:textId="77777777">
        <w:trPr>
          <w:jc w:val="center"/>
        </w:trPr>
        <w:tc>
          <w:tcPr>
            <w:tcW w:w="2088" w:type="dxa"/>
            <w:vAlign w:val="center"/>
          </w:tcPr>
          <w:p w14:paraId="4530C062" w14:textId="77777777" w:rsidR="00BC011E" w:rsidRDefault="004F205A">
            <w:pPr>
              <w:spacing w:after="0" w:line="276" w:lineRule="auto"/>
            </w:pPr>
            <w:r>
              <w:rPr>
                <w:sz w:val="17"/>
              </w:rPr>
              <w:t>Long-term risk</w:t>
            </w:r>
          </w:p>
        </w:tc>
        <w:tc>
          <w:tcPr>
            <w:tcW w:w="3816" w:type="dxa"/>
            <w:vAlign w:val="center"/>
          </w:tcPr>
          <w:p w14:paraId="7A514EAF" w14:textId="77777777" w:rsidR="00BC011E" w:rsidRDefault="004F205A">
            <w:pPr>
              <w:spacing w:after="0" w:line="276" w:lineRule="auto"/>
            </w:pPr>
            <w:r>
              <w:rPr>
                <w:sz w:val="17"/>
              </w:rPr>
              <w:t>Lower lock-in because source, contracts, and mapping packs remain local.</w:t>
            </w:r>
          </w:p>
        </w:tc>
        <w:tc>
          <w:tcPr>
            <w:tcW w:w="3456" w:type="dxa"/>
            <w:vAlign w:val="center"/>
          </w:tcPr>
          <w:p w14:paraId="1C447CAC" w14:textId="77777777" w:rsidR="00BC011E" w:rsidRDefault="004F205A">
            <w:pPr>
              <w:spacing w:after="0" w:line="276" w:lineRule="auto"/>
            </w:pPr>
            <w:r>
              <w:rPr>
                <w:sz w:val="17"/>
              </w:rPr>
              <w:t>Higher vendor dependency because pricing, activation, updates, and internals are vendor-controlled.</w:t>
            </w:r>
          </w:p>
        </w:tc>
      </w:tr>
    </w:tbl>
    <w:p w14:paraId="7624E0FF" w14:textId="77777777" w:rsidR="00BC011E" w:rsidRDefault="00BC011E">
      <w:pPr>
        <w:spacing w:after="40"/>
      </w:pPr>
    </w:p>
    <w:tbl>
      <w:tblPr>
        <w:tblStyle w:val="TableGrid"/>
        <w:tblW w:w="0" w:type="auto"/>
        <w:jc w:val="center"/>
        <w:tblLayout w:type="fixed"/>
        <w:tblLook w:val="04A0" w:firstRow="1" w:lastRow="0" w:firstColumn="1" w:lastColumn="0" w:noHBand="0" w:noVBand="1"/>
      </w:tblPr>
      <w:tblGrid>
        <w:gridCol w:w="9360"/>
      </w:tblGrid>
      <w:tr w:rsidR="00BC011E" w14:paraId="04D36F0B" w14:textId="77777777">
        <w:trPr>
          <w:jc w:val="center"/>
        </w:trPr>
        <w:tc>
          <w:tcPr>
            <w:tcW w:w="9360" w:type="dxa"/>
            <w:shd w:val="clear" w:color="auto" w:fill="FFF2CC"/>
          </w:tcPr>
          <w:p w14:paraId="7FD89EC7" w14:textId="77777777" w:rsidR="00BC011E" w:rsidRDefault="004F205A">
            <w:pPr>
              <w:spacing w:after="80"/>
            </w:pPr>
            <w:r>
              <w:rPr>
                <w:b/>
                <w:color w:val="0B2545"/>
              </w:rPr>
              <w:t>Ownership conclusion</w:t>
            </w:r>
          </w:p>
          <w:p w14:paraId="34503A25" w14:textId="77777777" w:rsidR="00BC011E" w:rsidRDefault="004F205A">
            <w:pPr>
              <w:spacing w:after="0" w:line="288" w:lineRule="auto"/>
            </w:pPr>
            <w:r>
              <w:t>VCL2FMXConverter gives the user more ownership. MidaConverter may save time through paid breadth, but the user depends more heavily on the vendor's current product, activation, pricing, and internal rules.</w:t>
            </w:r>
          </w:p>
        </w:tc>
      </w:tr>
    </w:tbl>
    <w:p w14:paraId="3E57A50E" w14:textId="77777777" w:rsidR="00BC011E" w:rsidRDefault="00BC011E">
      <w:pPr>
        <w:spacing w:after="40"/>
      </w:pPr>
    </w:p>
    <w:p w14:paraId="4363DC6F" w14:textId="77777777" w:rsidR="00BC011E" w:rsidRDefault="004F205A">
      <w:pPr>
        <w:pStyle w:val="Heading1"/>
      </w:pPr>
      <w:bookmarkStart w:id="6" w:name="_Toc233733822"/>
      <w:r>
        <w:rPr>
          <w:rFonts w:ascii="Calibri" w:hAnsi="Calibri"/>
        </w:rPr>
        <w:t>5. Supported Inputs, Outputs, and Conversion Targets</w:t>
      </w:r>
      <w:bookmarkEnd w:id="6"/>
    </w:p>
    <w:p w14:paraId="690C59B3" w14:textId="77777777" w:rsidR="00BC011E" w:rsidRDefault="004F205A">
      <w:r>
        <w:t>The largest advantage for MidaConverter is advertised target breadth. The largest advantage for VCL2FMXConverter is depth of visibility for its chosen target path.</w:t>
      </w:r>
    </w:p>
    <w:tbl>
      <w:tblPr>
        <w:tblStyle w:val="TableGrid"/>
        <w:tblW w:w="0" w:type="auto"/>
        <w:jc w:val="center"/>
        <w:tblLayout w:type="fixed"/>
        <w:tblLook w:val="04A0" w:firstRow="1" w:lastRow="0" w:firstColumn="1" w:lastColumn="0" w:noHBand="0" w:noVBand="1"/>
      </w:tblPr>
      <w:tblGrid>
        <w:gridCol w:w="2232"/>
        <w:gridCol w:w="3672"/>
        <w:gridCol w:w="3456"/>
      </w:tblGrid>
      <w:tr w:rsidR="00BC011E" w14:paraId="6C5BE0C5" w14:textId="77777777">
        <w:trPr>
          <w:jc w:val="center"/>
        </w:trPr>
        <w:tc>
          <w:tcPr>
            <w:tcW w:w="2232" w:type="dxa"/>
            <w:shd w:val="clear" w:color="auto" w:fill="E8EEF5"/>
            <w:vAlign w:val="center"/>
          </w:tcPr>
          <w:p w14:paraId="19DA1DE4" w14:textId="77777777" w:rsidR="00BC011E" w:rsidRDefault="004F205A">
            <w:pPr>
              <w:spacing w:after="0" w:line="276" w:lineRule="auto"/>
            </w:pPr>
            <w:r>
              <w:rPr>
                <w:b/>
                <w:color w:val="0B2545"/>
                <w:sz w:val="17"/>
              </w:rPr>
              <w:t>Target area</w:t>
            </w:r>
          </w:p>
        </w:tc>
        <w:tc>
          <w:tcPr>
            <w:tcW w:w="3672" w:type="dxa"/>
            <w:shd w:val="clear" w:color="auto" w:fill="E8EEF5"/>
            <w:vAlign w:val="center"/>
          </w:tcPr>
          <w:p w14:paraId="5FB982F3" w14:textId="77777777" w:rsidR="00BC011E" w:rsidRDefault="004F205A">
            <w:pPr>
              <w:spacing w:after="0" w:line="276" w:lineRule="auto"/>
            </w:pPr>
            <w:r>
              <w:rPr>
                <w:b/>
                <w:color w:val="0B2545"/>
                <w:sz w:val="17"/>
              </w:rPr>
              <w:t>VCL2FMXConverter</w:t>
            </w:r>
          </w:p>
        </w:tc>
        <w:tc>
          <w:tcPr>
            <w:tcW w:w="3456" w:type="dxa"/>
            <w:shd w:val="clear" w:color="auto" w:fill="E8EEF5"/>
            <w:vAlign w:val="center"/>
          </w:tcPr>
          <w:p w14:paraId="6AE19D49" w14:textId="77777777" w:rsidR="00BC011E" w:rsidRDefault="004F205A">
            <w:pPr>
              <w:spacing w:after="0" w:line="276" w:lineRule="auto"/>
            </w:pPr>
            <w:r>
              <w:rPr>
                <w:b/>
                <w:color w:val="0B2545"/>
                <w:sz w:val="17"/>
              </w:rPr>
              <w:t>MidaConverter</w:t>
            </w:r>
          </w:p>
        </w:tc>
      </w:tr>
      <w:tr w:rsidR="00BC011E" w14:paraId="5A2B8227" w14:textId="77777777">
        <w:trPr>
          <w:jc w:val="center"/>
        </w:trPr>
        <w:tc>
          <w:tcPr>
            <w:tcW w:w="2232" w:type="dxa"/>
            <w:vAlign w:val="center"/>
          </w:tcPr>
          <w:p w14:paraId="1BCACB19" w14:textId="77777777" w:rsidR="00BC011E" w:rsidRDefault="004F205A">
            <w:pPr>
              <w:spacing w:after="0" w:line="276" w:lineRule="auto"/>
            </w:pPr>
            <w:r>
              <w:rPr>
                <w:sz w:val="17"/>
              </w:rPr>
              <w:t>Primary input</w:t>
            </w:r>
          </w:p>
        </w:tc>
        <w:tc>
          <w:tcPr>
            <w:tcW w:w="3672" w:type="dxa"/>
            <w:vAlign w:val="center"/>
          </w:tcPr>
          <w:p w14:paraId="4DDE365A" w14:textId="77777777" w:rsidR="00BC011E" w:rsidRDefault="004F205A">
            <w:pPr>
              <w:spacing w:after="0" w:line="276" w:lineRule="auto"/>
            </w:pPr>
            <w:r>
              <w:rPr>
                <w:sz w:val="17"/>
              </w:rPr>
              <w:t>Delphi VCL projects, Pascal units, DFM files, DPR/DPROJ project structures, include files.</w:t>
            </w:r>
          </w:p>
        </w:tc>
        <w:tc>
          <w:tcPr>
            <w:tcW w:w="3456" w:type="dxa"/>
            <w:vAlign w:val="center"/>
          </w:tcPr>
          <w:p w14:paraId="60D80458" w14:textId="77777777" w:rsidR="00BC011E" w:rsidRDefault="004F205A">
            <w:pPr>
              <w:spacing w:after="0" w:line="276" w:lineRule="auto"/>
            </w:pPr>
            <w:r>
              <w:rPr>
                <w:sz w:val="17"/>
              </w:rPr>
              <w:t>Delphi and C++Builder VCL applications, with data modules and project files.</w:t>
            </w:r>
          </w:p>
        </w:tc>
      </w:tr>
      <w:tr w:rsidR="00BC011E" w14:paraId="47451918" w14:textId="77777777">
        <w:trPr>
          <w:jc w:val="center"/>
        </w:trPr>
        <w:tc>
          <w:tcPr>
            <w:tcW w:w="2232" w:type="dxa"/>
            <w:vAlign w:val="center"/>
          </w:tcPr>
          <w:p w14:paraId="522CF85F" w14:textId="77777777" w:rsidR="00BC011E" w:rsidRDefault="004F205A">
            <w:pPr>
              <w:spacing w:after="0" w:line="276" w:lineRule="auto"/>
            </w:pPr>
            <w:r>
              <w:rPr>
                <w:sz w:val="17"/>
              </w:rPr>
              <w:t>Primary output</w:t>
            </w:r>
          </w:p>
        </w:tc>
        <w:tc>
          <w:tcPr>
            <w:tcW w:w="3672" w:type="dxa"/>
            <w:vAlign w:val="center"/>
          </w:tcPr>
          <w:p w14:paraId="22412510" w14:textId="77777777" w:rsidR="00BC011E" w:rsidRDefault="004F205A">
            <w:pPr>
              <w:spacing w:after="0" w:line="276" w:lineRule="auto"/>
            </w:pPr>
            <w:r>
              <w:rPr>
                <w:sz w:val="17"/>
              </w:rPr>
              <w:t>FMX-oriented Delphi project files, Pascal rewrites, FMX/FMXL forms, reports, copied companion files.</w:t>
            </w:r>
          </w:p>
        </w:tc>
        <w:tc>
          <w:tcPr>
            <w:tcW w:w="3456" w:type="dxa"/>
            <w:vAlign w:val="center"/>
          </w:tcPr>
          <w:p w14:paraId="38379468" w14:textId="77777777" w:rsidR="00BC011E" w:rsidRDefault="004F205A">
            <w:pPr>
              <w:spacing w:after="0" w:line="276" w:lineRule="auto"/>
            </w:pPr>
            <w:r>
              <w:rPr>
                <w:sz w:val="17"/>
              </w:rPr>
              <w:t>FireMonkey applications; public pages also describe other targets in Studio tiers.</w:t>
            </w:r>
          </w:p>
        </w:tc>
      </w:tr>
      <w:tr w:rsidR="00BC011E" w14:paraId="288E9BE2" w14:textId="77777777">
        <w:trPr>
          <w:jc w:val="center"/>
        </w:trPr>
        <w:tc>
          <w:tcPr>
            <w:tcW w:w="2232" w:type="dxa"/>
            <w:vAlign w:val="center"/>
          </w:tcPr>
          <w:p w14:paraId="40E09A37" w14:textId="77777777" w:rsidR="00BC011E" w:rsidRDefault="004F205A">
            <w:pPr>
              <w:spacing w:after="0" w:line="276" w:lineRule="auto"/>
            </w:pPr>
            <w:r>
              <w:rPr>
                <w:sz w:val="17"/>
              </w:rPr>
              <w:t>C++Builder</w:t>
            </w:r>
          </w:p>
        </w:tc>
        <w:tc>
          <w:tcPr>
            <w:tcW w:w="3672" w:type="dxa"/>
            <w:vAlign w:val="center"/>
          </w:tcPr>
          <w:p w14:paraId="03890A6C" w14:textId="77777777" w:rsidR="00BC011E" w:rsidRDefault="004F205A">
            <w:pPr>
              <w:spacing w:after="0" w:line="276" w:lineRule="auto"/>
            </w:pPr>
            <w:r>
              <w:rPr>
                <w:sz w:val="17"/>
              </w:rPr>
              <w:t>Not a primary advertised v5 target.</w:t>
            </w:r>
          </w:p>
        </w:tc>
        <w:tc>
          <w:tcPr>
            <w:tcW w:w="3456" w:type="dxa"/>
            <w:vAlign w:val="center"/>
          </w:tcPr>
          <w:p w14:paraId="3B618DED" w14:textId="77777777" w:rsidR="00BC011E" w:rsidRDefault="004F205A">
            <w:pPr>
              <w:spacing w:after="0" w:line="276" w:lineRule="auto"/>
            </w:pPr>
            <w:r>
              <w:rPr>
                <w:sz w:val="17"/>
              </w:rPr>
              <w:t>Explicitly advertised as supported.</w:t>
            </w:r>
          </w:p>
        </w:tc>
      </w:tr>
      <w:tr w:rsidR="00BC011E" w14:paraId="26EFB5FE" w14:textId="77777777">
        <w:trPr>
          <w:jc w:val="center"/>
        </w:trPr>
        <w:tc>
          <w:tcPr>
            <w:tcW w:w="2232" w:type="dxa"/>
            <w:vAlign w:val="center"/>
          </w:tcPr>
          <w:p w14:paraId="01FEFE54" w14:textId="77777777" w:rsidR="00BC011E" w:rsidRDefault="004F205A">
            <w:pPr>
              <w:spacing w:after="0" w:line="276" w:lineRule="auto"/>
            </w:pPr>
            <w:r>
              <w:rPr>
                <w:sz w:val="17"/>
              </w:rPr>
              <w:t>VCL to FMX</w:t>
            </w:r>
          </w:p>
        </w:tc>
        <w:tc>
          <w:tcPr>
            <w:tcW w:w="3672" w:type="dxa"/>
            <w:vAlign w:val="center"/>
          </w:tcPr>
          <w:p w14:paraId="2E6F8C19" w14:textId="77777777" w:rsidR="00BC011E" w:rsidRDefault="004F205A">
            <w:pPr>
              <w:spacing w:after="0" w:line="276" w:lineRule="auto"/>
            </w:pPr>
            <w:r>
              <w:rPr>
                <w:sz w:val="17"/>
              </w:rPr>
              <w:t>Yes, core product purpose.</w:t>
            </w:r>
          </w:p>
        </w:tc>
        <w:tc>
          <w:tcPr>
            <w:tcW w:w="3456" w:type="dxa"/>
            <w:vAlign w:val="center"/>
          </w:tcPr>
          <w:p w14:paraId="085E5BAD" w14:textId="77777777" w:rsidR="00BC011E" w:rsidRDefault="004F205A">
            <w:pPr>
              <w:spacing w:after="0" w:line="276" w:lineRule="auto"/>
            </w:pPr>
            <w:r>
              <w:rPr>
                <w:sz w:val="17"/>
              </w:rPr>
              <w:t>Yes, core product purpose.</w:t>
            </w:r>
          </w:p>
        </w:tc>
      </w:tr>
      <w:tr w:rsidR="00BC011E" w14:paraId="0357B64E" w14:textId="77777777">
        <w:trPr>
          <w:jc w:val="center"/>
        </w:trPr>
        <w:tc>
          <w:tcPr>
            <w:tcW w:w="2232" w:type="dxa"/>
            <w:vAlign w:val="center"/>
          </w:tcPr>
          <w:p w14:paraId="5525A950" w14:textId="77777777" w:rsidR="00BC011E" w:rsidRDefault="004F205A">
            <w:pPr>
              <w:spacing w:after="0" w:line="276" w:lineRule="auto"/>
            </w:pPr>
            <w:r>
              <w:rPr>
                <w:sz w:val="17"/>
              </w:rPr>
              <w:t>VCL to IntraWeb</w:t>
            </w:r>
          </w:p>
        </w:tc>
        <w:tc>
          <w:tcPr>
            <w:tcW w:w="3672" w:type="dxa"/>
            <w:vAlign w:val="center"/>
          </w:tcPr>
          <w:p w14:paraId="20DD4C50" w14:textId="77777777" w:rsidR="00BC011E" w:rsidRDefault="004F205A">
            <w:pPr>
              <w:spacing w:after="0" w:line="276" w:lineRule="auto"/>
            </w:pPr>
            <w:r>
              <w:rPr>
                <w:sz w:val="17"/>
              </w:rPr>
              <w:t>Not a primary v5 target.</w:t>
            </w:r>
          </w:p>
        </w:tc>
        <w:tc>
          <w:tcPr>
            <w:tcW w:w="3456" w:type="dxa"/>
            <w:vAlign w:val="center"/>
          </w:tcPr>
          <w:p w14:paraId="64C56244" w14:textId="77777777" w:rsidR="00BC011E" w:rsidRDefault="004F205A">
            <w:pPr>
              <w:spacing w:after="0" w:line="276" w:lineRule="auto"/>
            </w:pPr>
            <w:r>
              <w:rPr>
                <w:sz w:val="17"/>
              </w:rPr>
              <w:t>Advertised in Studio/Total Conversion material.</w:t>
            </w:r>
          </w:p>
        </w:tc>
      </w:tr>
      <w:tr w:rsidR="00BC011E" w14:paraId="1FDCF3A2" w14:textId="77777777">
        <w:trPr>
          <w:jc w:val="center"/>
        </w:trPr>
        <w:tc>
          <w:tcPr>
            <w:tcW w:w="2232" w:type="dxa"/>
            <w:vAlign w:val="center"/>
          </w:tcPr>
          <w:p w14:paraId="56F97B84" w14:textId="77777777" w:rsidR="00BC011E" w:rsidRDefault="004F205A">
            <w:pPr>
              <w:spacing w:after="0" w:line="276" w:lineRule="auto"/>
            </w:pPr>
            <w:r>
              <w:rPr>
                <w:sz w:val="17"/>
              </w:rPr>
              <w:t>VCL to TMS WEB Core</w:t>
            </w:r>
          </w:p>
        </w:tc>
        <w:tc>
          <w:tcPr>
            <w:tcW w:w="3672" w:type="dxa"/>
            <w:vAlign w:val="center"/>
          </w:tcPr>
          <w:p w14:paraId="3C046519" w14:textId="77777777" w:rsidR="00BC011E" w:rsidRDefault="004F205A">
            <w:pPr>
              <w:spacing w:after="0" w:line="276" w:lineRule="auto"/>
            </w:pPr>
            <w:r>
              <w:rPr>
                <w:sz w:val="17"/>
              </w:rPr>
              <w:t>Not a primary v5 target.</w:t>
            </w:r>
          </w:p>
        </w:tc>
        <w:tc>
          <w:tcPr>
            <w:tcW w:w="3456" w:type="dxa"/>
            <w:vAlign w:val="center"/>
          </w:tcPr>
          <w:p w14:paraId="0FA74A60" w14:textId="77777777" w:rsidR="00BC011E" w:rsidRDefault="004F205A">
            <w:pPr>
              <w:spacing w:after="0" w:line="276" w:lineRule="auto"/>
            </w:pPr>
            <w:r>
              <w:rPr>
                <w:sz w:val="17"/>
              </w:rPr>
              <w:t>Advertised in Studio material.</w:t>
            </w:r>
          </w:p>
        </w:tc>
      </w:tr>
      <w:tr w:rsidR="00BC011E" w14:paraId="125805AC" w14:textId="77777777">
        <w:trPr>
          <w:jc w:val="center"/>
        </w:trPr>
        <w:tc>
          <w:tcPr>
            <w:tcW w:w="2232" w:type="dxa"/>
            <w:vAlign w:val="center"/>
          </w:tcPr>
          <w:p w14:paraId="7A7B4E83" w14:textId="77777777" w:rsidR="00BC011E" w:rsidRDefault="004F205A">
            <w:pPr>
              <w:spacing w:after="0" w:line="276" w:lineRule="auto"/>
            </w:pPr>
            <w:r>
              <w:rPr>
                <w:sz w:val="17"/>
              </w:rPr>
              <w:t>Database engine conversion</w:t>
            </w:r>
          </w:p>
        </w:tc>
        <w:tc>
          <w:tcPr>
            <w:tcW w:w="3672" w:type="dxa"/>
            <w:vAlign w:val="center"/>
          </w:tcPr>
          <w:p w14:paraId="677FEE6D" w14:textId="77777777" w:rsidR="00BC011E" w:rsidRDefault="004F205A">
            <w:pPr>
              <w:spacing w:after="0" w:line="276" w:lineRule="auto"/>
            </w:pPr>
            <w:r>
              <w:rPr>
                <w:sz w:val="17"/>
              </w:rPr>
              <w:t>Mapping packs and data-aware rules exist, but full database-engine migration is not the central advertised target.</w:t>
            </w:r>
          </w:p>
        </w:tc>
        <w:tc>
          <w:tcPr>
            <w:tcW w:w="3456" w:type="dxa"/>
            <w:vAlign w:val="center"/>
          </w:tcPr>
          <w:p w14:paraId="31EAA8BC" w14:textId="77777777" w:rsidR="00BC011E" w:rsidRDefault="004F205A">
            <w:pPr>
              <w:spacing w:after="0" w:line="276" w:lineRule="auto"/>
            </w:pPr>
            <w:r>
              <w:rPr>
                <w:sz w:val="17"/>
              </w:rPr>
              <w:t>Advertises BDE to FireDAC, dbIsam to EDB, dbIsam to FireDAC, AnyDAC to FireDAC examples.</w:t>
            </w:r>
          </w:p>
        </w:tc>
      </w:tr>
      <w:tr w:rsidR="00BC011E" w14:paraId="38C8DD94" w14:textId="77777777">
        <w:trPr>
          <w:jc w:val="center"/>
        </w:trPr>
        <w:tc>
          <w:tcPr>
            <w:tcW w:w="2232" w:type="dxa"/>
            <w:vAlign w:val="center"/>
          </w:tcPr>
          <w:p w14:paraId="55DE5500" w14:textId="77777777" w:rsidR="00BC011E" w:rsidRDefault="004F205A">
            <w:pPr>
              <w:spacing w:after="0" w:line="276" w:lineRule="auto"/>
            </w:pPr>
            <w:r>
              <w:rPr>
                <w:sz w:val="17"/>
              </w:rPr>
              <w:t>Report engine conversion</w:t>
            </w:r>
          </w:p>
        </w:tc>
        <w:tc>
          <w:tcPr>
            <w:tcW w:w="3672" w:type="dxa"/>
            <w:vAlign w:val="center"/>
          </w:tcPr>
          <w:p w14:paraId="4D6FBFB5" w14:textId="77777777" w:rsidR="00BC011E" w:rsidRDefault="004F205A">
            <w:pPr>
              <w:spacing w:after="0" w:line="276" w:lineRule="auto"/>
            </w:pPr>
            <w:r>
              <w:rPr>
                <w:sz w:val="17"/>
              </w:rPr>
              <w:t>Mapping/reporting packs exist for reporting components, but full report-engine migration is not the main v5 promise.</w:t>
            </w:r>
          </w:p>
        </w:tc>
        <w:tc>
          <w:tcPr>
            <w:tcW w:w="3456" w:type="dxa"/>
            <w:vAlign w:val="center"/>
          </w:tcPr>
          <w:p w14:paraId="531A735F" w14:textId="77777777" w:rsidR="00BC011E" w:rsidRDefault="004F205A">
            <w:pPr>
              <w:spacing w:after="0" w:line="276" w:lineRule="auto"/>
            </w:pPr>
            <w:r>
              <w:rPr>
                <w:sz w:val="17"/>
              </w:rPr>
              <w:t>Advertises QuickReport to FastReport conversion.</w:t>
            </w:r>
          </w:p>
        </w:tc>
      </w:tr>
      <w:tr w:rsidR="00BC011E" w14:paraId="2982C148" w14:textId="77777777">
        <w:trPr>
          <w:jc w:val="center"/>
        </w:trPr>
        <w:tc>
          <w:tcPr>
            <w:tcW w:w="2232" w:type="dxa"/>
            <w:vAlign w:val="center"/>
          </w:tcPr>
          <w:p w14:paraId="0CE936FC" w14:textId="77777777" w:rsidR="00BC011E" w:rsidRDefault="004F205A">
            <w:pPr>
              <w:spacing w:after="0" w:line="276" w:lineRule="auto"/>
            </w:pPr>
            <w:r>
              <w:rPr>
                <w:sz w:val="17"/>
              </w:rPr>
              <w:t>Mobile-specific conversion</w:t>
            </w:r>
          </w:p>
        </w:tc>
        <w:tc>
          <w:tcPr>
            <w:tcW w:w="3672" w:type="dxa"/>
            <w:vAlign w:val="center"/>
          </w:tcPr>
          <w:p w14:paraId="69EF0835" w14:textId="77777777" w:rsidR="00BC011E" w:rsidRDefault="004F205A">
            <w:pPr>
              <w:spacing w:after="0" w:line="276" w:lineRule="auto"/>
            </w:pPr>
            <w:r>
              <w:rPr>
                <w:sz w:val="17"/>
              </w:rPr>
              <w:t>FMX output can target FMX platforms, but v5 is not marketed as a mobile-specific conversion suite.</w:t>
            </w:r>
          </w:p>
        </w:tc>
        <w:tc>
          <w:tcPr>
            <w:tcW w:w="3456" w:type="dxa"/>
            <w:vAlign w:val="center"/>
          </w:tcPr>
          <w:p w14:paraId="121ACEF8" w14:textId="77777777" w:rsidR="00BC011E" w:rsidRDefault="004F205A">
            <w:pPr>
              <w:spacing w:after="0" w:line="276" w:lineRule="auto"/>
            </w:pPr>
            <w:r>
              <w:rPr>
                <w:sz w:val="17"/>
              </w:rPr>
              <w:t>Advertises iPad, Android, and Mac OS X conversion pages and mobile packs in paid tiers.</w:t>
            </w:r>
          </w:p>
        </w:tc>
      </w:tr>
    </w:tbl>
    <w:p w14:paraId="183DC20C" w14:textId="77777777" w:rsidR="00BC011E" w:rsidRDefault="00BC011E">
      <w:pPr>
        <w:spacing w:after="40"/>
      </w:pPr>
    </w:p>
    <w:p w14:paraId="144A0680" w14:textId="77777777" w:rsidR="00BC011E" w:rsidRDefault="004F205A">
      <w:r>
        <w:t>For users needing one path - VCL Delphi toward FMX Delphi with transparent rule control - VCL2FMXConverter is highly aligned. For users needing many migration targets under one commercial product, MidaConverter's advertised scope is broader.</w:t>
      </w:r>
    </w:p>
    <w:p w14:paraId="76E8228E" w14:textId="77777777" w:rsidR="00BC011E" w:rsidRDefault="004F205A">
      <w:pPr>
        <w:pStyle w:val="Heading1"/>
      </w:pPr>
      <w:bookmarkStart w:id="7" w:name="_Toc233733823"/>
      <w:r>
        <w:rPr>
          <w:rFonts w:ascii="Calibri" w:hAnsi="Calibri"/>
        </w:rPr>
        <w:t>6. Conversion Engine Depth and Code Handling</w:t>
      </w:r>
      <w:bookmarkEnd w:id="7"/>
    </w:p>
    <w:p w14:paraId="42829B6B" w14:textId="77777777" w:rsidR="00BC011E" w:rsidRDefault="004F205A">
      <w:pPr>
        <w:pStyle w:val="Heading2"/>
      </w:pPr>
      <w:bookmarkStart w:id="8" w:name="_Toc233733824"/>
      <w:r>
        <w:rPr>
          <w:rFonts w:ascii="Calibri" w:hAnsi="Calibri"/>
        </w:rPr>
        <w:t>VCL2FMXConverter internals</w:t>
      </w:r>
      <w:bookmarkEnd w:id="8"/>
    </w:p>
    <w:p w14:paraId="27913F33" w14:textId="77777777" w:rsidR="00BC011E" w:rsidRDefault="004F205A">
      <w:r>
        <w:t>The v5 source tree is divided across parser, mapper, rewrite, integration, project generation, advanced analysis, file management, and UI units. Important source areas include the core engine, DFM parser/FMXL generator, Pascal parser, component/property/event mapper, uses-clause rewriter, compatibility rewrites, runtime normalization, LiveBindings, DataAware logic, ThirdParty logic, WinAPI logic, AutoFixes, and Integration.</w:t>
      </w:r>
    </w:p>
    <w:p w14:paraId="0A324D84" w14:textId="77777777" w:rsidR="00BC011E" w:rsidRDefault="004F205A">
      <w:r>
        <w:t>Notable v5 additions include Pascal include-file analysis, a deeper Pascal structure model, semantic-resolution checks, dry-run preview behavior, mapping-pack authoring suggestions/export, report accounting fixes, DFM/FMXL fidelity checks, and stronger project-level integration contracts.</w:t>
      </w:r>
    </w:p>
    <w:p w14:paraId="46D46717" w14:textId="77777777" w:rsidR="00BC011E" w:rsidRDefault="004F205A">
      <w:r>
        <w:t>The converter is not merely a search-and-replace utility. It detects Pascal boundaries, comments, string literals, disabled blocks, routine declarations, attributes, initialization/finalization sections, uses clauses, include directives, DFM objects, FMX output shape, report items, and units that should or should not remain.</w:t>
      </w:r>
    </w:p>
    <w:p w14:paraId="5D83C8A7" w14:textId="77777777" w:rsidR="00BC011E" w:rsidRDefault="004F205A">
      <w:pPr>
        <w:pStyle w:val="Heading2"/>
      </w:pPr>
      <w:bookmarkStart w:id="9" w:name="_Toc233733825"/>
      <w:r>
        <w:rPr>
          <w:rFonts w:ascii="Calibri" w:hAnsi="Calibri"/>
        </w:rPr>
        <w:t>MidaConverter internals</w:t>
      </w:r>
      <w:bookmarkEnd w:id="9"/>
    </w:p>
    <w:p w14:paraId="23B58CB4" w14:textId="77777777" w:rsidR="00BC011E" w:rsidRDefault="004F205A">
      <w:r>
        <w:t>MidaConverter public pages describe high-level conversion behavior but do not expose the converter source or executable test suite. The product material says it updates .pas, .cpp, and .dpr files, supports data modules, moves VCL style information into FMX StyleBook structures, creates LiveBindings, reconstructs components such as page controls, converts properties such as Caption to Text, handles coordinate differences, and can use custom conversion tables or script files in higher tiers.</w:t>
      </w:r>
    </w:p>
    <w:p w14:paraId="06E3ADA9" w14:textId="77777777" w:rsidR="00BC011E" w:rsidRDefault="004F205A">
      <w:r>
        <w:t>The public material also describes a class analyzer before and after conversion in Studio-only features. That suggests a structured conversion model, but without local test evidence or source access, the exact depth and edge-case behavior cannot be assessed as precisely as VCL2FMXConverter.</w:t>
      </w:r>
    </w:p>
    <w:tbl>
      <w:tblPr>
        <w:tblStyle w:val="TableGrid"/>
        <w:tblW w:w="0" w:type="auto"/>
        <w:jc w:val="center"/>
        <w:tblLayout w:type="fixed"/>
        <w:tblLook w:val="04A0" w:firstRow="1" w:lastRow="0" w:firstColumn="1" w:lastColumn="0" w:noHBand="0" w:noVBand="1"/>
      </w:tblPr>
      <w:tblGrid>
        <w:gridCol w:w="2160"/>
        <w:gridCol w:w="3888"/>
        <w:gridCol w:w="3312"/>
      </w:tblGrid>
      <w:tr w:rsidR="00BC011E" w14:paraId="5D65701E" w14:textId="77777777">
        <w:trPr>
          <w:jc w:val="center"/>
        </w:trPr>
        <w:tc>
          <w:tcPr>
            <w:tcW w:w="2160" w:type="dxa"/>
            <w:shd w:val="clear" w:color="auto" w:fill="E8EEF5"/>
            <w:vAlign w:val="center"/>
          </w:tcPr>
          <w:p w14:paraId="6789DED2" w14:textId="77777777" w:rsidR="00BC011E" w:rsidRDefault="004F205A">
            <w:pPr>
              <w:spacing w:after="0" w:line="276" w:lineRule="auto"/>
            </w:pPr>
            <w:r>
              <w:rPr>
                <w:b/>
                <w:color w:val="0B2545"/>
                <w:sz w:val="16"/>
              </w:rPr>
              <w:t>Engine area</w:t>
            </w:r>
          </w:p>
        </w:tc>
        <w:tc>
          <w:tcPr>
            <w:tcW w:w="3888" w:type="dxa"/>
            <w:shd w:val="clear" w:color="auto" w:fill="E8EEF5"/>
            <w:vAlign w:val="center"/>
          </w:tcPr>
          <w:p w14:paraId="2F36017F" w14:textId="77777777" w:rsidR="00BC011E" w:rsidRDefault="004F205A">
            <w:pPr>
              <w:spacing w:after="0" w:line="276" w:lineRule="auto"/>
            </w:pPr>
            <w:r>
              <w:rPr>
                <w:b/>
                <w:color w:val="0B2545"/>
                <w:sz w:val="16"/>
              </w:rPr>
              <w:t>VCL2FMXConverter</w:t>
            </w:r>
          </w:p>
        </w:tc>
        <w:tc>
          <w:tcPr>
            <w:tcW w:w="3312" w:type="dxa"/>
            <w:shd w:val="clear" w:color="auto" w:fill="E8EEF5"/>
            <w:vAlign w:val="center"/>
          </w:tcPr>
          <w:p w14:paraId="45E42B7F" w14:textId="77777777" w:rsidR="00BC011E" w:rsidRDefault="004F205A">
            <w:pPr>
              <w:spacing w:after="0" w:line="276" w:lineRule="auto"/>
            </w:pPr>
            <w:r>
              <w:rPr>
                <w:b/>
                <w:color w:val="0B2545"/>
                <w:sz w:val="16"/>
              </w:rPr>
              <w:t>MidaConverter</w:t>
            </w:r>
          </w:p>
        </w:tc>
      </w:tr>
      <w:tr w:rsidR="00BC011E" w14:paraId="6FF9E6C6" w14:textId="77777777">
        <w:trPr>
          <w:jc w:val="center"/>
        </w:trPr>
        <w:tc>
          <w:tcPr>
            <w:tcW w:w="2160" w:type="dxa"/>
            <w:vAlign w:val="center"/>
          </w:tcPr>
          <w:p w14:paraId="178B0598" w14:textId="77777777" w:rsidR="00BC011E" w:rsidRDefault="004F205A">
            <w:pPr>
              <w:spacing w:after="0" w:line="276" w:lineRule="auto"/>
            </w:pPr>
            <w:r>
              <w:rPr>
                <w:sz w:val="16"/>
              </w:rPr>
              <w:t>Parsing visibility</w:t>
            </w:r>
          </w:p>
        </w:tc>
        <w:tc>
          <w:tcPr>
            <w:tcW w:w="3888" w:type="dxa"/>
            <w:vAlign w:val="center"/>
          </w:tcPr>
          <w:p w14:paraId="4B6251C3" w14:textId="77777777" w:rsidR="00BC011E" w:rsidRDefault="004F205A">
            <w:pPr>
              <w:spacing w:after="0" w:line="276" w:lineRule="auto"/>
            </w:pPr>
            <w:r>
              <w:rPr>
                <w:sz w:val="16"/>
              </w:rPr>
              <w:t>Source-visible Pascal/DFM parsing and rewrite passes.</w:t>
            </w:r>
          </w:p>
        </w:tc>
        <w:tc>
          <w:tcPr>
            <w:tcW w:w="3312" w:type="dxa"/>
            <w:vAlign w:val="center"/>
          </w:tcPr>
          <w:p w14:paraId="15E792DD" w14:textId="77777777" w:rsidR="00BC011E" w:rsidRDefault="004F205A">
            <w:pPr>
              <w:spacing w:after="0" w:line="276" w:lineRule="auto"/>
            </w:pPr>
            <w:r>
              <w:rPr>
                <w:sz w:val="16"/>
              </w:rPr>
              <w:t>Advertised behavior only; internals not visible in reviewed material.</w:t>
            </w:r>
          </w:p>
        </w:tc>
      </w:tr>
      <w:tr w:rsidR="00BC011E" w14:paraId="713E4307" w14:textId="77777777">
        <w:trPr>
          <w:jc w:val="center"/>
        </w:trPr>
        <w:tc>
          <w:tcPr>
            <w:tcW w:w="2160" w:type="dxa"/>
            <w:vAlign w:val="center"/>
          </w:tcPr>
          <w:p w14:paraId="61172680" w14:textId="77777777" w:rsidR="00BC011E" w:rsidRDefault="004F205A">
            <w:pPr>
              <w:spacing w:after="0" w:line="276" w:lineRule="auto"/>
            </w:pPr>
            <w:r>
              <w:rPr>
                <w:sz w:val="16"/>
              </w:rPr>
              <w:t>Include analysis</w:t>
            </w:r>
          </w:p>
        </w:tc>
        <w:tc>
          <w:tcPr>
            <w:tcW w:w="3888" w:type="dxa"/>
            <w:vAlign w:val="center"/>
          </w:tcPr>
          <w:p w14:paraId="502CDDFB" w14:textId="77777777" w:rsidR="00BC011E" w:rsidRDefault="004F205A">
            <w:pPr>
              <w:spacing w:after="0" w:line="276" w:lineRule="auto"/>
            </w:pPr>
            <w:r>
              <w:rPr>
                <w:sz w:val="16"/>
              </w:rPr>
              <w:t>Yes: beside-source, subfolder, missing, outside-tree, nested, recursive, conditional, UTF-8, commented include cases are contracted.</w:t>
            </w:r>
          </w:p>
        </w:tc>
        <w:tc>
          <w:tcPr>
            <w:tcW w:w="3312" w:type="dxa"/>
            <w:vAlign w:val="center"/>
          </w:tcPr>
          <w:p w14:paraId="644CCC16" w14:textId="77777777" w:rsidR="00BC011E" w:rsidRDefault="004F205A">
            <w:pPr>
              <w:spacing w:after="0" w:line="276" w:lineRule="auto"/>
            </w:pPr>
            <w:r>
              <w:rPr>
                <w:sz w:val="16"/>
              </w:rPr>
              <w:t>No specific public include-analysis detail found in reviewed pages.</w:t>
            </w:r>
          </w:p>
        </w:tc>
      </w:tr>
      <w:tr w:rsidR="00BC011E" w14:paraId="0461EA27" w14:textId="77777777">
        <w:trPr>
          <w:jc w:val="center"/>
        </w:trPr>
        <w:tc>
          <w:tcPr>
            <w:tcW w:w="2160" w:type="dxa"/>
            <w:vAlign w:val="center"/>
          </w:tcPr>
          <w:p w14:paraId="7C9E57FA" w14:textId="77777777" w:rsidR="00BC011E" w:rsidRDefault="004F205A">
            <w:pPr>
              <w:spacing w:after="0" w:line="276" w:lineRule="auto"/>
            </w:pPr>
            <w:r>
              <w:rPr>
                <w:sz w:val="16"/>
              </w:rPr>
              <w:t>Encoding</w:t>
            </w:r>
          </w:p>
        </w:tc>
        <w:tc>
          <w:tcPr>
            <w:tcW w:w="3888" w:type="dxa"/>
            <w:vAlign w:val="center"/>
          </w:tcPr>
          <w:p w14:paraId="61A21C83" w14:textId="77777777" w:rsidR="00BC011E" w:rsidRDefault="004F205A">
            <w:pPr>
              <w:spacing w:after="0" w:line="276" w:lineRule="auto"/>
            </w:pPr>
            <w:r>
              <w:rPr>
                <w:sz w:val="16"/>
              </w:rPr>
              <w:t>File manager and contracts cover encoding, UTF-8, long lines, whitespace, and FMX UTF-8 BOM output behavior.</w:t>
            </w:r>
          </w:p>
        </w:tc>
        <w:tc>
          <w:tcPr>
            <w:tcW w:w="3312" w:type="dxa"/>
            <w:vAlign w:val="center"/>
          </w:tcPr>
          <w:p w14:paraId="232CAFD3" w14:textId="77777777" w:rsidR="00BC011E" w:rsidRDefault="004F205A">
            <w:pPr>
              <w:spacing w:after="0" w:line="276" w:lineRule="auto"/>
            </w:pPr>
            <w:r>
              <w:rPr>
                <w:sz w:val="16"/>
              </w:rPr>
              <w:t>Public pages do not emphasize source encoding handling.</w:t>
            </w:r>
          </w:p>
        </w:tc>
      </w:tr>
      <w:tr w:rsidR="00BC011E" w14:paraId="2029035E" w14:textId="77777777">
        <w:trPr>
          <w:jc w:val="center"/>
        </w:trPr>
        <w:tc>
          <w:tcPr>
            <w:tcW w:w="2160" w:type="dxa"/>
            <w:vAlign w:val="center"/>
          </w:tcPr>
          <w:p w14:paraId="3B608BFF" w14:textId="77777777" w:rsidR="00BC011E" w:rsidRDefault="004F205A">
            <w:pPr>
              <w:spacing w:after="0" w:line="276" w:lineRule="auto"/>
            </w:pPr>
            <w:r>
              <w:rPr>
                <w:sz w:val="16"/>
              </w:rPr>
              <w:t>Boundary safety</w:t>
            </w:r>
          </w:p>
        </w:tc>
        <w:tc>
          <w:tcPr>
            <w:tcW w:w="3888" w:type="dxa"/>
            <w:vAlign w:val="center"/>
          </w:tcPr>
          <w:p w14:paraId="01E78776" w14:textId="77777777" w:rsidR="00BC011E" w:rsidRDefault="004F205A">
            <w:pPr>
              <w:spacing w:after="0" w:line="276" w:lineRule="auto"/>
            </w:pPr>
            <w:r>
              <w:rPr>
                <w:sz w:val="16"/>
              </w:rPr>
              <w:t>Contracted handling of comments, strings, disabled blocks, attributes, initialization/finalization, and routine boundaries.</w:t>
            </w:r>
          </w:p>
        </w:tc>
        <w:tc>
          <w:tcPr>
            <w:tcW w:w="3312" w:type="dxa"/>
            <w:vAlign w:val="center"/>
          </w:tcPr>
          <w:p w14:paraId="2A447AD5" w14:textId="77777777" w:rsidR="00BC011E" w:rsidRDefault="004F205A">
            <w:pPr>
              <w:spacing w:after="0" w:line="276" w:lineRule="auto"/>
            </w:pPr>
            <w:r>
              <w:rPr>
                <w:sz w:val="16"/>
              </w:rPr>
              <w:t>Public detail not available.</w:t>
            </w:r>
          </w:p>
        </w:tc>
      </w:tr>
      <w:tr w:rsidR="00BC011E" w14:paraId="453D08E2" w14:textId="77777777">
        <w:trPr>
          <w:jc w:val="center"/>
        </w:trPr>
        <w:tc>
          <w:tcPr>
            <w:tcW w:w="2160" w:type="dxa"/>
            <w:vAlign w:val="center"/>
          </w:tcPr>
          <w:p w14:paraId="6072EA4A" w14:textId="77777777" w:rsidR="00BC011E" w:rsidRDefault="004F205A">
            <w:pPr>
              <w:spacing w:after="0" w:line="276" w:lineRule="auto"/>
            </w:pPr>
            <w:r>
              <w:rPr>
                <w:sz w:val="16"/>
              </w:rPr>
              <w:t>Generated project structure</w:t>
            </w:r>
          </w:p>
        </w:tc>
        <w:tc>
          <w:tcPr>
            <w:tcW w:w="3888" w:type="dxa"/>
            <w:vAlign w:val="center"/>
          </w:tcPr>
          <w:p w14:paraId="3392FB1D" w14:textId="77777777" w:rsidR="00BC011E" w:rsidRDefault="004F205A">
            <w:pPr>
              <w:spacing w:after="0" w:line="276" w:lineRule="auto"/>
            </w:pPr>
            <w:r>
              <w:rPr>
                <w:sz w:val="16"/>
              </w:rPr>
              <w:t>Project generator and integration contracts cover DPR/startup/resources/show-main-form behavior.</w:t>
            </w:r>
          </w:p>
        </w:tc>
        <w:tc>
          <w:tcPr>
            <w:tcW w:w="3312" w:type="dxa"/>
            <w:vAlign w:val="center"/>
          </w:tcPr>
          <w:p w14:paraId="28B86665" w14:textId="77777777" w:rsidR="00BC011E" w:rsidRDefault="004F205A">
            <w:pPr>
              <w:spacing w:after="0" w:line="276" w:lineRule="auto"/>
            </w:pPr>
            <w:r>
              <w:rPr>
                <w:sz w:val="16"/>
              </w:rPr>
              <w:t>Advertised project updating; exact project-generation details not public.</w:t>
            </w:r>
          </w:p>
        </w:tc>
      </w:tr>
    </w:tbl>
    <w:p w14:paraId="518A97EC" w14:textId="77777777" w:rsidR="00BC011E" w:rsidRDefault="00BC011E">
      <w:pPr>
        <w:spacing w:after="40"/>
      </w:pPr>
    </w:p>
    <w:p w14:paraId="4CF3200F" w14:textId="77777777" w:rsidR="00BC011E" w:rsidRDefault="004F205A">
      <w:pPr>
        <w:pStyle w:val="Heading1"/>
      </w:pPr>
      <w:bookmarkStart w:id="10" w:name="_Toc233733826"/>
      <w:r>
        <w:rPr>
          <w:rFonts w:ascii="Calibri" w:hAnsi="Calibri"/>
        </w:rPr>
        <w:t>7. Component, Property, Event, and Third-Party Mapping</w:t>
      </w:r>
      <w:bookmarkEnd w:id="10"/>
    </w:p>
    <w:p w14:paraId="2621CBCC" w14:textId="77777777" w:rsidR="00BC011E" w:rsidRDefault="004F205A">
      <w:r>
        <w:t>Both products focus heavily on component mapping because the visible success of a VCL-to-FMX conversion usually depends on forms opening correctly, controls appearing with sensible replacements, properties landing in valid FMX equivalents, and events not being lost silently.</w:t>
      </w:r>
    </w:p>
    <w:p w14:paraId="79941D9C" w14:textId="77777777" w:rsidR="00BC011E" w:rsidRDefault="004F205A">
      <w:pPr>
        <w:pStyle w:val="Heading2"/>
      </w:pPr>
      <w:bookmarkStart w:id="11" w:name="_Toc233733827"/>
      <w:r>
        <w:rPr>
          <w:rFonts w:ascii="Calibri" w:hAnsi="Calibri"/>
        </w:rPr>
        <w:t>VCL2FMXConverter mapping model</w:t>
      </w:r>
      <w:bookmarkEnd w:id="11"/>
    </w:p>
    <w:p w14:paraId="4240D4F8" w14:textId="77777777" w:rsidR="00BC011E" w:rsidRDefault="004F205A">
      <w:r>
        <w:t>VCL2FMXConverter v5 contains a large component mapper unit and 22 JSON mapping packs. The packs currently cover CleverComponents, DatabaseEngines, Devart, DevExpress, EhLib, FastReport, Imaging/PDF, InfoPower, IntraWeb/UniGUI, JVCL, LegacyOpenSource, LMD, nSoftware, QuickReport, Raize/Konopka, RemObjects, ReportBuilder, Skia4Delphi, TeeChart, TMS, TRichView, and VirtualTreeView.</w:t>
      </w:r>
    </w:p>
    <w:p w14:paraId="4C370C21" w14:textId="77777777" w:rsidR="00BC011E" w:rsidRDefault="004F205A">
      <w:r>
        <w:t>The mapping packs are not just a marketing list. They are files in the source distribution that users can inspect, copy, and extend. The v5 work also added third-party mapping assistance and export/suggestion behavior for unknown third-party-like components.</w:t>
      </w:r>
    </w:p>
    <w:p w14:paraId="76D92640" w14:textId="77777777" w:rsidR="00BC011E" w:rsidRDefault="004F205A">
      <w:r>
        <w:t>Contracts cover common controls, event signatures, paint/draw handlers, media notifications, image picture usage, alpha blending, border/window state, status-bar panels, unknown components, shape conversion, numeric sizing math, and DFM/FMXL object/event/property fidelity.</w:t>
      </w:r>
    </w:p>
    <w:p w14:paraId="039D6468" w14:textId="77777777" w:rsidR="00BC011E" w:rsidRDefault="004F205A">
      <w:pPr>
        <w:pStyle w:val="Heading2"/>
      </w:pPr>
      <w:bookmarkStart w:id="12" w:name="_Toc233733828"/>
      <w:r>
        <w:rPr>
          <w:rFonts w:ascii="Calibri" w:hAnsi="Calibri"/>
        </w:rPr>
        <w:t>MidaConverter mapping model</w:t>
      </w:r>
      <w:bookmarkEnd w:id="12"/>
    </w:p>
    <w:p w14:paraId="4821A6B3" w14:textId="77777777" w:rsidR="00BC011E" w:rsidRDefault="004F205A">
      <w:r>
        <w:t>MidaConverter advertises conversion of more than 200 components and hundreds of third-party components. Public examples include TMS, DevExpress, JVCL, Raize, BusinessSkinForms, TeeChart, TPageControl variants, TMainMenu, TPopupMenu, dialogs, image lists in later versions, TActionList from XE4, TSplitter, TLabeledEdit, TGroupBox, TRadioButton, and other common controls.</w:t>
      </w:r>
    </w:p>
    <w:p w14:paraId="4E04EE5A" w14:textId="77777777" w:rsidR="00BC011E" w:rsidRDefault="004F205A">
      <w:r>
        <w:t>Mida's Studio features allow user-customizable conversion tables and script files. Public documentation describes selecting source and destination classes, converting property names, adding required uses units, and removing original units. This is strong user-facing configurability, though not the same as having the converter source and executable contracts.</w:t>
      </w:r>
    </w:p>
    <w:tbl>
      <w:tblPr>
        <w:tblStyle w:val="TableGrid"/>
        <w:tblW w:w="0" w:type="auto"/>
        <w:jc w:val="center"/>
        <w:tblLayout w:type="fixed"/>
        <w:tblLook w:val="04A0" w:firstRow="1" w:lastRow="0" w:firstColumn="1" w:lastColumn="0" w:noHBand="0" w:noVBand="1"/>
      </w:tblPr>
      <w:tblGrid>
        <w:gridCol w:w="2160"/>
        <w:gridCol w:w="3888"/>
        <w:gridCol w:w="3312"/>
      </w:tblGrid>
      <w:tr w:rsidR="00BC011E" w14:paraId="1B27F152" w14:textId="77777777">
        <w:trPr>
          <w:jc w:val="center"/>
        </w:trPr>
        <w:tc>
          <w:tcPr>
            <w:tcW w:w="2160" w:type="dxa"/>
            <w:shd w:val="clear" w:color="auto" w:fill="E8EEF5"/>
            <w:vAlign w:val="center"/>
          </w:tcPr>
          <w:p w14:paraId="2E38DDEB" w14:textId="77777777" w:rsidR="00BC011E" w:rsidRDefault="004F205A">
            <w:pPr>
              <w:spacing w:after="0" w:line="276" w:lineRule="auto"/>
            </w:pPr>
            <w:r>
              <w:rPr>
                <w:b/>
                <w:color w:val="0B2545"/>
                <w:sz w:val="17"/>
              </w:rPr>
              <w:t>Mapping area</w:t>
            </w:r>
          </w:p>
        </w:tc>
        <w:tc>
          <w:tcPr>
            <w:tcW w:w="3888" w:type="dxa"/>
            <w:shd w:val="clear" w:color="auto" w:fill="E8EEF5"/>
            <w:vAlign w:val="center"/>
          </w:tcPr>
          <w:p w14:paraId="56A65770" w14:textId="77777777" w:rsidR="00BC011E" w:rsidRDefault="004F205A">
            <w:pPr>
              <w:spacing w:after="0" w:line="276" w:lineRule="auto"/>
            </w:pPr>
            <w:r>
              <w:rPr>
                <w:b/>
                <w:color w:val="0B2545"/>
                <w:sz w:val="17"/>
              </w:rPr>
              <w:t>VCL2FMXConverter</w:t>
            </w:r>
          </w:p>
        </w:tc>
        <w:tc>
          <w:tcPr>
            <w:tcW w:w="3312" w:type="dxa"/>
            <w:shd w:val="clear" w:color="auto" w:fill="E8EEF5"/>
            <w:vAlign w:val="center"/>
          </w:tcPr>
          <w:p w14:paraId="46754013" w14:textId="77777777" w:rsidR="00BC011E" w:rsidRDefault="004F205A">
            <w:pPr>
              <w:spacing w:after="0" w:line="276" w:lineRule="auto"/>
            </w:pPr>
            <w:r>
              <w:rPr>
                <w:b/>
                <w:color w:val="0B2545"/>
                <w:sz w:val="17"/>
              </w:rPr>
              <w:t>MidaConverter</w:t>
            </w:r>
          </w:p>
        </w:tc>
      </w:tr>
      <w:tr w:rsidR="00BC011E" w14:paraId="676BF1CD" w14:textId="77777777">
        <w:trPr>
          <w:jc w:val="center"/>
        </w:trPr>
        <w:tc>
          <w:tcPr>
            <w:tcW w:w="2160" w:type="dxa"/>
            <w:vAlign w:val="center"/>
          </w:tcPr>
          <w:p w14:paraId="66619727" w14:textId="77777777" w:rsidR="00BC011E" w:rsidRDefault="004F205A">
            <w:pPr>
              <w:spacing w:after="0" w:line="276" w:lineRule="auto"/>
            </w:pPr>
            <w:r>
              <w:rPr>
                <w:sz w:val="17"/>
              </w:rPr>
              <w:t>Built-in component breadth</w:t>
            </w:r>
          </w:p>
        </w:tc>
        <w:tc>
          <w:tcPr>
            <w:tcW w:w="3888" w:type="dxa"/>
            <w:vAlign w:val="center"/>
          </w:tcPr>
          <w:p w14:paraId="48F08E21" w14:textId="77777777" w:rsidR="00BC011E" w:rsidRDefault="004F205A">
            <w:pPr>
              <w:spacing w:after="0" w:line="276" w:lineRule="auto"/>
            </w:pPr>
            <w:r>
              <w:rPr>
                <w:sz w:val="17"/>
              </w:rPr>
              <w:t>Broad for core VCL and many third-party packs; exact count not marketed as 200+.</w:t>
            </w:r>
          </w:p>
        </w:tc>
        <w:tc>
          <w:tcPr>
            <w:tcW w:w="3312" w:type="dxa"/>
            <w:vAlign w:val="center"/>
          </w:tcPr>
          <w:p w14:paraId="4F897575" w14:textId="77777777" w:rsidR="00BC011E" w:rsidRDefault="004F205A">
            <w:pPr>
              <w:spacing w:after="0" w:line="276" w:lineRule="auto"/>
            </w:pPr>
            <w:r>
              <w:rPr>
                <w:sz w:val="17"/>
              </w:rPr>
              <w:t>Advertises 200+ components and hundreds of third-party components.</w:t>
            </w:r>
          </w:p>
        </w:tc>
      </w:tr>
      <w:tr w:rsidR="00BC011E" w14:paraId="4E23AFC2" w14:textId="77777777">
        <w:trPr>
          <w:jc w:val="center"/>
        </w:trPr>
        <w:tc>
          <w:tcPr>
            <w:tcW w:w="2160" w:type="dxa"/>
            <w:vAlign w:val="center"/>
          </w:tcPr>
          <w:p w14:paraId="33283FAF" w14:textId="77777777" w:rsidR="00BC011E" w:rsidRDefault="004F205A">
            <w:pPr>
              <w:spacing w:after="0" w:line="276" w:lineRule="auto"/>
            </w:pPr>
            <w:r>
              <w:rPr>
                <w:sz w:val="17"/>
              </w:rPr>
              <w:t>Mapping format</w:t>
            </w:r>
          </w:p>
        </w:tc>
        <w:tc>
          <w:tcPr>
            <w:tcW w:w="3888" w:type="dxa"/>
            <w:vAlign w:val="center"/>
          </w:tcPr>
          <w:p w14:paraId="2A1FD9DE" w14:textId="77777777" w:rsidR="00BC011E" w:rsidRDefault="004F205A">
            <w:pPr>
              <w:spacing w:after="0" w:line="276" w:lineRule="auto"/>
            </w:pPr>
            <w:r>
              <w:rPr>
                <w:sz w:val="17"/>
              </w:rPr>
              <w:t>JSON mapping packs plus source-visible mapper logic.</w:t>
            </w:r>
          </w:p>
        </w:tc>
        <w:tc>
          <w:tcPr>
            <w:tcW w:w="3312" w:type="dxa"/>
            <w:vAlign w:val="center"/>
          </w:tcPr>
          <w:p w14:paraId="22F5E374" w14:textId="77777777" w:rsidR="00BC011E" w:rsidRDefault="004F205A">
            <w:pPr>
              <w:spacing w:after="0" w:line="276" w:lineRule="auto"/>
            </w:pPr>
            <w:r>
              <w:rPr>
                <w:sz w:val="17"/>
              </w:rPr>
              <w:t>Custom conversion tables/scripts in paid tiers; exact internal format not public except examples.</w:t>
            </w:r>
          </w:p>
        </w:tc>
      </w:tr>
      <w:tr w:rsidR="00BC011E" w14:paraId="10583DD4" w14:textId="77777777">
        <w:trPr>
          <w:jc w:val="center"/>
        </w:trPr>
        <w:tc>
          <w:tcPr>
            <w:tcW w:w="2160" w:type="dxa"/>
            <w:vAlign w:val="center"/>
          </w:tcPr>
          <w:p w14:paraId="4A1A7E6B" w14:textId="77777777" w:rsidR="00BC011E" w:rsidRDefault="004F205A">
            <w:pPr>
              <w:spacing w:after="0" w:line="276" w:lineRule="auto"/>
            </w:pPr>
            <w:r>
              <w:rPr>
                <w:sz w:val="17"/>
              </w:rPr>
              <w:t>User extension</w:t>
            </w:r>
          </w:p>
        </w:tc>
        <w:tc>
          <w:tcPr>
            <w:tcW w:w="3888" w:type="dxa"/>
            <w:vAlign w:val="center"/>
          </w:tcPr>
          <w:p w14:paraId="757099A6" w14:textId="77777777" w:rsidR="00BC011E" w:rsidRDefault="004F205A">
            <w:pPr>
              <w:spacing w:after="0" w:line="276" w:lineRule="auto"/>
            </w:pPr>
            <w:r>
              <w:rPr>
                <w:sz w:val="17"/>
              </w:rPr>
              <w:t>Edit/add JSON packs, add contracts, modify source.</w:t>
            </w:r>
          </w:p>
        </w:tc>
        <w:tc>
          <w:tcPr>
            <w:tcW w:w="3312" w:type="dxa"/>
            <w:vAlign w:val="center"/>
          </w:tcPr>
          <w:p w14:paraId="7BC359C8" w14:textId="77777777" w:rsidR="00BC011E" w:rsidRDefault="004F205A">
            <w:pPr>
              <w:spacing w:after="0" w:line="276" w:lineRule="auto"/>
            </w:pPr>
            <w:r>
              <w:rPr>
                <w:sz w:val="17"/>
              </w:rPr>
              <w:t>Configure custom conversion tables/scripts in Pro/Studio/Plus depending on tier.</w:t>
            </w:r>
          </w:p>
        </w:tc>
      </w:tr>
      <w:tr w:rsidR="00BC011E" w14:paraId="4217AA8C" w14:textId="77777777">
        <w:trPr>
          <w:jc w:val="center"/>
        </w:trPr>
        <w:tc>
          <w:tcPr>
            <w:tcW w:w="2160" w:type="dxa"/>
            <w:vAlign w:val="center"/>
          </w:tcPr>
          <w:p w14:paraId="24489E59" w14:textId="77777777" w:rsidR="00BC011E" w:rsidRDefault="004F205A">
            <w:pPr>
              <w:spacing w:after="0" w:line="276" w:lineRule="auto"/>
            </w:pPr>
            <w:r>
              <w:rPr>
                <w:sz w:val="17"/>
              </w:rPr>
              <w:t>Event handling</w:t>
            </w:r>
          </w:p>
        </w:tc>
        <w:tc>
          <w:tcPr>
            <w:tcW w:w="3888" w:type="dxa"/>
            <w:vAlign w:val="center"/>
          </w:tcPr>
          <w:p w14:paraId="10EF75E1" w14:textId="77777777" w:rsidR="00BC011E" w:rsidRDefault="004F205A">
            <w:pPr>
              <w:spacing w:after="0" w:line="276" w:lineRule="auto"/>
            </w:pPr>
            <w:r>
              <w:rPr>
                <w:sz w:val="17"/>
              </w:rPr>
              <w:t>Contracted event ordering and event/property preservation in DFM/FMXL fidelity checks.</w:t>
            </w:r>
          </w:p>
        </w:tc>
        <w:tc>
          <w:tcPr>
            <w:tcW w:w="3312" w:type="dxa"/>
            <w:vAlign w:val="center"/>
          </w:tcPr>
          <w:p w14:paraId="4D89FF65" w14:textId="77777777" w:rsidR="00BC011E" w:rsidRDefault="004F205A">
            <w:pPr>
              <w:spacing w:after="0" w:line="276" w:lineRule="auto"/>
            </w:pPr>
            <w:r>
              <w:rPr>
                <w:sz w:val="17"/>
              </w:rPr>
              <w:t>Advertised component/property conversion; event details less visible in public material.</w:t>
            </w:r>
          </w:p>
        </w:tc>
      </w:tr>
      <w:tr w:rsidR="00BC011E" w14:paraId="5A28EFF8" w14:textId="77777777">
        <w:trPr>
          <w:jc w:val="center"/>
        </w:trPr>
        <w:tc>
          <w:tcPr>
            <w:tcW w:w="2160" w:type="dxa"/>
            <w:vAlign w:val="center"/>
          </w:tcPr>
          <w:p w14:paraId="20F68312" w14:textId="77777777" w:rsidR="00BC011E" w:rsidRDefault="004F205A">
            <w:pPr>
              <w:spacing w:after="0" w:line="276" w:lineRule="auto"/>
            </w:pPr>
            <w:r>
              <w:rPr>
                <w:sz w:val="17"/>
              </w:rPr>
              <w:t>Unknown components</w:t>
            </w:r>
          </w:p>
        </w:tc>
        <w:tc>
          <w:tcPr>
            <w:tcW w:w="3888" w:type="dxa"/>
            <w:vAlign w:val="center"/>
          </w:tcPr>
          <w:p w14:paraId="2C0F0496" w14:textId="77777777" w:rsidR="00BC011E" w:rsidRDefault="004F205A">
            <w:pPr>
              <w:spacing w:after="0" w:line="276" w:lineRule="auto"/>
            </w:pPr>
            <w:r>
              <w:rPr>
                <w:sz w:val="17"/>
              </w:rPr>
              <w:t>Reports and suggestions rather than pretending success.</w:t>
            </w:r>
          </w:p>
        </w:tc>
        <w:tc>
          <w:tcPr>
            <w:tcW w:w="3312" w:type="dxa"/>
            <w:vAlign w:val="center"/>
          </w:tcPr>
          <w:p w14:paraId="572FA710" w14:textId="77777777" w:rsidR="00BC011E" w:rsidRDefault="004F205A">
            <w:pPr>
              <w:spacing w:after="0" w:line="276" w:lineRule="auto"/>
            </w:pPr>
            <w:r>
              <w:rPr>
                <w:sz w:val="17"/>
              </w:rPr>
              <w:t>Custom conversion can handle unsupported components if the user defines mappings.</w:t>
            </w:r>
          </w:p>
        </w:tc>
      </w:tr>
    </w:tbl>
    <w:p w14:paraId="6F8AF128" w14:textId="77777777" w:rsidR="00BC011E" w:rsidRDefault="00BC011E">
      <w:pPr>
        <w:spacing w:after="40"/>
      </w:pPr>
    </w:p>
    <w:p w14:paraId="4052733B" w14:textId="77777777" w:rsidR="00BC011E" w:rsidRDefault="004F205A">
      <w:pPr>
        <w:pStyle w:val="Heading1"/>
      </w:pPr>
      <w:bookmarkStart w:id="13" w:name="_Toc233733829"/>
      <w:r>
        <w:rPr>
          <w:rFonts w:ascii="Calibri" w:hAnsi="Calibri"/>
        </w:rPr>
        <w:t>8. Data-Aware Conversion, LiveBindings, and Database Migration</w:t>
      </w:r>
      <w:bookmarkEnd w:id="13"/>
    </w:p>
    <w:p w14:paraId="361B8742" w14:textId="77777777" w:rsidR="00BC011E" w:rsidRDefault="004F205A">
      <w:r>
        <w:t>Data-aware conversion is one of the hardest VCL-to-FMX areas because FMX does not have the same VCL data-aware control model. A useful converter must either create LiveBindings or report the work clearly enough that the user can finish it.</w:t>
      </w:r>
    </w:p>
    <w:p w14:paraId="5920CD3C" w14:textId="77777777" w:rsidR="00BC011E" w:rsidRDefault="004F205A">
      <w:r>
        <w:t>VCL2FMXConverter v5 includes DataAware and LiveBindings rewrite units, plus contracts for DB-aware controls, runtime datasource access, lookup controls, navigator behavior, existing LiveBindings, generated binding edge cases, grid links, bind sources, and multiple form declarations. Its reporting also flags cases that are not safe to auto-convert, such as nested runtime data-source references or behavior that needs design review.</w:t>
      </w:r>
    </w:p>
    <w:p w14:paraId="5A6E63F7" w14:textId="77777777" w:rsidR="00BC011E" w:rsidRDefault="004F205A">
      <w:r>
        <w:t>MidaConverter public pages strongly emphasize automatic LiveBindings creation. They also advertise optimized database recognition and specific conversion behavior for ClientDataSet, InterBase, DBISAM, EDB, NexusDB, and FireDAC-related migrations. Mida's Total Conversion pages present database-engine migration as a major Studio feature.</w:t>
      </w:r>
    </w:p>
    <w:tbl>
      <w:tblPr>
        <w:tblStyle w:val="TableGrid"/>
        <w:tblW w:w="0" w:type="auto"/>
        <w:jc w:val="center"/>
        <w:tblLayout w:type="fixed"/>
        <w:tblLook w:val="04A0" w:firstRow="1" w:lastRow="0" w:firstColumn="1" w:lastColumn="0" w:noHBand="0" w:noVBand="1"/>
      </w:tblPr>
      <w:tblGrid>
        <w:gridCol w:w="2088"/>
        <w:gridCol w:w="3816"/>
        <w:gridCol w:w="3456"/>
      </w:tblGrid>
      <w:tr w:rsidR="00BC011E" w14:paraId="32CEC5F9" w14:textId="77777777">
        <w:trPr>
          <w:jc w:val="center"/>
        </w:trPr>
        <w:tc>
          <w:tcPr>
            <w:tcW w:w="2088" w:type="dxa"/>
            <w:shd w:val="clear" w:color="auto" w:fill="E8EEF5"/>
            <w:vAlign w:val="center"/>
          </w:tcPr>
          <w:p w14:paraId="57FDED85" w14:textId="77777777" w:rsidR="00BC011E" w:rsidRDefault="004F205A">
            <w:pPr>
              <w:spacing w:after="0" w:line="276" w:lineRule="auto"/>
            </w:pPr>
            <w:r>
              <w:rPr>
                <w:b/>
                <w:color w:val="0B2545"/>
                <w:sz w:val="17"/>
              </w:rPr>
              <w:t>Data area</w:t>
            </w:r>
          </w:p>
        </w:tc>
        <w:tc>
          <w:tcPr>
            <w:tcW w:w="3816" w:type="dxa"/>
            <w:shd w:val="clear" w:color="auto" w:fill="E8EEF5"/>
            <w:vAlign w:val="center"/>
          </w:tcPr>
          <w:p w14:paraId="438DEBA5" w14:textId="77777777" w:rsidR="00BC011E" w:rsidRDefault="004F205A">
            <w:pPr>
              <w:spacing w:after="0" w:line="276" w:lineRule="auto"/>
            </w:pPr>
            <w:r>
              <w:rPr>
                <w:b/>
                <w:color w:val="0B2545"/>
                <w:sz w:val="17"/>
              </w:rPr>
              <w:t>VCL2FMXConverter</w:t>
            </w:r>
          </w:p>
        </w:tc>
        <w:tc>
          <w:tcPr>
            <w:tcW w:w="3456" w:type="dxa"/>
            <w:shd w:val="clear" w:color="auto" w:fill="E8EEF5"/>
            <w:vAlign w:val="center"/>
          </w:tcPr>
          <w:p w14:paraId="3695FB19" w14:textId="77777777" w:rsidR="00BC011E" w:rsidRDefault="004F205A">
            <w:pPr>
              <w:spacing w:after="0" w:line="276" w:lineRule="auto"/>
            </w:pPr>
            <w:r>
              <w:rPr>
                <w:b/>
                <w:color w:val="0B2545"/>
                <w:sz w:val="17"/>
              </w:rPr>
              <w:t>MidaConverter</w:t>
            </w:r>
          </w:p>
        </w:tc>
      </w:tr>
      <w:tr w:rsidR="00BC011E" w14:paraId="34BF9AED" w14:textId="77777777">
        <w:trPr>
          <w:jc w:val="center"/>
        </w:trPr>
        <w:tc>
          <w:tcPr>
            <w:tcW w:w="2088" w:type="dxa"/>
            <w:vAlign w:val="center"/>
          </w:tcPr>
          <w:p w14:paraId="418DBDC5" w14:textId="77777777" w:rsidR="00BC011E" w:rsidRDefault="004F205A">
            <w:pPr>
              <w:spacing w:after="0" w:line="276" w:lineRule="auto"/>
            </w:pPr>
            <w:r>
              <w:rPr>
                <w:sz w:val="17"/>
              </w:rPr>
              <w:t>LiveBindings</w:t>
            </w:r>
          </w:p>
        </w:tc>
        <w:tc>
          <w:tcPr>
            <w:tcW w:w="3816" w:type="dxa"/>
            <w:vAlign w:val="center"/>
          </w:tcPr>
          <w:p w14:paraId="75B60003" w14:textId="77777777" w:rsidR="00BC011E" w:rsidRDefault="004F205A">
            <w:pPr>
              <w:spacing w:after="0" w:line="276" w:lineRule="auto"/>
            </w:pPr>
            <w:r>
              <w:rPr>
                <w:sz w:val="17"/>
              </w:rPr>
              <w:t>Implemented and contracted; handles existing/generated binding cases and reports risky areas.</w:t>
            </w:r>
          </w:p>
        </w:tc>
        <w:tc>
          <w:tcPr>
            <w:tcW w:w="3456" w:type="dxa"/>
            <w:vAlign w:val="center"/>
          </w:tcPr>
          <w:p w14:paraId="622B5DF0" w14:textId="77777777" w:rsidR="00BC011E" w:rsidRDefault="004F205A">
            <w:pPr>
              <w:spacing w:after="0" w:line="276" w:lineRule="auto"/>
            </w:pPr>
            <w:r>
              <w:rPr>
                <w:sz w:val="17"/>
              </w:rPr>
              <w:t>Advertises automatic creation of required LiveBindings.</w:t>
            </w:r>
          </w:p>
        </w:tc>
      </w:tr>
      <w:tr w:rsidR="00BC011E" w14:paraId="03A3F7D8" w14:textId="77777777">
        <w:trPr>
          <w:jc w:val="center"/>
        </w:trPr>
        <w:tc>
          <w:tcPr>
            <w:tcW w:w="2088" w:type="dxa"/>
            <w:vAlign w:val="center"/>
          </w:tcPr>
          <w:p w14:paraId="35A74EAA" w14:textId="77777777" w:rsidR="00BC011E" w:rsidRDefault="004F205A">
            <w:pPr>
              <w:spacing w:after="0" w:line="276" w:lineRule="auto"/>
            </w:pPr>
            <w:r>
              <w:rPr>
                <w:sz w:val="17"/>
              </w:rPr>
              <w:t>Data modules</w:t>
            </w:r>
          </w:p>
        </w:tc>
        <w:tc>
          <w:tcPr>
            <w:tcW w:w="3816" w:type="dxa"/>
            <w:vAlign w:val="center"/>
          </w:tcPr>
          <w:p w14:paraId="6E819E0E" w14:textId="77777777" w:rsidR="00BC011E" w:rsidRDefault="004F205A">
            <w:pPr>
              <w:spacing w:after="0" w:line="276" w:lineRule="auto"/>
            </w:pPr>
            <w:r>
              <w:rPr>
                <w:sz w:val="17"/>
              </w:rPr>
              <w:t>Project/source integration supports related source files; data-aware contracts exist.</w:t>
            </w:r>
          </w:p>
        </w:tc>
        <w:tc>
          <w:tcPr>
            <w:tcW w:w="3456" w:type="dxa"/>
            <w:vAlign w:val="center"/>
          </w:tcPr>
          <w:p w14:paraId="7D99782B" w14:textId="77777777" w:rsidR="00BC011E" w:rsidRDefault="004F205A">
            <w:pPr>
              <w:spacing w:after="0" w:line="276" w:lineRule="auto"/>
            </w:pPr>
            <w:r>
              <w:rPr>
                <w:sz w:val="17"/>
              </w:rPr>
              <w:t>Advertises full data-module support.</w:t>
            </w:r>
          </w:p>
        </w:tc>
      </w:tr>
      <w:tr w:rsidR="00BC011E" w14:paraId="5196A09A" w14:textId="77777777">
        <w:trPr>
          <w:jc w:val="center"/>
        </w:trPr>
        <w:tc>
          <w:tcPr>
            <w:tcW w:w="2088" w:type="dxa"/>
            <w:vAlign w:val="center"/>
          </w:tcPr>
          <w:p w14:paraId="4467D470" w14:textId="77777777" w:rsidR="00BC011E" w:rsidRDefault="004F205A">
            <w:pPr>
              <w:spacing w:after="0" w:line="276" w:lineRule="auto"/>
            </w:pPr>
            <w:r>
              <w:rPr>
                <w:sz w:val="17"/>
              </w:rPr>
              <w:t>Database engine migration</w:t>
            </w:r>
          </w:p>
        </w:tc>
        <w:tc>
          <w:tcPr>
            <w:tcW w:w="3816" w:type="dxa"/>
            <w:vAlign w:val="center"/>
          </w:tcPr>
          <w:p w14:paraId="5E4DA4A7" w14:textId="77777777" w:rsidR="00BC011E" w:rsidRDefault="004F205A">
            <w:pPr>
              <w:spacing w:after="0" w:line="276" w:lineRule="auto"/>
            </w:pPr>
            <w:r>
              <w:rPr>
                <w:sz w:val="17"/>
              </w:rPr>
              <w:t>Mapping packs and review reports help, but full engine replacement is not the central v5 promise.</w:t>
            </w:r>
          </w:p>
        </w:tc>
        <w:tc>
          <w:tcPr>
            <w:tcW w:w="3456" w:type="dxa"/>
            <w:vAlign w:val="center"/>
          </w:tcPr>
          <w:p w14:paraId="63B27DF2" w14:textId="77777777" w:rsidR="00BC011E" w:rsidRDefault="004F205A">
            <w:pPr>
              <w:spacing w:after="0" w:line="276" w:lineRule="auto"/>
            </w:pPr>
            <w:r>
              <w:rPr>
                <w:sz w:val="17"/>
              </w:rPr>
              <w:t>Major advertised feature: BDE/AnyDAC/dbIsam/EDB/FireDAC examples.</w:t>
            </w:r>
          </w:p>
        </w:tc>
      </w:tr>
      <w:tr w:rsidR="00BC011E" w14:paraId="0BD237A5" w14:textId="77777777">
        <w:trPr>
          <w:jc w:val="center"/>
        </w:trPr>
        <w:tc>
          <w:tcPr>
            <w:tcW w:w="2088" w:type="dxa"/>
            <w:vAlign w:val="center"/>
          </w:tcPr>
          <w:p w14:paraId="1A9C1F2C" w14:textId="77777777" w:rsidR="00BC011E" w:rsidRDefault="004F205A">
            <w:pPr>
              <w:spacing w:after="0" w:line="276" w:lineRule="auto"/>
            </w:pPr>
            <w:r>
              <w:rPr>
                <w:sz w:val="17"/>
              </w:rPr>
              <w:t>Safety model</w:t>
            </w:r>
          </w:p>
        </w:tc>
        <w:tc>
          <w:tcPr>
            <w:tcW w:w="3816" w:type="dxa"/>
            <w:vAlign w:val="center"/>
          </w:tcPr>
          <w:p w14:paraId="72648BAF" w14:textId="77777777" w:rsidR="00BC011E" w:rsidRDefault="004F205A">
            <w:pPr>
              <w:spacing w:after="0" w:line="276" w:lineRule="auto"/>
            </w:pPr>
            <w:r>
              <w:rPr>
                <w:sz w:val="17"/>
              </w:rPr>
              <w:t>Reports manual-review categories when runtime binding behavior is ambiguous.</w:t>
            </w:r>
          </w:p>
        </w:tc>
        <w:tc>
          <w:tcPr>
            <w:tcW w:w="3456" w:type="dxa"/>
            <w:vAlign w:val="center"/>
          </w:tcPr>
          <w:p w14:paraId="164FBB54" w14:textId="77777777" w:rsidR="00BC011E" w:rsidRDefault="004F205A">
            <w:pPr>
              <w:spacing w:after="0" w:line="276" w:lineRule="auto"/>
            </w:pPr>
            <w:r>
              <w:rPr>
                <w:sz w:val="17"/>
              </w:rPr>
              <w:t>Public material emphasizes automation; manual-review/report model not visible.</w:t>
            </w:r>
          </w:p>
        </w:tc>
      </w:tr>
      <w:tr w:rsidR="00BC011E" w14:paraId="5353E36C" w14:textId="77777777">
        <w:trPr>
          <w:jc w:val="center"/>
        </w:trPr>
        <w:tc>
          <w:tcPr>
            <w:tcW w:w="2088" w:type="dxa"/>
            <w:vAlign w:val="center"/>
          </w:tcPr>
          <w:p w14:paraId="1AAD7C47" w14:textId="77777777" w:rsidR="00BC011E" w:rsidRDefault="004F205A">
            <w:pPr>
              <w:spacing w:after="0" w:line="276" w:lineRule="auto"/>
            </w:pPr>
            <w:r>
              <w:rPr>
                <w:sz w:val="17"/>
              </w:rPr>
              <w:t>Best user fit</w:t>
            </w:r>
          </w:p>
        </w:tc>
        <w:tc>
          <w:tcPr>
            <w:tcW w:w="3816" w:type="dxa"/>
            <w:vAlign w:val="center"/>
          </w:tcPr>
          <w:p w14:paraId="0C856046" w14:textId="77777777" w:rsidR="00BC011E" w:rsidRDefault="004F205A">
            <w:pPr>
              <w:spacing w:after="0" w:line="276" w:lineRule="auto"/>
            </w:pPr>
            <w:r>
              <w:rPr>
                <w:sz w:val="17"/>
              </w:rPr>
              <w:t>Users who value auditable data-aware rewrites and clear manual work.</w:t>
            </w:r>
          </w:p>
        </w:tc>
        <w:tc>
          <w:tcPr>
            <w:tcW w:w="3456" w:type="dxa"/>
            <w:vAlign w:val="center"/>
          </w:tcPr>
          <w:p w14:paraId="73CB24E9" w14:textId="77777777" w:rsidR="00BC011E" w:rsidRDefault="004F205A">
            <w:pPr>
              <w:spacing w:after="0" w:line="276" w:lineRule="auto"/>
            </w:pPr>
            <w:r>
              <w:rPr>
                <w:sz w:val="17"/>
              </w:rPr>
              <w:t>Users who need a commercial tool that advertises database-component migration breadth.</w:t>
            </w:r>
          </w:p>
        </w:tc>
      </w:tr>
    </w:tbl>
    <w:p w14:paraId="54488BE9" w14:textId="77777777" w:rsidR="00BC011E" w:rsidRDefault="00BC011E">
      <w:pPr>
        <w:spacing w:after="40"/>
      </w:pPr>
    </w:p>
    <w:p w14:paraId="7E2C5623" w14:textId="77777777" w:rsidR="00BC011E" w:rsidRDefault="004F205A">
      <w:pPr>
        <w:pStyle w:val="Heading1"/>
      </w:pPr>
      <w:bookmarkStart w:id="14" w:name="_Toc233733830"/>
      <w:r>
        <w:rPr>
          <w:rFonts w:ascii="Calibri" w:hAnsi="Calibri"/>
        </w:rPr>
        <w:t>9. WinAPI, Windows Messages, GDI, Media, and Platform-Specific Behavior</w:t>
      </w:r>
      <w:bookmarkEnd w:id="14"/>
    </w:p>
    <w:p w14:paraId="05F17D85" w14:textId="77777777" w:rsidR="00BC011E" w:rsidRDefault="004F205A">
      <w:r>
        <w:t>The v5 work on VCL2FMXConverter is especially strong in Windows-specific legacy behavior. This matters because many VCL apps compile only because they depend on Windows message loops, WndProc overrides, WM_* handlers, GDI drawing, Control.Perform, SendMessage, status-bar panels, or other platform-specific idioms.</w:t>
      </w:r>
    </w:p>
    <w:p w14:paraId="1C691416" w14:textId="77777777" w:rsidR="00BC011E" w:rsidRDefault="004F205A">
      <w:r>
        <w:t>VCL2FMXConverter treats this area as a category-based conversion/reporting problem. It detects Windows message APIs, message constants, TWM/TCM records, WndProc overrides, message declarations, WM_USER/custom offsets, system-command handlers, common-control message families, false positives in comments/strings/domain methods, and uses-clause consequences. Unsupported or risky behavior must produce a report item instead of silently remaining active.</w:t>
      </w:r>
    </w:p>
    <w:p w14:paraId="06344F63" w14:textId="77777777" w:rsidR="00BC011E" w:rsidRDefault="004F205A">
      <w:r>
        <w:t>GDI drawing has dedicated contracts requiring FMX canvas conversion where safe and visual-review reporting where the output should be inspected. Media notification patterns are reported when FMX does not have the same event model. This is a practical safety-first approach: it converts what is reliable, and tells the user when a human must decide.</w:t>
      </w:r>
    </w:p>
    <w:p w14:paraId="1FD62FB4" w14:textId="77777777" w:rsidR="00BC011E" w:rsidRDefault="004F205A">
      <w:r>
        <w:t>MidaConverter public pages mention obsolete-code updates and Winapi functions in prior version notes, but the reviewed public material does not provide the same detailed Windows-message/GDI reporting model. That does not mean Mida lacks such handling; it means this review cannot verify a comparable mechanism from public pages.</w:t>
      </w:r>
    </w:p>
    <w:tbl>
      <w:tblPr>
        <w:tblStyle w:val="TableGrid"/>
        <w:tblW w:w="0" w:type="auto"/>
        <w:jc w:val="center"/>
        <w:tblLayout w:type="fixed"/>
        <w:tblLook w:val="04A0" w:firstRow="1" w:lastRow="0" w:firstColumn="1" w:lastColumn="0" w:noHBand="0" w:noVBand="1"/>
      </w:tblPr>
      <w:tblGrid>
        <w:gridCol w:w="2304"/>
        <w:gridCol w:w="3816"/>
        <w:gridCol w:w="3240"/>
      </w:tblGrid>
      <w:tr w:rsidR="00BC011E" w14:paraId="4860F918" w14:textId="77777777">
        <w:trPr>
          <w:jc w:val="center"/>
        </w:trPr>
        <w:tc>
          <w:tcPr>
            <w:tcW w:w="2304" w:type="dxa"/>
            <w:shd w:val="clear" w:color="auto" w:fill="E8EEF5"/>
            <w:vAlign w:val="center"/>
          </w:tcPr>
          <w:p w14:paraId="76F0E2B4" w14:textId="77777777" w:rsidR="00BC011E" w:rsidRDefault="004F205A">
            <w:pPr>
              <w:spacing w:after="0" w:line="276" w:lineRule="auto"/>
            </w:pPr>
            <w:r>
              <w:rPr>
                <w:b/>
                <w:color w:val="0B2545"/>
                <w:sz w:val="17"/>
              </w:rPr>
              <w:t>Platform behavior</w:t>
            </w:r>
          </w:p>
        </w:tc>
        <w:tc>
          <w:tcPr>
            <w:tcW w:w="3816" w:type="dxa"/>
            <w:shd w:val="clear" w:color="auto" w:fill="E8EEF5"/>
            <w:vAlign w:val="center"/>
          </w:tcPr>
          <w:p w14:paraId="12361D30" w14:textId="77777777" w:rsidR="00BC011E" w:rsidRDefault="004F205A">
            <w:pPr>
              <w:spacing w:after="0" w:line="276" w:lineRule="auto"/>
            </w:pPr>
            <w:r>
              <w:rPr>
                <w:b/>
                <w:color w:val="0B2545"/>
                <w:sz w:val="17"/>
              </w:rPr>
              <w:t>VCL2FMXConverter</w:t>
            </w:r>
          </w:p>
        </w:tc>
        <w:tc>
          <w:tcPr>
            <w:tcW w:w="3240" w:type="dxa"/>
            <w:shd w:val="clear" w:color="auto" w:fill="E8EEF5"/>
            <w:vAlign w:val="center"/>
          </w:tcPr>
          <w:p w14:paraId="410A6F69" w14:textId="77777777" w:rsidR="00BC011E" w:rsidRDefault="004F205A">
            <w:pPr>
              <w:spacing w:after="0" w:line="276" w:lineRule="auto"/>
            </w:pPr>
            <w:r>
              <w:rPr>
                <w:b/>
                <w:color w:val="0B2545"/>
                <w:sz w:val="17"/>
              </w:rPr>
              <w:t>MidaConverter</w:t>
            </w:r>
          </w:p>
        </w:tc>
      </w:tr>
      <w:tr w:rsidR="00BC011E" w14:paraId="03C4C8C5" w14:textId="77777777">
        <w:trPr>
          <w:jc w:val="center"/>
        </w:trPr>
        <w:tc>
          <w:tcPr>
            <w:tcW w:w="2304" w:type="dxa"/>
            <w:vAlign w:val="center"/>
          </w:tcPr>
          <w:p w14:paraId="4B40E16A" w14:textId="77777777" w:rsidR="00BC011E" w:rsidRDefault="004F205A">
            <w:pPr>
              <w:spacing w:after="0" w:line="276" w:lineRule="auto"/>
            </w:pPr>
            <w:r>
              <w:rPr>
                <w:sz w:val="17"/>
              </w:rPr>
              <w:t>Windows messages</w:t>
            </w:r>
          </w:p>
        </w:tc>
        <w:tc>
          <w:tcPr>
            <w:tcW w:w="3816" w:type="dxa"/>
            <w:vAlign w:val="center"/>
          </w:tcPr>
          <w:p w14:paraId="1314753B" w14:textId="77777777" w:rsidR="00BC011E" w:rsidRDefault="004F205A">
            <w:pPr>
              <w:spacing w:after="0" w:line="276" w:lineRule="auto"/>
            </w:pPr>
            <w:r>
              <w:rPr>
                <w:sz w:val="17"/>
              </w:rPr>
              <w:t>40 WinAPI message contracts plus related uses/boundary/project contracts.</w:t>
            </w:r>
          </w:p>
        </w:tc>
        <w:tc>
          <w:tcPr>
            <w:tcW w:w="3240" w:type="dxa"/>
            <w:vAlign w:val="center"/>
          </w:tcPr>
          <w:p w14:paraId="12E2041F" w14:textId="77777777" w:rsidR="00BC011E" w:rsidRDefault="004F205A">
            <w:pPr>
              <w:spacing w:after="0" w:line="276" w:lineRule="auto"/>
            </w:pPr>
            <w:r>
              <w:rPr>
                <w:sz w:val="17"/>
              </w:rPr>
              <w:t>General public detail limited; not enough to compare equivalent depth.</w:t>
            </w:r>
          </w:p>
        </w:tc>
      </w:tr>
      <w:tr w:rsidR="00BC011E" w14:paraId="3132E971" w14:textId="77777777">
        <w:trPr>
          <w:jc w:val="center"/>
        </w:trPr>
        <w:tc>
          <w:tcPr>
            <w:tcW w:w="2304" w:type="dxa"/>
            <w:vAlign w:val="center"/>
          </w:tcPr>
          <w:p w14:paraId="2F56E730" w14:textId="77777777" w:rsidR="00BC011E" w:rsidRDefault="004F205A">
            <w:pPr>
              <w:spacing w:after="0" w:line="276" w:lineRule="auto"/>
            </w:pPr>
            <w:r>
              <w:rPr>
                <w:sz w:val="17"/>
              </w:rPr>
              <w:t>False positives</w:t>
            </w:r>
          </w:p>
        </w:tc>
        <w:tc>
          <w:tcPr>
            <w:tcW w:w="3816" w:type="dxa"/>
            <w:vAlign w:val="center"/>
          </w:tcPr>
          <w:p w14:paraId="33EFEA10" w14:textId="77777777" w:rsidR="00BC011E" w:rsidRDefault="004F205A">
            <w:pPr>
              <w:spacing w:after="0" w:line="276" w:lineRule="auto"/>
            </w:pPr>
            <w:r>
              <w:rPr>
                <w:sz w:val="17"/>
              </w:rPr>
              <w:t>Contracted for comments, strings, user-defined methods, lowercase identifiers, unrelated names.</w:t>
            </w:r>
          </w:p>
        </w:tc>
        <w:tc>
          <w:tcPr>
            <w:tcW w:w="3240" w:type="dxa"/>
            <w:vAlign w:val="center"/>
          </w:tcPr>
          <w:p w14:paraId="15F3488C" w14:textId="77777777" w:rsidR="00BC011E" w:rsidRDefault="004F205A">
            <w:pPr>
              <w:spacing w:after="0" w:line="276" w:lineRule="auto"/>
            </w:pPr>
            <w:r>
              <w:rPr>
                <w:sz w:val="17"/>
              </w:rPr>
              <w:t>No equivalent public detail found.</w:t>
            </w:r>
          </w:p>
        </w:tc>
      </w:tr>
      <w:tr w:rsidR="00BC011E" w14:paraId="5F086C13" w14:textId="77777777">
        <w:trPr>
          <w:jc w:val="center"/>
        </w:trPr>
        <w:tc>
          <w:tcPr>
            <w:tcW w:w="2304" w:type="dxa"/>
            <w:vAlign w:val="center"/>
          </w:tcPr>
          <w:p w14:paraId="093271F1" w14:textId="77777777" w:rsidR="00BC011E" w:rsidRDefault="004F205A">
            <w:pPr>
              <w:spacing w:after="0" w:line="276" w:lineRule="auto"/>
            </w:pPr>
            <w:r>
              <w:rPr>
                <w:sz w:val="17"/>
              </w:rPr>
              <w:t>GDI/Canvas</w:t>
            </w:r>
          </w:p>
        </w:tc>
        <w:tc>
          <w:tcPr>
            <w:tcW w:w="3816" w:type="dxa"/>
            <w:vAlign w:val="center"/>
          </w:tcPr>
          <w:p w14:paraId="6F49CE84" w14:textId="77777777" w:rsidR="00BC011E" w:rsidRDefault="004F205A">
            <w:pPr>
              <w:spacing w:after="0" w:line="276" w:lineRule="auto"/>
            </w:pPr>
            <w:r>
              <w:rPr>
                <w:sz w:val="17"/>
              </w:rPr>
              <w:t>GDI-to-FMX canvas contracts plus visual review reporting.</w:t>
            </w:r>
          </w:p>
        </w:tc>
        <w:tc>
          <w:tcPr>
            <w:tcW w:w="3240" w:type="dxa"/>
            <w:vAlign w:val="center"/>
          </w:tcPr>
          <w:p w14:paraId="7D847EFB" w14:textId="77777777" w:rsidR="00BC011E" w:rsidRDefault="004F205A">
            <w:pPr>
              <w:spacing w:after="0" w:line="276" w:lineRule="auto"/>
            </w:pPr>
            <w:r>
              <w:rPr>
                <w:sz w:val="17"/>
              </w:rPr>
              <w:t>Public pages mention drawing coordinate differences; detailed GDI rule evidence not public.</w:t>
            </w:r>
          </w:p>
        </w:tc>
      </w:tr>
      <w:tr w:rsidR="00BC011E" w14:paraId="00382E88" w14:textId="77777777">
        <w:trPr>
          <w:jc w:val="center"/>
        </w:trPr>
        <w:tc>
          <w:tcPr>
            <w:tcW w:w="2304" w:type="dxa"/>
            <w:vAlign w:val="center"/>
          </w:tcPr>
          <w:p w14:paraId="61270FB5" w14:textId="77777777" w:rsidR="00BC011E" w:rsidRDefault="004F205A">
            <w:pPr>
              <w:spacing w:after="0" w:line="276" w:lineRule="auto"/>
            </w:pPr>
            <w:r>
              <w:rPr>
                <w:sz w:val="17"/>
              </w:rPr>
              <w:t>Media notifications</w:t>
            </w:r>
          </w:p>
        </w:tc>
        <w:tc>
          <w:tcPr>
            <w:tcW w:w="3816" w:type="dxa"/>
            <w:vAlign w:val="center"/>
          </w:tcPr>
          <w:p w14:paraId="329287CB" w14:textId="77777777" w:rsidR="00BC011E" w:rsidRDefault="004F205A">
            <w:pPr>
              <w:spacing w:after="0" w:line="276" w:lineRule="auto"/>
            </w:pPr>
            <w:r>
              <w:rPr>
                <w:sz w:val="17"/>
              </w:rPr>
              <w:t>Contracts and report behavior for cases like OnNotify needing manual FMX wiring.</w:t>
            </w:r>
          </w:p>
        </w:tc>
        <w:tc>
          <w:tcPr>
            <w:tcW w:w="3240" w:type="dxa"/>
            <w:vAlign w:val="center"/>
          </w:tcPr>
          <w:p w14:paraId="3A7045F2" w14:textId="77777777" w:rsidR="00BC011E" w:rsidRDefault="004F205A">
            <w:pPr>
              <w:spacing w:after="0" w:line="276" w:lineRule="auto"/>
            </w:pPr>
            <w:r>
              <w:rPr>
                <w:sz w:val="17"/>
              </w:rPr>
              <w:t>No equivalent public detail found in reviewed pages.</w:t>
            </w:r>
          </w:p>
        </w:tc>
      </w:tr>
      <w:tr w:rsidR="00BC011E" w14:paraId="27E6F863" w14:textId="77777777">
        <w:trPr>
          <w:jc w:val="center"/>
        </w:trPr>
        <w:tc>
          <w:tcPr>
            <w:tcW w:w="2304" w:type="dxa"/>
            <w:vAlign w:val="center"/>
          </w:tcPr>
          <w:p w14:paraId="065DD42D" w14:textId="77777777" w:rsidR="00BC011E" w:rsidRDefault="004F205A">
            <w:pPr>
              <w:spacing w:after="0" w:line="276" w:lineRule="auto"/>
            </w:pPr>
            <w:r>
              <w:rPr>
                <w:sz w:val="17"/>
              </w:rPr>
              <w:t>Uses consequences</w:t>
            </w:r>
          </w:p>
        </w:tc>
        <w:tc>
          <w:tcPr>
            <w:tcW w:w="3816" w:type="dxa"/>
            <w:vAlign w:val="center"/>
          </w:tcPr>
          <w:p w14:paraId="58A181BD" w14:textId="77777777" w:rsidR="00BC011E" w:rsidRDefault="004F205A">
            <w:pPr>
              <w:spacing w:after="0" w:line="276" w:lineRule="auto"/>
            </w:pPr>
            <w:r>
              <w:rPr>
                <w:sz w:val="17"/>
              </w:rPr>
              <w:t>Winapi.Messages/Windows/System.Messaging/FM units are added or removed by active need under tests.</w:t>
            </w:r>
          </w:p>
        </w:tc>
        <w:tc>
          <w:tcPr>
            <w:tcW w:w="3240" w:type="dxa"/>
            <w:vAlign w:val="center"/>
          </w:tcPr>
          <w:p w14:paraId="46FB0B22" w14:textId="77777777" w:rsidR="00BC011E" w:rsidRDefault="004F205A">
            <w:pPr>
              <w:spacing w:after="0" w:line="276" w:lineRule="auto"/>
            </w:pPr>
            <w:r>
              <w:rPr>
                <w:sz w:val="17"/>
              </w:rPr>
              <w:t>Public pages say units are added/removed through conversion tables/scripts; specific Windows-message rules not public.</w:t>
            </w:r>
          </w:p>
        </w:tc>
      </w:tr>
    </w:tbl>
    <w:p w14:paraId="62D3AA0E" w14:textId="77777777" w:rsidR="00BC011E" w:rsidRDefault="00BC011E">
      <w:pPr>
        <w:spacing w:after="40"/>
      </w:pPr>
    </w:p>
    <w:p w14:paraId="6D2FCED9" w14:textId="77777777" w:rsidR="00BC011E" w:rsidRDefault="004F205A">
      <w:pPr>
        <w:pStyle w:val="Heading1"/>
      </w:pPr>
      <w:bookmarkStart w:id="15" w:name="_Toc233733831"/>
      <w:r>
        <w:rPr>
          <w:rFonts w:ascii="Calibri" w:hAnsi="Calibri"/>
        </w:rPr>
        <w:t>10. Reporting, Dry-Run, Validation, and Regression Discipline</w:t>
      </w:r>
      <w:bookmarkEnd w:id="15"/>
    </w:p>
    <w:p w14:paraId="5E1F4D05" w14:textId="77777777" w:rsidR="00BC011E" w:rsidRDefault="004F205A">
      <w:r>
        <w:t>This is the area where VCL2FMXConverter v5 most clearly separates itself. The contract system is not runtime conversion data; it is an executable engineering safety net. Normal user projects are not compared against every contract. Instead, each contract is a small source input and expectation pair used by the test runner to prove that a converter rule behaves correctly.</w:t>
      </w:r>
    </w:p>
    <w:p w14:paraId="71DAB21F" w14:textId="77777777" w:rsidR="00BC011E" w:rsidRDefault="004F205A">
      <w:r>
        <w:t>The v5 runner finds expectation files under the contracts tree, loads the matching fixture, runs the converter against temporary output, and validates generated Pascal/FMXL/DPR/report behavior against the expected status, expected conversions, expected manual reviews, required units, absent units, output patterns, forbidden output patterns, report patterns, and forbidden report patterns.</w:t>
      </w:r>
    </w:p>
    <w:p w14:paraId="6DF05262" w14:textId="77777777" w:rsidR="00BC011E" w:rsidRDefault="004F205A">
      <w:r>
        <w:t>This creates a strong loop: when a real project exposes a problem, a small fixture can be created, the expected behavior can be written down, the converter can be changed, and the whole suite can prove the fix does not break prior behavior.</w:t>
      </w:r>
    </w:p>
    <w:p w14:paraId="37957502" w14:textId="77777777" w:rsidR="00BC011E" w:rsidRDefault="004F205A">
      <w:r>
        <w:t>MidaConverter public pages do not show an equivalent publicly shipped contract suite. It may have internal tests, but from the user's point of view those tests are not part of the product evidence.</w:t>
      </w:r>
    </w:p>
    <w:tbl>
      <w:tblPr>
        <w:tblStyle w:val="TableGrid"/>
        <w:tblW w:w="0" w:type="auto"/>
        <w:jc w:val="center"/>
        <w:tblLayout w:type="fixed"/>
        <w:tblLook w:val="04A0" w:firstRow="1" w:lastRow="0" w:firstColumn="1" w:lastColumn="0" w:noHBand="0" w:noVBand="1"/>
      </w:tblPr>
      <w:tblGrid>
        <w:gridCol w:w="2232"/>
        <w:gridCol w:w="3816"/>
        <w:gridCol w:w="3312"/>
      </w:tblGrid>
      <w:tr w:rsidR="00BC011E" w14:paraId="713ADA34" w14:textId="77777777">
        <w:trPr>
          <w:jc w:val="center"/>
        </w:trPr>
        <w:tc>
          <w:tcPr>
            <w:tcW w:w="2232" w:type="dxa"/>
            <w:shd w:val="clear" w:color="auto" w:fill="E8EEF5"/>
            <w:vAlign w:val="center"/>
          </w:tcPr>
          <w:p w14:paraId="7BB6ADDB" w14:textId="77777777" w:rsidR="00BC011E" w:rsidRDefault="004F205A">
            <w:pPr>
              <w:spacing w:after="0" w:line="276" w:lineRule="auto"/>
            </w:pPr>
            <w:r>
              <w:rPr>
                <w:b/>
                <w:color w:val="0B2545"/>
                <w:sz w:val="17"/>
              </w:rPr>
              <w:t>Quality/control area</w:t>
            </w:r>
          </w:p>
        </w:tc>
        <w:tc>
          <w:tcPr>
            <w:tcW w:w="3816" w:type="dxa"/>
            <w:shd w:val="clear" w:color="auto" w:fill="E8EEF5"/>
            <w:vAlign w:val="center"/>
          </w:tcPr>
          <w:p w14:paraId="2A38AC7C" w14:textId="77777777" w:rsidR="00BC011E" w:rsidRDefault="004F205A">
            <w:pPr>
              <w:spacing w:after="0" w:line="276" w:lineRule="auto"/>
            </w:pPr>
            <w:r>
              <w:rPr>
                <w:b/>
                <w:color w:val="0B2545"/>
                <w:sz w:val="17"/>
              </w:rPr>
              <w:t>VCL2FMXConverter</w:t>
            </w:r>
          </w:p>
        </w:tc>
        <w:tc>
          <w:tcPr>
            <w:tcW w:w="3312" w:type="dxa"/>
            <w:shd w:val="clear" w:color="auto" w:fill="E8EEF5"/>
            <w:vAlign w:val="center"/>
          </w:tcPr>
          <w:p w14:paraId="5B3DE9B0" w14:textId="77777777" w:rsidR="00BC011E" w:rsidRDefault="004F205A">
            <w:pPr>
              <w:spacing w:after="0" w:line="276" w:lineRule="auto"/>
            </w:pPr>
            <w:r>
              <w:rPr>
                <w:b/>
                <w:color w:val="0B2545"/>
                <w:sz w:val="17"/>
              </w:rPr>
              <w:t>MidaConverter</w:t>
            </w:r>
          </w:p>
        </w:tc>
      </w:tr>
      <w:tr w:rsidR="00BC011E" w14:paraId="7F5C3869" w14:textId="77777777">
        <w:trPr>
          <w:jc w:val="center"/>
        </w:trPr>
        <w:tc>
          <w:tcPr>
            <w:tcW w:w="2232" w:type="dxa"/>
            <w:vAlign w:val="center"/>
          </w:tcPr>
          <w:p w14:paraId="79D1F1DA" w14:textId="77777777" w:rsidR="00BC011E" w:rsidRDefault="004F205A">
            <w:pPr>
              <w:spacing w:after="0" w:line="276" w:lineRule="auto"/>
            </w:pPr>
            <w:r>
              <w:rPr>
                <w:sz w:val="17"/>
              </w:rPr>
              <w:t>Dry-run preview</w:t>
            </w:r>
          </w:p>
        </w:tc>
        <w:tc>
          <w:tcPr>
            <w:tcW w:w="3816" w:type="dxa"/>
            <w:vAlign w:val="center"/>
          </w:tcPr>
          <w:p w14:paraId="063826DE" w14:textId="77777777" w:rsidR="00BC011E" w:rsidRDefault="004F205A">
            <w:pPr>
              <w:spacing w:after="0" w:line="276" w:lineRule="auto"/>
            </w:pPr>
            <w:r>
              <w:rPr>
                <w:sz w:val="17"/>
              </w:rPr>
              <w:t>Yes: v5 dry-run mode and no-artifact contract coverage.</w:t>
            </w:r>
          </w:p>
        </w:tc>
        <w:tc>
          <w:tcPr>
            <w:tcW w:w="3312" w:type="dxa"/>
            <w:vAlign w:val="center"/>
          </w:tcPr>
          <w:p w14:paraId="3337D111" w14:textId="77777777" w:rsidR="00BC011E" w:rsidRDefault="004F205A">
            <w:pPr>
              <w:spacing w:after="0" w:line="276" w:lineRule="auto"/>
            </w:pPr>
            <w:r>
              <w:rPr>
                <w:sz w:val="17"/>
              </w:rPr>
              <w:t>Not identified in reviewed public pages.</w:t>
            </w:r>
          </w:p>
        </w:tc>
      </w:tr>
      <w:tr w:rsidR="00BC011E" w14:paraId="3FD672DC" w14:textId="77777777">
        <w:trPr>
          <w:jc w:val="center"/>
        </w:trPr>
        <w:tc>
          <w:tcPr>
            <w:tcW w:w="2232" w:type="dxa"/>
            <w:vAlign w:val="center"/>
          </w:tcPr>
          <w:p w14:paraId="0FED200A" w14:textId="77777777" w:rsidR="00BC011E" w:rsidRDefault="004F205A">
            <w:pPr>
              <w:spacing w:after="0" w:line="276" w:lineRule="auto"/>
            </w:pPr>
            <w:r>
              <w:rPr>
                <w:sz w:val="17"/>
              </w:rPr>
              <w:t>HTML/text report</w:t>
            </w:r>
          </w:p>
        </w:tc>
        <w:tc>
          <w:tcPr>
            <w:tcW w:w="3816" w:type="dxa"/>
            <w:vAlign w:val="center"/>
          </w:tcPr>
          <w:p w14:paraId="16F2D7E8" w14:textId="77777777" w:rsidR="00BC011E" w:rsidRDefault="004F205A">
            <w:pPr>
              <w:spacing w:after="0" w:line="276" w:lineRule="auto"/>
            </w:pPr>
            <w:r>
              <w:rPr>
                <w:sz w:val="17"/>
              </w:rPr>
              <w:t>Detailed report with issue counts, manual review categories, source locations, expected warnings, and review guidance.</w:t>
            </w:r>
          </w:p>
        </w:tc>
        <w:tc>
          <w:tcPr>
            <w:tcW w:w="3312" w:type="dxa"/>
            <w:vAlign w:val="center"/>
          </w:tcPr>
          <w:p w14:paraId="7D51A290" w14:textId="77777777" w:rsidR="00BC011E" w:rsidRDefault="004F205A">
            <w:pPr>
              <w:spacing w:after="0" w:line="276" w:lineRule="auto"/>
            </w:pPr>
            <w:r>
              <w:rPr>
                <w:sz w:val="17"/>
              </w:rPr>
              <w:t>Public report behavior not described in detail.</w:t>
            </w:r>
          </w:p>
        </w:tc>
      </w:tr>
      <w:tr w:rsidR="00BC011E" w14:paraId="7B18C011" w14:textId="77777777">
        <w:trPr>
          <w:jc w:val="center"/>
        </w:trPr>
        <w:tc>
          <w:tcPr>
            <w:tcW w:w="2232" w:type="dxa"/>
            <w:vAlign w:val="center"/>
          </w:tcPr>
          <w:p w14:paraId="21014834" w14:textId="77777777" w:rsidR="00BC011E" w:rsidRDefault="004F205A">
            <w:pPr>
              <w:spacing w:after="0" w:line="276" w:lineRule="auto"/>
            </w:pPr>
            <w:r>
              <w:rPr>
                <w:sz w:val="17"/>
              </w:rPr>
              <w:t>Executable expectations</w:t>
            </w:r>
          </w:p>
        </w:tc>
        <w:tc>
          <w:tcPr>
            <w:tcW w:w="3816" w:type="dxa"/>
            <w:vAlign w:val="center"/>
          </w:tcPr>
          <w:p w14:paraId="493BA40B" w14:textId="6F6C4AE7" w:rsidR="00BC011E" w:rsidRDefault="00433ED2">
            <w:pPr>
              <w:spacing w:after="0" w:line="276" w:lineRule="auto"/>
            </w:pPr>
            <w:r>
              <w:rPr>
                <w:sz w:val="17"/>
              </w:rPr>
              <w:t>227</w:t>
            </w:r>
            <w:r w:rsidR="00344484">
              <w:rPr>
                <w:sz w:val="17"/>
              </w:rPr>
              <w:t xml:space="preserve"> pass / 0 fail</w:t>
            </w:r>
            <w:r w:rsidR="004F205A">
              <w:rPr>
                <w:sz w:val="17"/>
              </w:rPr>
              <w:t xml:space="preserve"> reported in contracts README.</w:t>
            </w:r>
          </w:p>
        </w:tc>
        <w:tc>
          <w:tcPr>
            <w:tcW w:w="3312" w:type="dxa"/>
            <w:vAlign w:val="center"/>
          </w:tcPr>
          <w:p w14:paraId="101119D5" w14:textId="77777777" w:rsidR="00BC011E" w:rsidRDefault="004F205A">
            <w:pPr>
              <w:spacing w:after="0" w:line="276" w:lineRule="auto"/>
            </w:pPr>
            <w:r>
              <w:rPr>
                <w:sz w:val="17"/>
              </w:rPr>
              <w:t>No public fixture suite found.</w:t>
            </w:r>
          </w:p>
        </w:tc>
      </w:tr>
      <w:tr w:rsidR="00BC011E" w14:paraId="276EAC66" w14:textId="77777777">
        <w:trPr>
          <w:jc w:val="center"/>
        </w:trPr>
        <w:tc>
          <w:tcPr>
            <w:tcW w:w="2232" w:type="dxa"/>
            <w:vAlign w:val="center"/>
          </w:tcPr>
          <w:p w14:paraId="7F8D3526" w14:textId="77777777" w:rsidR="00BC011E" w:rsidRDefault="004F205A">
            <w:pPr>
              <w:spacing w:after="0" w:line="276" w:lineRule="auto"/>
            </w:pPr>
            <w:r>
              <w:rPr>
                <w:sz w:val="17"/>
              </w:rPr>
              <w:t>Regression guards</w:t>
            </w:r>
          </w:p>
        </w:tc>
        <w:tc>
          <w:tcPr>
            <w:tcW w:w="3816" w:type="dxa"/>
            <w:vAlign w:val="center"/>
          </w:tcPr>
          <w:p w14:paraId="673CDF13" w14:textId="77777777" w:rsidR="00BC011E" w:rsidRDefault="004F205A">
            <w:pPr>
              <w:spacing w:after="0" w:line="276" w:lineRule="auto"/>
            </w:pPr>
            <w:r>
              <w:rPr>
                <w:sz w:val="17"/>
              </w:rPr>
              <w:t>Separate regression guards used after converter changes.</w:t>
            </w:r>
          </w:p>
        </w:tc>
        <w:tc>
          <w:tcPr>
            <w:tcW w:w="3312" w:type="dxa"/>
            <w:vAlign w:val="center"/>
          </w:tcPr>
          <w:p w14:paraId="2546C7E0" w14:textId="77777777" w:rsidR="00BC011E" w:rsidRDefault="004F205A">
            <w:pPr>
              <w:spacing w:after="0" w:line="276" w:lineRule="auto"/>
            </w:pPr>
            <w:r>
              <w:rPr>
                <w:sz w:val="17"/>
              </w:rPr>
              <w:t>No public equivalent found.</w:t>
            </w:r>
          </w:p>
        </w:tc>
      </w:tr>
      <w:tr w:rsidR="00BC011E" w14:paraId="0318FD44" w14:textId="77777777">
        <w:trPr>
          <w:jc w:val="center"/>
        </w:trPr>
        <w:tc>
          <w:tcPr>
            <w:tcW w:w="2232" w:type="dxa"/>
            <w:vAlign w:val="center"/>
          </w:tcPr>
          <w:p w14:paraId="5BD89E98" w14:textId="77777777" w:rsidR="00BC011E" w:rsidRDefault="004F205A">
            <w:pPr>
              <w:spacing w:after="0" w:line="276" w:lineRule="auto"/>
            </w:pPr>
            <w:r>
              <w:rPr>
                <w:sz w:val="17"/>
              </w:rPr>
              <w:t>Public user trust</w:t>
            </w:r>
          </w:p>
        </w:tc>
        <w:tc>
          <w:tcPr>
            <w:tcW w:w="3816" w:type="dxa"/>
            <w:vAlign w:val="center"/>
          </w:tcPr>
          <w:p w14:paraId="20490962" w14:textId="77777777" w:rsidR="00BC011E" w:rsidRDefault="004F205A">
            <w:pPr>
              <w:spacing w:after="0" w:line="276" w:lineRule="auto"/>
            </w:pPr>
            <w:r>
              <w:rPr>
                <w:sz w:val="17"/>
              </w:rPr>
              <w:t>High because the tests and rules are inspectable.</w:t>
            </w:r>
          </w:p>
        </w:tc>
        <w:tc>
          <w:tcPr>
            <w:tcW w:w="3312" w:type="dxa"/>
            <w:vAlign w:val="center"/>
          </w:tcPr>
          <w:p w14:paraId="2CF9B81D" w14:textId="77777777" w:rsidR="00BC011E" w:rsidRDefault="004F205A">
            <w:pPr>
              <w:spacing w:after="0" w:line="276" w:lineRule="auto"/>
            </w:pPr>
            <w:r>
              <w:rPr>
                <w:sz w:val="17"/>
              </w:rPr>
              <w:t>Based on vendor claims, product maturity, and user's own testing.</w:t>
            </w:r>
          </w:p>
        </w:tc>
      </w:tr>
    </w:tbl>
    <w:p w14:paraId="70B8CD2D" w14:textId="77777777" w:rsidR="00BC011E" w:rsidRDefault="00BC011E">
      <w:pPr>
        <w:spacing w:after="40"/>
      </w:pPr>
    </w:p>
    <w:p w14:paraId="7CA42F62" w14:textId="77777777" w:rsidR="00BC011E" w:rsidRDefault="004F205A">
      <w:pPr>
        <w:pStyle w:val="Heading1"/>
      </w:pPr>
      <w:bookmarkStart w:id="16" w:name="_Toc233733832"/>
      <w:r>
        <w:rPr>
          <w:rFonts w:ascii="Calibri" w:hAnsi="Calibri"/>
        </w:rPr>
        <w:t>11. Documentation and User Workflow</w:t>
      </w:r>
      <w:bookmarkEnd w:id="16"/>
    </w:p>
    <w:p w14:paraId="41BAB312" w14:textId="77777777" w:rsidR="00BC011E" w:rsidRDefault="004F205A">
      <w:r>
        <w:t>VCL2FMXConverter v5 includes a user guide, engineering guide, conversion contracts guide, runtime flow reference, rules/component/property/event maps, HTML help, contract README, contract manifest, mapping-pack references, and source-distribution packaging. The documentation explains both operator workflow and engineering behavior.</w:t>
      </w:r>
    </w:p>
    <w:p w14:paraId="327485BE" w14:textId="77777777" w:rsidR="00BC011E" w:rsidRDefault="004F205A">
      <w:r>
        <w:t>The user workflow is practical: prepare a source copy, choose source and output folders, optionally use dry-run preview, run conversion, open reports, inspect manual-review items, open the generated project in Delphi, and validate real workflows. The tool emphasizes that source input should remain untouched and generated output goes to a separate folder.</w:t>
      </w:r>
    </w:p>
    <w:p w14:paraId="3B3B9973" w14:textId="77777777" w:rsidR="00BC011E" w:rsidRDefault="004F205A">
      <w:r>
        <w:t>MidaConverter public documentation is website-based and product-page oriented. It explains major feature families and gives examples of conversions. It is less transparent about test methodology, report format, and detailed rule behavior, at least from the reviewed public material.</w:t>
      </w:r>
    </w:p>
    <w:tbl>
      <w:tblPr>
        <w:tblStyle w:val="TableGrid"/>
        <w:tblW w:w="0" w:type="auto"/>
        <w:jc w:val="center"/>
        <w:tblLayout w:type="fixed"/>
        <w:tblLook w:val="04A0" w:firstRow="1" w:lastRow="0" w:firstColumn="1" w:lastColumn="0" w:noHBand="0" w:noVBand="1"/>
      </w:tblPr>
      <w:tblGrid>
        <w:gridCol w:w="2160"/>
        <w:gridCol w:w="3816"/>
        <w:gridCol w:w="3384"/>
      </w:tblGrid>
      <w:tr w:rsidR="00BC011E" w14:paraId="03C3D094" w14:textId="77777777">
        <w:trPr>
          <w:jc w:val="center"/>
        </w:trPr>
        <w:tc>
          <w:tcPr>
            <w:tcW w:w="2160" w:type="dxa"/>
            <w:shd w:val="clear" w:color="auto" w:fill="E8EEF5"/>
            <w:vAlign w:val="center"/>
          </w:tcPr>
          <w:p w14:paraId="787A98EE" w14:textId="77777777" w:rsidR="00BC011E" w:rsidRDefault="004F205A">
            <w:pPr>
              <w:spacing w:after="0" w:line="276" w:lineRule="auto"/>
            </w:pPr>
            <w:r>
              <w:rPr>
                <w:b/>
                <w:color w:val="0B2545"/>
                <w:sz w:val="17"/>
              </w:rPr>
              <w:t>Documentation area</w:t>
            </w:r>
          </w:p>
        </w:tc>
        <w:tc>
          <w:tcPr>
            <w:tcW w:w="3816" w:type="dxa"/>
            <w:shd w:val="clear" w:color="auto" w:fill="E8EEF5"/>
            <w:vAlign w:val="center"/>
          </w:tcPr>
          <w:p w14:paraId="1249DF98" w14:textId="77777777" w:rsidR="00BC011E" w:rsidRDefault="004F205A">
            <w:pPr>
              <w:spacing w:after="0" w:line="276" w:lineRule="auto"/>
            </w:pPr>
            <w:r>
              <w:rPr>
                <w:b/>
                <w:color w:val="0B2545"/>
                <w:sz w:val="17"/>
              </w:rPr>
              <w:t>VCL2FMXConverter</w:t>
            </w:r>
          </w:p>
        </w:tc>
        <w:tc>
          <w:tcPr>
            <w:tcW w:w="3384" w:type="dxa"/>
            <w:shd w:val="clear" w:color="auto" w:fill="E8EEF5"/>
            <w:vAlign w:val="center"/>
          </w:tcPr>
          <w:p w14:paraId="37138AE2" w14:textId="77777777" w:rsidR="00BC011E" w:rsidRDefault="004F205A">
            <w:pPr>
              <w:spacing w:after="0" w:line="276" w:lineRule="auto"/>
            </w:pPr>
            <w:r>
              <w:rPr>
                <w:b/>
                <w:color w:val="0B2545"/>
                <w:sz w:val="17"/>
              </w:rPr>
              <w:t>MidaConverter</w:t>
            </w:r>
          </w:p>
        </w:tc>
      </w:tr>
      <w:tr w:rsidR="00BC011E" w14:paraId="12000A55" w14:textId="77777777">
        <w:trPr>
          <w:jc w:val="center"/>
        </w:trPr>
        <w:tc>
          <w:tcPr>
            <w:tcW w:w="2160" w:type="dxa"/>
            <w:vAlign w:val="center"/>
          </w:tcPr>
          <w:p w14:paraId="0A257464" w14:textId="77777777" w:rsidR="00BC011E" w:rsidRDefault="004F205A">
            <w:pPr>
              <w:spacing w:after="0" w:line="276" w:lineRule="auto"/>
            </w:pPr>
            <w:r>
              <w:rPr>
                <w:sz w:val="17"/>
              </w:rPr>
              <w:t>Operator docs</w:t>
            </w:r>
          </w:p>
        </w:tc>
        <w:tc>
          <w:tcPr>
            <w:tcW w:w="3816" w:type="dxa"/>
            <w:vAlign w:val="center"/>
          </w:tcPr>
          <w:p w14:paraId="59EEE3C3" w14:textId="77777777" w:rsidR="00BC011E" w:rsidRDefault="004F205A">
            <w:pPr>
              <w:spacing w:after="0" w:line="276" w:lineRule="auto"/>
            </w:pPr>
            <w:r>
              <w:rPr>
                <w:sz w:val="17"/>
              </w:rPr>
              <w:t>Detailed local user guide and HTML help.</w:t>
            </w:r>
          </w:p>
        </w:tc>
        <w:tc>
          <w:tcPr>
            <w:tcW w:w="3384" w:type="dxa"/>
            <w:vAlign w:val="center"/>
          </w:tcPr>
          <w:p w14:paraId="3CA49BF6" w14:textId="77777777" w:rsidR="00BC011E" w:rsidRDefault="004F205A">
            <w:pPr>
              <w:spacing w:after="0" w:line="276" w:lineRule="auto"/>
            </w:pPr>
            <w:r>
              <w:rPr>
                <w:sz w:val="17"/>
              </w:rPr>
              <w:t>Public website/FAQ/product pages.</w:t>
            </w:r>
          </w:p>
        </w:tc>
      </w:tr>
      <w:tr w:rsidR="00BC011E" w14:paraId="1A86F844" w14:textId="77777777">
        <w:trPr>
          <w:jc w:val="center"/>
        </w:trPr>
        <w:tc>
          <w:tcPr>
            <w:tcW w:w="2160" w:type="dxa"/>
            <w:vAlign w:val="center"/>
          </w:tcPr>
          <w:p w14:paraId="269909D1" w14:textId="77777777" w:rsidR="00BC011E" w:rsidRDefault="004F205A">
            <w:pPr>
              <w:spacing w:after="0" w:line="276" w:lineRule="auto"/>
            </w:pPr>
            <w:r>
              <w:rPr>
                <w:sz w:val="17"/>
              </w:rPr>
              <w:t>Engineering docs</w:t>
            </w:r>
          </w:p>
        </w:tc>
        <w:tc>
          <w:tcPr>
            <w:tcW w:w="3816" w:type="dxa"/>
            <w:vAlign w:val="center"/>
          </w:tcPr>
          <w:p w14:paraId="581A4D79" w14:textId="77777777" w:rsidR="00BC011E" w:rsidRDefault="004F205A">
            <w:pPr>
              <w:spacing w:after="0" w:line="276" w:lineRule="auto"/>
            </w:pPr>
            <w:r>
              <w:rPr>
                <w:sz w:val="17"/>
              </w:rPr>
              <w:t>Engineering guide, contracts guide, source notes, manifests.</w:t>
            </w:r>
          </w:p>
        </w:tc>
        <w:tc>
          <w:tcPr>
            <w:tcW w:w="3384" w:type="dxa"/>
            <w:vAlign w:val="center"/>
          </w:tcPr>
          <w:p w14:paraId="041AFDCB" w14:textId="77777777" w:rsidR="00BC011E" w:rsidRDefault="004F205A">
            <w:pPr>
              <w:spacing w:after="0" w:line="276" w:lineRule="auto"/>
            </w:pPr>
            <w:r>
              <w:rPr>
                <w:sz w:val="17"/>
              </w:rPr>
              <w:t>Public feature pages; internal engineering docs not visible.</w:t>
            </w:r>
          </w:p>
        </w:tc>
      </w:tr>
      <w:tr w:rsidR="00BC011E" w14:paraId="14ADC2A4" w14:textId="77777777">
        <w:trPr>
          <w:jc w:val="center"/>
        </w:trPr>
        <w:tc>
          <w:tcPr>
            <w:tcW w:w="2160" w:type="dxa"/>
            <w:vAlign w:val="center"/>
          </w:tcPr>
          <w:p w14:paraId="46EEFFED" w14:textId="77777777" w:rsidR="00BC011E" w:rsidRDefault="004F205A">
            <w:pPr>
              <w:spacing w:after="0" w:line="276" w:lineRule="auto"/>
            </w:pPr>
            <w:r>
              <w:rPr>
                <w:sz w:val="17"/>
              </w:rPr>
              <w:t>Rule references</w:t>
            </w:r>
          </w:p>
        </w:tc>
        <w:tc>
          <w:tcPr>
            <w:tcW w:w="3816" w:type="dxa"/>
            <w:vAlign w:val="center"/>
          </w:tcPr>
          <w:p w14:paraId="59DCFBEA" w14:textId="77777777" w:rsidR="00BC011E" w:rsidRDefault="004F205A">
            <w:pPr>
              <w:spacing w:after="0" w:line="276" w:lineRule="auto"/>
            </w:pPr>
            <w:r>
              <w:rPr>
                <w:sz w:val="17"/>
              </w:rPr>
              <w:t>Rules and mapping references generated for v5.</w:t>
            </w:r>
          </w:p>
        </w:tc>
        <w:tc>
          <w:tcPr>
            <w:tcW w:w="3384" w:type="dxa"/>
            <w:vAlign w:val="center"/>
          </w:tcPr>
          <w:p w14:paraId="0DB93187" w14:textId="77777777" w:rsidR="00BC011E" w:rsidRDefault="004F205A">
            <w:pPr>
              <w:spacing w:after="0" w:line="276" w:lineRule="auto"/>
            </w:pPr>
            <w:r>
              <w:rPr>
                <w:sz w:val="17"/>
              </w:rPr>
              <w:t>Custom conversion examples and comparison/order pages; full internal rules not visible.</w:t>
            </w:r>
          </w:p>
        </w:tc>
      </w:tr>
      <w:tr w:rsidR="00BC011E" w14:paraId="096CD557" w14:textId="77777777">
        <w:trPr>
          <w:jc w:val="center"/>
        </w:trPr>
        <w:tc>
          <w:tcPr>
            <w:tcW w:w="2160" w:type="dxa"/>
            <w:vAlign w:val="center"/>
          </w:tcPr>
          <w:p w14:paraId="6910C2B3" w14:textId="77777777" w:rsidR="00BC011E" w:rsidRDefault="004F205A">
            <w:pPr>
              <w:spacing w:after="0" w:line="276" w:lineRule="auto"/>
            </w:pPr>
            <w:r>
              <w:rPr>
                <w:sz w:val="17"/>
              </w:rPr>
              <w:t>Source distribution</w:t>
            </w:r>
          </w:p>
        </w:tc>
        <w:tc>
          <w:tcPr>
            <w:tcW w:w="3816" w:type="dxa"/>
            <w:vAlign w:val="center"/>
          </w:tcPr>
          <w:p w14:paraId="430A44EA" w14:textId="77777777" w:rsidR="00BC011E" w:rsidRDefault="004F205A">
            <w:pPr>
              <w:spacing w:after="0" w:line="276" w:lineRule="auto"/>
            </w:pPr>
            <w:r>
              <w:rPr>
                <w:sz w:val="17"/>
              </w:rPr>
              <w:t>Includes source, mapping packs, contracts, docs appropriate for compile/build.</w:t>
            </w:r>
          </w:p>
        </w:tc>
        <w:tc>
          <w:tcPr>
            <w:tcW w:w="3384" w:type="dxa"/>
            <w:vAlign w:val="center"/>
          </w:tcPr>
          <w:p w14:paraId="7C029075" w14:textId="77777777" w:rsidR="00BC011E" w:rsidRDefault="004F205A">
            <w:pPr>
              <w:spacing w:after="0" w:line="276" w:lineRule="auto"/>
            </w:pPr>
            <w:r>
              <w:rPr>
                <w:sz w:val="17"/>
              </w:rPr>
              <w:t>Commercial installer/download model.</w:t>
            </w:r>
          </w:p>
        </w:tc>
      </w:tr>
    </w:tbl>
    <w:p w14:paraId="2F410F66" w14:textId="77777777" w:rsidR="00BC011E" w:rsidRDefault="00BC011E">
      <w:pPr>
        <w:spacing w:after="40"/>
      </w:pPr>
    </w:p>
    <w:p w14:paraId="6DF876A5" w14:textId="77777777" w:rsidR="00BC011E" w:rsidRDefault="004F205A">
      <w:pPr>
        <w:pStyle w:val="Heading1"/>
      </w:pPr>
      <w:bookmarkStart w:id="17" w:name="_Toc233733833"/>
      <w:r>
        <w:rPr>
          <w:rFonts w:ascii="Calibri" w:hAnsi="Calibri"/>
        </w:rPr>
        <w:t>12. Risk Profile and Limitations</w:t>
      </w:r>
      <w:bookmarkEnd w:id="17"/>
    </w:p>
    <w:p w14:paraId="6FEC99CA" w14:textId="77777777" w:rsidR="00BC011E" w:rsidRDefault="004F205A">
      <w:pPr>
        <w:pStyle w:val="Heading2"/>
      </w:pPr>
      <w:bookmarkStart w:id="18" w:name="_Toc233733834"/>
      <w:r>
        <w:rPr>
          <w:rFonts w:ascii="Calibri" w:hAnsi="Calibri"/>
        </w:rPr>
        <w:t>VCL2FMXConverter risk profile</w:t>
      </w:r>
      <w:bookmarkEnd w:id="18"/>
    </w:p>
    <w:p w14:paraId="62D4D257" w14:textId="77777777" w:rsidR="00BC011E" w:rsidRDefault="004F205A">
      <w:r>
        <w:t>The main VCL2FMXConverter risks are scope and maturity. It is powerful for its chosen path, but it does not claim the same advertised breadth as MidaConverter across C++Builder, IntraWeb, TMS WEB Core, mobile packs, report-engine conversion, and database-engine conversion. Some VCL behavior must remain manual review because FMX has no direct equivalent or because automatic conversion would be irresponsible.</w:t>
      </w:r>
    </w:p>
    <w:p w14:paraId="19964C78" w14:textId="77777777" w:rsidR="00BC011E" w:rsidRDefault="004F205A">
      <w:r>
        <w:t>The upside is that these limitations are visible. Unsupported message handlers, GDI drawing, media notifications, status bar panel behavior, nested data-source access, and other risky behaviors are surfaced in reports and can become new contracts when a safe rule is developed.</w:t>
      </w:r>
    </w:p>
    <w:p w14:paraId="36004A8C" w14:textId="77777777" w:rsidR="00BC011E" w:rsidRDefault="004F205A">
      <w:pPr>
        <w:pStyle w:val="Heading2"/>
      </w:pPr>
      <w:bookmarkStart w:id="19" w:name="_Toc233733835"/>
      <w:r>
        <w:rPr>
          <w:rFonts w:ascii="Calibri" w:hAnsi="Calibri"/>
        </w:rPr>
        <w:t>MidaConverter risk profile</w:t>
      </w:r>
      <w:bookmarkEnd w:id="19"/>
    </w:p>
    <w:p w14:paraId="4438A41E" w14:textId="77777777" w:rsidR="00BC011E" w:rsidRDefault="004F205A">
      <w:r>
        <w:t>The main MidaConverter risks are opacity, license dependency, and reliance on public claims without local verification in this review. It advertises broad conversion capability, but the user cannot inspect the internal rule engine or public contract suite from the reviewed material. Also, because it is commercial, cost, activation, update terms, and vendor availability matter.</w:t>
      </w:r>
    </w:p>
    <w:p w14:paraId="4BFCE2C6" w14:textId="77777777" w:rsidR="00BC011E" w:rsidRDefault="004F205A">
      <w:r>
        <w:t>The upside is that MidaConverter appears mature, broadly scoped, and focused on reducing manual migration cost across more target types than VCL2FMXConverter currently targets.</w:t>
      </w:r>
    </w:p>
    <w:tbl>
      <w:tblPr>
        <w:tblStyle w:val="TableGrid"/>
        <w:tblW w:w="0" w:type="auto"/>
        <w:jc w:val="center"/>
        <w:tblLayout w:type="fixed"/>
        <w:tblLook w:val="04A0" w:firstRow="1" w:lastRow="0" w:firstColumn="1" w:lastColumn="0" w:noHBand="0" w:noVBand="1"/>
      </w:tblPr>
      <w:tblGrid>
        <w:gridCol w:w="1944"/>
        <w:gridCol w:w="4320"/>
        <w:gridCol w:w="3096"/>
      </w:tblGrid>
      <w:tr w:rsidR="00BC011E" w14:paraId="29A1BBED" w14:textId="77777777">
        <w:trPr>
          <w:jc w:val="center"/>
        </w:trPr>
        <w:tc>
          <w:tcPr>
            <w:tcW w:w="1944" w:type="dxa"/>
            <w:shd w:val="clear" w:color="auto" w:fill="E8EEF5"/>
            <w:vAlign w:val="center"/>
          </w:tcPr>
          <w:p w14:paraId="3F949188" w14:textId="77777777" w:rsidR="00BC011E" w:rsidRDefault="004F205A">
            <w:pPr>
              <w:spacing w:after="0" w:line="276" w:lineRule="auto"/>
            </w:pPr>
            <w:r>
              <w:rPr>
                <w:b/>
                <w:color w:val="0B2545"/>
                <w:sz w:val="17"/>
              </w:rPr>
              <w:t>Product</w:t>
            </w:r>
          </w:p>
        </w:tc>
        <w:tc>
          <w:tcPr>
            <w:tcW w:w="4320" w:type="dxa"/>
            <w:shd w:val="clear" w:color="auto" w:fill="E8EEF5"/>
            <w:vAlign w:val="center"/>
          </w:tcPr>
          <w:p w14:paraId="419FF2CF" w14:textId="77777777" w:rsidR="00BC011E" w:rsidRDefault="004F205A">
            <w:pPr>
              <w:spacing w:after="0" w:line="276" w:lineRule="auto"/>
            </w:pPr>
            <w:r>
              <w:rPr>
                <w:b/>
                <w:color w:val="0B2545"/>
                <w:sz w:val="17"/>
              </w:rPr>
              <w:t>Main risks</w:t>
            </w:r>
          </w:p>
        </w:tc>
        <w:tc>
          <w:tcPr>
            <w:tcW w:w="3096" w:type="dxa"/>
            <w:shd w:val="clear" w:color="auto" w:fill="E8EEF5"/>
            <w:vAlign w:val="center"/>
          </w:tcPr>
          <w:p w14:paraId="3032D853" w14:textId="77777777" w:rsidR="00BC011E" w:rsidRDefault="004F205A">
            <w:pPr>
              <w:spacing w:after="0" w:line="276" w:lineRule="auto"/>
            </w:pPr>
            <w:r>
              <w:rPr>
                <w:b/>
                <w:color w:val="0B2545"/>
                <w:sz w:val="17"/>
              </w:rPr>
              <w:t>Mitigating strengths</w:t>
            </w:r>
          </w:p>
        </w:tc>
      </w:tr>
      <w:tr w:rsidR="00BC011E" w14:paraId="284CBC2E" w14:textId="77777777">
        <w:trPr>
          <w:jc w:val="center"/>
        </w:trPr>
        <w:tc>
          <w:tcPr>
            <w:tcW w:w="1944" w:type="dxa"/>
            <w:vAlign w:val="center"/>
          </w:tcPr>
          <w:p w14:paraId="3CB3296C" w14:textId="77777777" w:rsidR="00BC011E" w:rsidRDefault="004F205A">
            <w:pPr>
              <w:spacing w:after="0" w:line="276" w:lineRule="auto"/>
            </w:pPr>
            <w:r>
              <w:rPr>
                <w:sz w:val="17"/>
              </w:rPr>
              <w:t>VCL2FMXConverter</w:t>
            </w:r>
          </w:p>
        </w:tc>
        <w:tc>
          <w:tcPr>
            <w:tcW w:w="4320" w:type="dxa"/>
            <w:vAlign w:val="center"/>
          </w:tcPr>
          <w:p w14:paraId="4048E229" w14:textId="77777777" w:rsidR="00BC011E" w:rsidRDefault="004F205A">
            <w:pPr>
              <w:spacing w:after="0" w:line="276" w:lineRule="auto"/>
            </w:pPr>
            <w:r>
              <w:rPr>
                <w:sz w:val="17"/>
              </w:rPr>
              <w:t>Narrower product scope than Mida; still needs manual review for framework mismatches; open-source support depends on maintainer/community effort.</w:t>
            </w:r>
          </w:p>
        </w:tc>
        <w:tc>
          <w:tcPr>
            <w:tcW w:w="3096" w:type="dxa"/>
            <w:vAlign w:val="center"/>
          </w:tcPr>
          <w:p w14:paraId="47191523" w14:textId="77777777" w:rsidR="00BC011E" w:rsidRDefault="004F205A">
            <w:pPr>
              <w:spacing w:after="0" w:line="276" w:lineRule="auto"/>
            </w:pPr>
            <w:r>
              <w:rPr>
                <w:sz w:val="17"/>
              </w:rPr>
              <w:t>Source, mappings, contracts, and reports are visible; user can fix and extend locally.</w:t>
            </w:r>
          </w:p>
        </w:tc>
      </w:tr>
      <w:tr w:rsidR="00BC011E" w14:paraId="165D5F8C" w14:textId="77777777">
        <w:trPr>
          <w:jc w:val="center"/>
        </w:trPr>
        <w:tc>
          <w:tcPr>
            <w:tcW w:w="1944" w:type="dxa"/>
            <w:vAlign w:val="center"/>
          </w:tcPr>
          <w:p w14:paraId="22DBE9BC" w14:textId="77777777" w:rsidR="00BC011E" w:rsidRDefault="004F205A">
            <w:pPr>
              <w:spacing w:after="0" w:line="276" w:lineRule="auto"/>
            </w:pPr>
            <w:r>
              <w:rPr>
                <w:sz w:val="17"/>
              </w:rPr>
              <w:t>MidaConverter</w:t>
            </w:r>
          </w:p>
        </w:tc>
        <w:tc>
          <w:tcPr>
            <w:tcW w:w="4320" w:type="dxa"/>
            <w:vAlign w:val="center"/>
          </w:tcPr>
          <w:p w14:paraId="69A28D89" w14:textId="77777777" w:rsidR="00BC011E" w:rsidRDefault="004F205A">
            <w:pPr>
              <w:spacing w:after="0" w:line="276" w:lineRule="auto"/>
            </w:pPr>
            <w:r>
              <w:rPr>
                <w:sz w:val="17"/>
              </w:rPr>
              <w:t>Commercial lock-in, activation/update terms, hidden internals, no public contract suite in reviewed material.</w:t>
            </w:r>
          </w:p>
        </w:tc>
        <w:tc>
          <w:tcPr>
            <w:tcW w:w="3096" w:type="dxa"/>
            <w:vAlign w:val="center"/>
          </w:tcPr>
          <w:p w14:paraId="1C1CC279" w14:textId="77777777" w:rsidR="00BC011E" w:rsidRDefault="004F205A">
            <w:pPr>
              <w:spacing w:after="0" w:line="276" w:lineRule="auto"/>
            </w:pPr>
            <w:r>
              <w:rPr>
                <w:sz w:val="17"/>
              </w:rPr>
              <w:t>Broad advertised conversion scope; mature feature pages; paid support/update model.</w:t>
            </w:r>
          </w:p>
        </w:tc>
      </w:tr>
    </w:tbl>
    <w:p w14:paraId="17272B32" w14:textId="77777777" w:rsidR="00BC011E" w:rsidRDefault="00BC011E">
      <w:pPr>
        <w:spacing w:after="40"/>
      </w:pPr>
    </w:p>
    <w:p w14:paraId="54B0CC85" w14:textId="16D4EA9B" w:rsidR="00BC011E" w:rsidRDefault="004F205A">
      <w:pPr>
        <w:pStyle w:val="Heading1"/>
      </w:pPr>
      <w:bookmarkStart w:id="20" w:name="_Toc233733836"/>
      <w:r>
        <w:rPr>
          <w:rFonts w:ascii="Calibri" w:hAnsi="Calibri"/>
        </w:rPr>
        <w:t>13. Final User-Value Judgment</w:t>
      </w:r>
      <w:bookmarkEnd w:id="20"/>
      <w:r w:rsidR="00E351B2">
        <w:rPr>
          <w:rFonts w:ascii="Calibri" w:hAnsi="Calibri"/>
        </w:rPr>
        <w:t xml:space="preserve"> – What Provides the Most to Users</w:t>
      </w:r>
    </w:p>
    <w:p w14:paraId="1DA2DC5E" w14:textId="77777777" w:rsidR="00BC011E" w:rsidRDefault="004F205A">
      <w:r>
        <w:t>The answer depends on what 'provides the most' means.</w:t>
      </w:r>
    </w:p>
    <w:p w14:paraId="0BECB1A8" w14:textId="77777777" w:rsidR="00BC011E" w:rsidRDefault="004F205A">
      <w:r>
        <w:t>If 'most' means the largest advertised feature surface, MidaConverter provides more. Its public material covers Delphi and C++Builder, VCL to FMX, VCL to IntraWeb, VCL to TMS WEB Core, mobile-oriented conversion, database-engine migration, report-engine conversion, custom conversion tables, scripts, and many third-party components.</w:t>
      </w:r>
    </w:p>
    <w:p w14:paraId="126833A7" w14:textId="77777777" w:rsidR="00BC011E" w:rsidRDefault="004F205A">
      <w:r>
        <w:t>If 'most' means the strongest user control and trust, VCL2FMXConverter v5.0 Vanguard provides more. It is free, open source, locally inspectable, contract-driven, and designed around explicit report behavior. A user can see exactly what rules exist, how they are tested, and where conversion output requires manual work.</w:t>
      </w:r>
    </w:p>
    <w:p w14:paraId="42925B4B" w14:textId="77777777" w:rsidR="00BC011E" w:rsidRDefault="004F205A">
      <w:r>
        <w:t>If 'most' means practical value for the entire public user base, VCL2FMXConverter has a compelling advantage because it costs nothing, ships source, includes mappings and contracts, and can be improved by users instead of depending entirely on a vendor. It may not do everything Mida advertises, but what it does is much easier to audit, explain, and extend.</w:t>
      </w:r>
    </w:p>
    <w:tbl>
      <w:tblPr>
        <w:tblStyle w:val="TableGrid"/>
        <w:tblW w:w="0" w:type="auto"/>
        <w:jc w:val="center"/>
        <w:tblLayout w:type="fixed"/>
        <w:tblLook w:val="04A0" w:firstRow="1" w:lastRow="0" w:firstColumn="1" w:lastColumn="0" w:noHBand="0" w:noVBand="1"/>
      </w:tblPr>
      <w:tblGrid>
        <w:gridCol w:w="6912"/>
        <w:gridCol w:w="2448"/>
      </w:tblGrid>
      <w:tr w:rsidR="00BC011E" w14:paraId="5275C016" w14:textId="77777777">
        <w:trPr>
          <w:jc w:val="center"/>
        </w:trPr>
        <w:tc>
          <w:tcPr>
            <w:tcW w:w="6912" w:type="dxa"/>
            <w:shd w:val="clear" w:color="auto" w:fill="E8EEF5"/>
            <w:vAlign w:val="center"/>
          </w:tcPr>
          <w:p w14:paraId="03C52CFC" w14:textId="77777777" w:rsidR="00BC011E" w:rsidRDefault="004F205A">
            <w:pPr>
              <w:spacing w:after="0" w:line="276" w:lineRule="auto"/>
            </w:pPr>
            <w:r>
              <w:rPr>
                <w:b/>
                <w:color w:val="0B2545"/>
                <w:sz w:val="18"/>
              </w:rPr>
              <w:t>Decision case</w:t>
            </w:r>
          </w:p>
        </w:tc>
        <w:tc>
          <w:tcPr>
            <w:tcW w:w="2448" w:type="dxa"/>
            <w:shd w:val="clear" w:color="auto" w:fill="E8EEF5"/>
            <w:vAlign w:val="center"/>
          </w:tcPr>
          <w:p w14:paraId="3E5B5FC4" w14:textId="77777777" w:rsidR="00BC011E" w:rsidRDefault="004F205A">
            <w:pPr>
              <w:spacing w:after="0" w:line="276" w:lineRule="auto"/>
            </w:pPr>
            <w:r>
              <w:rPr>
                <w:b/>
                <w:color w:val="0B2545"/>
                <w:sz w:val="18"/>
              </w:rPr>
              <w:t>Stronger fit</w:t>
            </w:r>
          </w:p>
        </w:tc>
      </w:tr>
      <w:tr w:rsidR="00BC011E" w14:paraId="208C6AC4" w14:textId="77777777">
        <w:trPr>
          <w:jc w:val="center"/>
        </w:trPr>
        <w:tc>
          <w:tcPr>
            <w:tcW w:w="6912" w:type="dxa"/>
            <w:vAlign w:val="center"/>
          </w:tcPr>
          <w:p w14:paraId="0A56FCB0" w14:textId="77777777" w:rsidR="00BC011E" w:rsidRDefault="004F205A">
            <w:pPr>
              <w:spacing w:after="0" w:line="276" w:lineRule="auto"/>
            </w:pPr>
            <w:r>
              <w:rPr>
                <w:sz w:val="18"/>
              </w:rPr>
              <w:t>User wants broadest commercial migration suite</w:t>
            </w:r>
          </w:p>
        </w:tc>
        <w:tc>
          <w:tcPr>
            <w:tcW w:w="2448" w:type="dxa"/>
            <w:vAlign w:val="center"/>
          </w:tcPr>
          <w:p w14:paraId="4628A69B" w14:textId="77777777" w:rsidR="00BC011E" w:rsidRDefault="004F205A">
            <w:pPr>
              <w:spacing w:after="0" w:line="276" w:lineRule="auto"/>
            </w:pPr>
            <w:r>
              <w:rPr>
                <w:sz w:val="18"/>
              </w:rPr>
              <w:t>MidaConverter</w:t>
            </w:r>
          </w:p>
        </w:tc>
      </w:tr>
      <w:tr w:rsidR="00BC011E" w14:paraId="4E32DDA9" w14:textId="77777777">
        <w:trPr>
          <w:jc w:val="center"/>
        </w:trPr>
        <w:tc>
          <w:tcPr>
            <w:tcW w:w="6912" w:type="dxa"/>
            <w:vAlign w:val="center"/>
          </w:tcPr>
          <w:p w14:paraId="45E8AE9B" w14:textId="77777777" w:rsidR="00BC011E" w:rsidRDefault="004F205A">
            <w:pPr>
              <w:spacing w:after="0" w:line="276" w:lineRule="auto"/>
            </w:pPr>
            <w:r>
              <w:rPr>
                <w:sz w:val="18"/>
              </w:rPr>
              <w:t>User wants free/open-source VCL-to-FMX conversion</w:t>
            </w:r>
          </w:p>
        </w:tc>
        <w:tc>
          <w:tcPr>
            <w:tcW w:w="2448" w:type="dxa"/>
            <w:vAlign w:val="center"/>
          </w:tcPr>
          <w:p w14:paraId="0A7F3C24" w14:textId="77777777" w:rsidR="00BC011E" w:rsidRDefault="004F205A">
            <w:pPr>
              <w:spacing w:after="0" w:line="276" w:lineRule="auto"/>
            </w:pPr>
            <w:r>
              <w:rPr>
                <w:sz w:val="18"/>
              </w:rPr>
              <w:t>VCL2FMXConverter</w:t>
            </w:r>
          </w:p>
        </w:tc>
      </w:tr>
      <w:tr w:rsidR="00BC011E" w14:paraId="7957CFB7" w14:textId="77777777">
        <w:trPr>
          <w:jc w:val="center"/>
        </w:trPr>
        <w:tc>
          <w:tcPr>
            <w:tcW w:w="6912" w:type="dxa"/>
            <w:vAlign w:val="center"/>
          </w:tcPr>
          <w:p w14:paraId="106E7929" w14:textId="77777777" w:rsidR="00BC011E" w:rsidRDefault="004F205A">
            <w:pPr>
              <w:spacing w:after="0" w:line="276" w:lineRule="auto"/>
            </w:pPr>
            <w:r>
              <w:rPr>
                <w:sz w:val="18"/>
              </w:rPr>
              <w:t>User wants inspectable rules and tests</w:t>
            </w:r>
          </w:p>
        </w:tc>
        <w:tc>
          <w:tcPr>
            <w:tcW w:w="2448" w:type="dxa"/>
            <w:vAlign w:val="center"/>
          </w:tcPr>
          <w:p w14:paraId="792AC86C" w14:textId="77777777" w:rsidR="00BC011E" w:rsidRDefault="004F205A">
            <w:pPr>
              <w:spacing w:after="0" w:line="276" w:lineRule="auto"/>
            </w:pPr>
            <w:r>
              <w:rPr>
                <w:sz w:val="18"/>
              </w:rPr>
              <w:t>VCL2FMXConverter</w:t>
            </w:r>
          </w:p>
        </w:tc>
      </w:tr>
      <w:tr w:rsidR="00BC011E" w14:paraId="52D28BC6" w14:textId="77777777">
        <w:trPr>
          <w:jc w:val="center"/>
        </w:trPr>
        <w:tc>
          <w:tcPr>
            <w:tcW w:w="6912" w:type="dxa"/>
            <w:vAlign w:val="center"/>
          </w:tcPr>
          <w:p w14:paraId="38C8A2AE" w14:textId="77777777" w:rsidR="00BC011E" w:rsidRDefault="004F205A">
            <w:pPr>
              <w:spacing w:after="0" w:line="276" w:lineRule="auto"/>
            </w:pPr>
            <w:r>
              <w:rPr>
                <w:sz w:val="18"/>
              </w:rPr>
              <w:t>User wants C++Builder conversion</w:t>
            </w:r>
          </w:p>
        </w:tc>
        <w:tc>
          <w:tcPr>
            <w:tcW w:w="2448" w:type="dxa"/>
            <w:vAlign w:val="center"/>
          </w:tcPr>
          <w:p w14:paraId="0415C927" w14:textId="77777777" w:rsidR="00BC011E" w:rsidRDefault="004F205A">
            <w:pPr>
              <w:spacing w:after="0" w:line="276" w:lineRule="auto"/>
            </w:pPr>
            <w:r>
              <w:rPr>
                <w:sz w:val="18"/>
              </w:rPr>
              <w:t>MidaConverter</w:t>
            </w:r>
          </w:p>
        </w:tc>
      </w:tr>
      <w:tr w:rsidR="00BC011E" w14:paraId="12E999A5" w14:textId="77777777">
        <w:trPr>
          <w:jc w:val="center"/>
        </w:trPr>
        <w:tc>
          <w:tcPr>
            <w:tcW w:w="6912" w:type="dxa"/>
            <w:vAlign w:val="center"/>
          </w:tcPr>
          <w:p w14:paraId="72490404" w14:textId="77777777" w:rsidR="00BC011E" w:rsidRDefault="004F205A">
            <w:pPr>
              <w:spacing w:after="0" w:line="276" w:lineRule="auto"/>
            </w:pPr>
            <w:r>
              <w:rPr>
                <w:sz w:val="18"/>
              </w:rPr>
              <w:t>User wants VCL to IntraWeb/TMS WEB Core in one tool</w:t>
            </w:r>
          </w:p>
        </w:tc>
        <w:tc>
          <w:tcPr>
            <w:tcW w:w="2448" w:type="dxa"/>
            <w:vAlign w:val="center"/>
          </w:tcPr>
          <w:p w14:paraId="762C0C87" w14:textId="77777777" w:rsidR="00BC011E" w:rsidRDefault="004F205A">
            <w:pPr>
              <w:spacing w:after="0" w:line="276" w:lineRule="auto"/>
            </w:pPr>
            <w:r>
              <w:rPr>
                <w:sz w:val="18"/>
              </w:rPr>
              <w:t>MidaConverter</w:t>
            </w:r>
          </w:p>
        </w:tc>
      </w:tr>
      <w:tr w:rsidR="00BC011E" w14:paraId="27A3D836" w14:textId="77777777">
        <w:trPr>
          <w:jc w:val="center"/>
        </w:trPr>
        <w:tc>
          <w:tcPr>
            <w:tcW w:w="6912" w:type="dxa"/>
            <w:vAlign w:val="center"/>
          </w:tcPr>
          <w:p w14:paraId="26B8197F" w14:textId="77777777" w:rsidR="00BC011E" w:rsidRDefault="004F205A">
            <w:pPr>
              <w:spacing w:after="0" w:line="276" w:lineRule="auto"/>
            </w:pPr>
            <w:r>
              <w:rPr>
                <w:sz w:val="18"/>
              </w:rPr>
              <w:t>User wants repeatable bug-to-contract-to-fix workflow</w:t>
            </w:r>
          </w:p>
        </w:tc>
        <w:tc>
          <w:tcPr>
            <w:tcW w:w="2448" w:type="dxa"/>
            <w:vAlign w:val="center"/>
          </w:tcPr>
          <w:p w14:paraId="7FB6ECB5" w14:textId="77777777" w:rsidR="00BC011E" w:rsidRDefault="004F205A">
            <w:pPr>
              <w:spacing w:after="0" w:line="276" w:lineRule="auto"/>
            </w:pPr>
            <w:r>
              <w:rPr>
                <w:sz w:val="18"/>
              </w:rPr>
              <w:t>VCL2FMXConverter</w:t>
            </w:r>
          </w:p>
        </w:tc>
      </w:tr>
      <w:tr w:rsidR="00BC011E" w14:paraId="3085AF24" w14:textId="77777777">
        <w:trPr>
          <w:jc w:val="center"/>
        </w:trPr>
        <w:tc>
          <w:tcPr>
            <w:tcW w:w="6912" w:type="dxa"/>
            <w:vAlign w:val="center"/>
          </w:tcPr>
          <w:p w14:paraId="53AA5E37" w14:textId="77777777" w:rsidR="00BC011E" w:rsidRDefault="004F205A">
            <w:pPr>
              <w:spacing w:after="0" w:line="276" w:lineRule="auto"/>
            </w:pPr>
            <w:r>
              <w:rPr>
                <w:sz w:val="18"/>
              </w:rPr>
              <w:t>User wants lowest long-term lock-in</w:t>
            </w:r>
          </w:p>
        </w:tc>
        <w:tc>
          <w:tcPr>
            <w:tcW w:w="2448" w:type="dxa"/>
            <w:vAlign w:val="center"/>
          </w:tcPr>
          <w:p w14:paraId="49ED5293" w14:textId="77777777" w:rsidR="00BC011E" w:rsidRDefault="004F205A">
            <w:pPr>
              <w:spacing w:after="0" w:line="276" w:lineRule="auto"/>
            </w:pPr>
            <w:r>
              <w:rPr>
                <w:sz w:val="18"/>
              </w:rPr>
              <w:t>VCL2FMXConverter</w:t>
            </w:r>
          </w:p>
        </w:tc>
      </w:tr>
      <w:tr w:rsidR="00BC011E" w14:paraId="6E2C4E5A" w14:textId="77777777">
        <w:trPr>
          <w:jc w:val="center"/>
        </w:trPr>
        <w:tc>
          <w:tcPr>
            <w:tcW w:w="6912" w:type="dxa"/>
            <w:vAlign w:val="center"/>
          </w:tcPr>
          <w:p w14:paraId="139CB479" w14:textId="77777777" w:rsidR="00BC011E" w:rsidRDefault="004F205A">
            <w:pPr>
              <w:spacing w:after="0" w:line="276" w:lineRule="auto"/>
            </w:pPr>
            <w:r>
              <w:rPr>
                <w:sz w:val="18"/>
              </w:rPr>
              <w:t>User wants database/report engine migration as advertised product features</w:t>
            </w:r>
          </w:p>
        </w:tc>
        <w:tc>
          <w:tcPr>
            <w:tcW w:w="2448" w:type="dxa"/>
            <w:vAlign w:val="center"/>
          </w:tcPr>
          <w:p w14:paraId="7DC448DD" w14:textId="77777777" w:rsidR="00BC011E" w:rsidRDefault="004F205A">
            <w:pPr>
              <w:spacing w:after="0" w:line="276" w:lineRule="auto"/>
            </w:pPr>
            <w:r>
              <w:rPr>
                <w:sz w:val="18"/>
              </w:rPr>
              <w:t>MidaConverter</w:t>
            </w:r>
          </w:p>
        </w:tc>
      </w:tr>
    </w:tbl>
    <w:p w14:paraId="34C6CD81" w14:textId="77777777" w:rsidR="00BC011E" w:rsidRDefault="00BC011E">
      <w:pPr>
        <w:spacing w:after="40"/>
      </w:pPr>
    </w:p>
    <w:tbl>
      <w:tblPr>
        <w:tblStyle w:val="TableGrid"/>
        <w:tblW w:w="0" w:type="auto"/>
        <w:jc w:val="center"/>
        <w:tblLayout w:type="fixed"/>
        <w:tblLook w:val="04A0" w:firstRow="1" w:lastRow="0" w:firstColumn="1" w:lastColumn="0" w:noHBand="0" w:noVBand="1"/>
      </w:tblPr>
      <w:tblGrid>
        <w:gridCol w:w="9360"/>
      </w:tblGrid>
      <w:tr w:rsidR="00BC011E" w14:paraId="4F34E562" w14:textId="77777777">
        <w:trPr>
          <w:jc w:val="center"/>
        </w:trPr>
        <w:tc>
          <w:tcPr>
            <w:tcW w:w="9360" w:type="dxa"/>
            <w:shd w:val="clear" w:color="auto" w:fill="E2F0D9"/>
          </w:tcPr>
          <w:p w14:paraId="49C69C9D" w14:textId="77777777" w:rsidR="00BC011E" w:rsidRDefault="004F205A">
            <w:pPr>
              <w:spacing w:after="80"/>
            </w:pPr>
            <w:r>
              <w:rPr>
                <w:b/>
                <w:color w:val="0B2545"/>
              </w:rPr>
              <w:t>Final summary</w:t>
            </w:r>
          </w:p>
          <w:p w14:paraId="63730933" w14:textId="77777777" w:rsidR="00BC011E" w:rsidRDefault="004F205A">
            <w:pPr>
              <w:spacing w:after="0" w:line="288" w:lineRule="auto"/>
            </w:pPr>
            <w:r>
              <w:t>MidaConverter is broader. VCL2FMXConverter v5.0 Vanguard is more open, more auditable, less costly, and more defensible for users who need to understand and own their migration path. For the public user base, VCL2FMXConverter provides the stronger overall value where VCL-to-FMX is the actual target; MidaConverter remains the stronger option when the user specifically needs its broader paid migration targets.</w:t>
            </w:r>
          </w:p>
        </w:tc>
      </w:tr>
    </w:tbl>
    <w:p w14:paraId="3B50C41B" w14:textId="77777777" w:rsidR="00BC011E" w:rsidRDefault="00BC011E">
      <w:pPr>
        <w:spacing w:after="40"/>
      </w:pPr>
    </w:p>
    <w:p w14:paraId="2480220B" w14:textId="77777777" w:rsidR="00BC011E" w:rsidRDefault="004F205A">
      <w:pPr>
        <w:pStyle w:val="Heading1"/>
      </w:pPr>
      <w:bookmarkStart w:id="21" w:name="_Toc233733837"/>
      <w:r>
        <w:rPr>
          <w:rFonts w:ascii="Calibri" w:hAnsi="Calibri"/>
        </w:rPr>
        <w:t>14. Appendix A: VCL2FMX v5 Contract Inventory</w:t>
      </w:r>
      <w:bookmarkEnd w:id="21"/>
    </w:p>
    <w:p w14:paraId="62A6B87E" w14:textId="318296B2" w:rsidR="00BC011E" w:rsidRDefault="004F205A">
      <w:r>
        <w:t xml:space="preserve">The local v5 contract README reports </w:t>
      </w:r>
      <w:r w:rsidR="00433ED2">
        <w:t>227</w:t>
      </w:r>
      <w:r w:rsidR="00344484">
        <w:t xml:space="preserve"> passing expectations</w:t>
      </w:r>
      <w:r>
        <w:t>. The inventory below summarizes the major contract families. These contracts are engineering fixtures, not runtime data. Normal conversions do not compare every user's .pas file against every contract.</w:t>
      </w:r>
    </w:p>
    <w:tbl>
      <w:tblPr>
        <w:tblStyle w:val="TableGrid"/>
        <w:tblW w:w="0" w:type="auto"/>
        <w:jc w:val="center"/>
        <w:tblLayout w:type="fixed"/>
        <w:tblLook w:val="04A0" w:firstRow="1" w:lastRow="0" w:firstColumn="1" w:lastColumn="0" w:noHBand="0" w:noVBand="1"/>
      </w:tblPr>
      <w:tblGrid>
        <w:gridCol w:w="2376"/>
        <w:gridCol w:w="792"/>
        <w:gridCol w:w="6192"/>
      </w:tblGrid>
      <w:tr w:rsidR="00BC011E" w14:paraId="7C5AE147" w14:textId="77777777">
        <w:trPr>
          <w:jc w:val="center"/>
        </w:trPr>
        <w:tc>
          <w:tcPr>
            <w:tcW w:w="2376" w:type="dxa"/>
            <w:shd w:val="clear" w:color="auto" w:fill="E8EEF5"/>
            <w:vAlign w:val="center"/>
          </w:tcPr>
          <w:p w14:paraId="310091F7" w14:textId="77777777" w:rsidR="00BC011E" w:rsidRDefault="004F205A">
            <w:pPr>
              <w:spacing w:after="0" w:line="276" w:lineRule="auto"/>
            </w:pPr>
            <w:r>
              <w:rPr>
                <w:b/>
                <w:color w:val="0B2545"/>
                <w:sz w:val="16"/>
              </w:rPr>
              <w:t>Contract family</w:t>
            </w:r>
          </w:p>
        </w:tc>
        <w:tc>
          <w:tcPr>
            <w:tcW w:w="792" w:type="dxa"/>
            <w:shd w:val="clear" w:color="auto" w:fill="E8EEF5"/>
            <w:vAlign w:val="center"/>
          </w:tcPr>
          <w:p w14:paraId="7DEC828C" w14:textId="77777777" w:rsidR="00BC011E" w:rsidRDefault="004F205A">
            <w:pPr>
              <w:spacing w:after="0" w:line="276" w:lineRule="auto"/>
            </w:pPr>
            <w:r>
              <w:rPr>
                <w:b/>
                <w:color w:val="0B2545"/>
                <w:sz w:val="16"/>
              </w:rPr>
              <w:t>Count</w:t>
            </w:r>
          </w:p>
        </w:tc>
        <w:tc>
          <w:tcPr>
            <w:tcW w:w="6192" w:type="dxa"/>
            <w:shd w:val="clear" w:color="auto" w:fill="E8EEF5"/>
            <w:vAlign w:val="center"/>
          </w:tcPr>
          <w:p w14:paraId="7559428C" w14:textId="77777777" w:rsidR="00BC011E" w:rsidRDefault="004F205A">
            <w:pPr>
              <w:spacing w:after="0" w:line="276" w:lineRule="auto"/>
            </w:pPr>
            <w:r>
              <w:rPr>
                <w:b/>
                <w:color w:val="0B2545"/>
                <w:sz w:val="16"/>
              </w:rPr>
              <w:t>Purpose</w:t>
            </w:r>
          </w:p>
        </w:tc>
      </w:tr>
      <w:tr w:rsidR="00BC011E" w14:paraId="04E47171" w14:textId="77777777">
        <w:trPr>
          <w:jc w:val="center"/>
        </w:trPr>
        <w:tc>
          <w:tcPr>
            <w:tcW w:w="2376" w:type="dxa"/>
            <w:vAlign w:val="center"/>
          </w:tcPr>
          <w:p w14:paraId="45815AB4" w14:textId="77777777" w:rsidR="00BC011E" w:rsidRDefault="004F205A">
            <w:pPr>
              <w:spacing w:after="0" w:line="276" w:lineRule="auto"/>
            </w:pPr>
            <w:r>
              <w:rPr>
                <w:sz w:val="16"/>
              </w:rPr>
              <w:t>colors</w:t>
            </w:r>
          </w:p>
        </w:tc>
        <w:tc>
          <w:tcPr>
            <w:tcW w:w="792" w:type="dxa"/>
            <w:vAlign w:val="center"/>
          </w:tcPr>
          <w:p w14:paraId="0E817340" w14:textId="77777777" w:rsidR="00BC011E" w:rsidRDefault="004F205A">
            <w:pPr>
              <w:spacing w:after="0" w:line="276" w:lineRule="auto"/>
            </w:pPr>
            <w:r>
              <w:rPr>
                <w:sz w:val="16"/>
              </w:rPr>
              <w:t>15</w:t>
            </w:r>
          </w:p>
        </w:tc>
        <w:tc>
          <w:tcPr>
            <w:tcW w:w="6192" w:type="dxa"/>
            <w:vAlign w:val="center"/>
          </w:tcPr>
          <w:p w14:paraId="172F1925" w14:textId="77777777" w:rsidR="00BC011E" w:rsidRDefault="004F205A">
            <w:pPr>
              <w:spacing w:after="0" w:line="276" w:lineRule="auto"/>
            </w:pPr>
            <w:r>
              <w:rPr>
                <w:sz w:val="16"/>
              </w:rPr>
              <w:t>VCL/FMX colors, UI constants, dialogs, modal results, helper edge cases.</w:t>
            </w:r>
          </w:p>
        </w:tc>
      </w:tr>
      <w:tr w:rsidR="00BC011E" w14:paraId="2AEBD5F0" w14:textId="77777777">
        <w:trPr>
          <w:jc w:val="center"/>
        </w:trPr>
        <w:tc>
          <w:tcPr>
            <w:tcW w:w="2376" w:type="dxa"/>
            <w:vAlign w:val="center"/>
          </w:tcPr>
          <w:p w14:paraId="4AE0BD17" w14:textId="77777777" w:rsidR="00BC011E" w:rsidRDefault="004F205A">
            <w:pPr>
              <w:spacing w:after="0" w:line="276" w:lineRule="auto"/>
            </w:pPr>
            <w:r>
              <w:rPr>
                <w:sz w:val="16"/>
              </w:rPr>
              <w:t>comments_and_boundaries</w:t>
            </w:r>
          </w:p>
        </w:tc>
        <w:tc>
          <w:tcPr>
            <w:tcW w:w="792" w:type="dxa"/>
            <w:vAlign w:val="center"/>
          </w:tcPr>
          <w:p w14:paraId="2AC2E84F" w14:textId="77777777" w:rsidR="00BC011E" w:rsidRDefault="004F205A">
            <w:pPr>
              <w:spacing w:after="0" w:line="276" w:lineRule="auto"/>
            </w:pPr>
            <w:r>
              <w:rPr>
                <w:sz w:val="16"/>
              </w:rPr>
              <w:t>21</w:t>
            </w:r>
          </w:p>
        </w:tc>
        <w:tc>
          <w:tcPr>
            <w:tcW w:w="6192" w:type="dxa"/>
            <w:vAlign w:val="center"/>
          </w:tcPr>
          <w:p w14:paraId="1256E715" w14:textId="77777777" w:rsidR="00BC011E" w:rsidRDefault="004F205A">
            <w:pPr>
              <w:spacing w:after="0" w:line="276" w:lineRule="auto"/>
            </w:pPr>
            <w:r>
              <w:rPr>
                <w:sz w:val="16"/>
              </w:rPr>
              <w:t>Comments, strings, disabled blocks, routine boundaries, initialization/finalization, message false positives.</w:t>
            </w:r>
          </w:p>
        </w:tc>
      </w:tr>
      <w:tr w:rsidR="00BC011E" w14:paraId="491E7FB6" w14:textId="77777777">
        <w:trPr>
          <w:jc w:val="center"/>
        </w:trPr>
        <w:tc>
          <w:tcPr>
            <w:tcW w:w="2376" w:type="dxa"/>
            <w:vAlign w:val="center"/>
          </w:tcPr>
          <w:p w14:paraId="347B32B4" w14:textId="77777777" w:rsidR="00BC011E" w:rsidRDefault="004F205A">
            <w:pPr>
              <w:spacing w:after="0" w:line="276" w:lineRule="auto"/>
            </w:pPr>
            <w:r>
              <w:rPr>
                <w:sz w:val="16"/>
              </w:rPr>
              <w:t>components_and_events</w:t>
            </w:r>
          </w:p>
        </w:tc>
        <w:tc>
          <w:tcPr>
            <w:tcW w:w="792" w:type="dxa"/>
            <w:vAlign w:val="center"/>
          </w:tcPr>
          <w:p w14:paraId="7554E70C" w14:textId="77777777" w:rsidR="00BC011E" w:rsidRDefault="004F205A">
            <w:pPr>
              <w:spacing w:after="0" w:line="276" w:lineRule="auto"/>
            </w:pPr>
            <w:r>
              <w:rPr>
                <w:sz w:val="16"/>
              </w:rPr>
              <w:t>24</w:t>
            </w:r>
          </w:p>
        </w:tc>
        <w:tc>
          <w:tcPr>
            <w:tcW w:w="6192" w:type="dxa"/>
            <w:vAlign w:val="center"/>
          </w:tcPr>
          <w:p w14:paraId="5530B863" w14:textId="77777777" w:rsidR="00BC011E" w:rsidRDefault="004F205A">
            <w:pPr>
              <w:spacing w:after="0" w:line="276" w:lineRule="auto"/>
            </w:pPr>
            <w:r>
              <w:rPr>
                <w:sz w:val="16"/>
              </w:rPr>
              <w:t>Common controls, events, media, images, status bars, shape conversion, numeric math.</w:t>
            </w:r>
          </w:p>
        </w:tc>
      </w:tr>
      <w:tr w:rsidR="00BC011E" w14:paraId="7FCA3406" w14:textId="77777777">
        <w:trPr>
          <w:jc w:val="center"/>
        </w:trPr>
        <w:tc>
          <w:tcPr>
            <w:tcW w:w="2376" w:type="dxa"/>
            <w:vAlign w:val="center"/>
          </w:tcPr>
          <w:p w14:paraId="3216497A" w14:textId="77777777" w:rsidR="00BC011E" w:rsidRDefault="004F205A">
            <w:pPr>
              <w:spacing w:after="0" w:line="276" w:lineRule="auto"/>
            </w:pPr>
            <w:r>
              <w:rPr>
                <w:sz w:val="16"/>
              </w:rPr>
              <w:t>data_aware</w:t>
            </w:r>
          </w:p>
        </w:tc>
        <w:tc>
          <w:tcPr>
            <w:tcW w:w="792" w:type="dxa"/>
            <w:vAlign w:val="center"/>
          </w:tcPr>
          <w:p w14:paraId="1C0D976D" w14:textId="77777777" w:rsidR="00BC011E" w:rsidRDefault="004F205A">
            <w:pPr>
              <w:spacing w:after="0" w:line="276" w:lineRule="auto"/>
            </w:pPr>
            <w:r>
              <w:rPr>
                <w:sz w:val="16"/>
              </w:rPr>
              <w:t>8</w:t>
            </w:r>
          </w:p>
        </w:tc>
        <w:tc>
          <w:tcPr>
            <w:tcW w:w="6192" w:type="dxa"/>
            <w:vAlign w:val="center"/>
          </w:tcPr>
          <w:p w14:paraId="5076FCB9" w14:textId="77777777" w:rsidR="00BC011E" w:rsidRDefault="004F205A">
            <w:pPr>
              <w:spacing w:after="0" w:line="276" w:lineRule="auto"/>
            </w:pPr>
            <w:r>
              <w:rPr>
                <w:sz w:val="16"/>
              </w:rPr>
              <w:t>DB-aware controls, runtime datasource access, lookup/navigator behavior.</w:t>
            </w:r>
          </w:p>
        </w:tc>
      </w:tr>
      <w:tr w:rsidR="00BC011E" w14:paraId="6ACDDE98" w14:textId="77777777">
        <w:trPr>
          <w:jc w:val="center"/>
        </w:trPr>
        <w:tc>
          <w:tcPr>
            <w:tcW w:w="2376" w:type="dxa"/>
            <w:vAlign w:val="center"/>
          </w:tcPr>
          <w:p w14:paraId="0B3ABCD3" w14:textId="77777777" w:rsidR="00BC011E" w:rsidRDefault="004F205A">
            <w:pPr>
              <w:spacing w:after="0" w:line="276" w:lineRule="auto"/>
            </w:pPr>
            <w:r>
              <w:rPr>
                <w:sz w:val="16"/>
              </w:rPr>
              <w:t>dfm_fidelity</w:t>
            </w:r>
          </w:p>
        </w:tc>
        <w:tc>
          <w:tcPr>
            <w:tcW w:w="792" w:type="dxa"/>
            <w:vAlign w:val="center"/>
          </w:tcPr>
          <w:p w14:paraId="676A9AD4" w14:textId="77777777" w:rsidR="00BC011E" w:rsidRDefault="004F205A">
            <w:pPr>
              <w:spacing w:after="0" w:line="276" w:lineRule="auto"/>
            </w:pPr>
            <w:r>
              <w:rPr>
                <w:sz w:val="16"/>
              </w:rPr>
              <w:t>3</w:t>
            </w:r>
          </w:p>
        </w:tc>
        <w:tc>
          <w:tcPr>
            <w:tcW w:w="6192" w:type="dxa"/>
            <w:vAlign w:val="center"/>
          </w:tcPr>
          <w:p w14:paraId="7FC2AF59" w14:textId="77777777" w:rsidR="00BC011E" w:rsidRDefault="004F205A">
            <w:pPr>
              <w:spacing w:after="0" w:line="276" w:lineRule="auto"/>
            </w:pPr>
            <w:r>
              <w:rPr>
                <w:sz w:val="16"/>
              </w:rPr>
              <w:t>DFM/FMXL object, event, and property fidelity.</w:t>
            </w:r>
          </w:p>
        </w:tc>
      </w:tr>
      <w:tr w:rsidR="00BC011E" w14:paraId="22E0DCA3" w14:textId="77777777">
        <w:trPr>
          <w:jc w:val="center"/>
        </w:trPr>
        <w:tc>
          <w:tcPr>
            <w:tcW w:w="2376" w:type="dxa"/>
            <w:vAlign w:val="center"/>
          </w:tcPr>
          <w:p w14:paraId="76E15165" w14:textId="77777777" w:rsidR="00BC011E" w:rsidRDefault="004F205A">
            <w:pPr>
              <w:spacing w:after="0" w:line="276" w:lineRule="auto"/>
            </w:pPr>
            <w:r>
              <w:rPr>
                <w:sz w:val="16"/>
              </w:rPr>
              <w:t>dfm_pairs</w:t>
            </w:r>
          </w:p>
        </w:tc>
        <w:tc>
          <w:tcPr>
            <w:tcW w:w="792" w:type="dxa"/>
            <w:vAlign w:val="center"/>
          </w:tcPr>
          <w:p w14:paraId="3CFC8A59" w14:textId="77777777" w:rsidR="00BC011E" w:rsidRDefault="004F205A">
            <w:pPr>
              <w:spacing w:after="0" w:line="276" w:lineRule="auto"/>
            </w:pPr>
            <w:r>
              <w:rPr>
                <w:sz w:val="16"/>
              </w:rPr>
              <w:t>7</w:t>
            </w:r>
          </w:p>
        </w:tc>
        <w:tc>
          <w:tcPr>
            <w:tcW w:w="6192" w:type="dxa"/>
            <w:vAlign w:val="center"/>
          </w:tcPr>
          <w:p w14:paraId="3F545F82" w14:textId="77777777" w:rsidR="00BC011E" w:rsidRDefault="004F205A">
            <w:pPr>
              <w:spacing w:after="0" w:line="276" w:lineRule="auto"/>
            </w:pPr>
            <w:r>
              <w:rPr>
                <w:sz w:val="16"/>
              </w:rPr>
              <w:t>Paired Pascal/DFM form fixtures for FMX generation.</w:t>
            </w:r>
          </w:p>
        </w:tc>
      </w:tr>
      <w:tr w:rsidR="00BC011E" w14:paraId="47C6DD16" w14:textId="77777777">
        <w:trPr>
          <w:jc w:val="center"/>
        </w:trPr>
        <w:tc>
          <w:tcPr>
            <w:tcW w:w="2376" w:type="dxa"/>
            <w:vAlign w:val="center"/>
          </w:tcPr>
          <w:p w14:paraId="277D2DF6" w14:textId="77777777" w:rsidR="00BC011E" w:rsidRDefault="004F205A">
            <w:pPr>
              <w:spacing w:after="0" w:line="276" w:lineRule="auto"/>
            </w:pPr>
            <w:r>
              <w:rPr>
                <w:sz w:val="16"/>
              </w:rPr>
              <w:t>dry_run_preview</w:t>
            </w:r>
          </w:p>
        </w:tc>
        <w:tc>
          <w:tcPr>
            <w:tcW w:w="792" w:type="dxa"/>
            <w:vAlign w:val="center"/>
          </w:tcPr>
          <w:p w14:paraId="0858FA8E" w14:textId="77777777" w:rsidR="00BC011E" w:rsidRDefault="004F205A">
            <w:pPr>
              <w:spacing w:after="0" w:line="276" w:lineRule="auto"/>
            </w:pPr>
            <w:r>
              <w:rPr>
                <w:sz w:val="16"/>
              </w:rPr>
              <w:t>1</w:t>
            </w:r>
          </w:p>
        </w:tc>
        <w:tc>
          <w:tcPr>
            <w:tcW w:w="6192" w:type="dxa"/>
            <w:vAlign w:val="center"/>
          </w:tcPr>
          <w:p w14:paraId="5890D84D" w14:textId="77777777" w:rsidR="00BC011E" w:rsidRDefault="004F205A">
            <w:pPr>
              <w:spacing w:after="0" w:line="276" w:lineRule="auto"/>
            </w:pPr>
            <w:r>
              <w:rPr>
                <w:sz w:val="16"/>
              </w:rPr>
              <w:t>Dry-run preview behavior and no-artifact guarantee.</w:t>
            </w:r>
          </w:p>
        </w:tc>
      </w:tr>
      <w:tr w:rsidR="00BC011E" w14:paraId="0ECCC0C9" w14:textId="77777777">
        <w:trPr>
          <w:jc w:val="center"/>
        </w:trPr>
        <w:tc>
          <w:tcPr>
            <w:tcW w:w="2376" w:type="dxa"/>
            <w:vAlign w:val="center"/>
          </w:tcPr>
          <w:p w14:paraId="331C6A09" w14:textId="77777777" w:rsidR="00BC011E" w:rsidRDefault="004F205A">
            <w:pPr>
              <w:spacing w:after="0" w:line="276" w:lineRule="auto"/>
            </w:pPr>
            <w:r>
              <w:rPr>
                <w:sz w:val="16"/>
              </w:rPr>
              <w:t>encoding</w:t>
            </w:r>
          </w:p>
        </w:tc>
        <w:tc>
          <w:tcPr>
            <w:tcW w:w="792" w:type="dxa"/>
            <w:vAlign w:val="center"/>
          </w:tcPr>
          <w:p w14:paraId="641CBB53" w14:textId="77777777" w:rsidR="00BC011E" w:rsidRDefault="004F205A">
            <w:pPr>
              <w:spacing w:after="0" w:line="276" w:lineRule="auto"/>
            </w:pPr>
            <w:r>
              <w:rPr>
                <w:sz w:val="16"/>
              </w:rPr>
              <w:t>4</w:t>
            </w:r>
          </w:p>
        </w:tc>
        <w:tc>
          <w:tcPr>
            <w:tcW w:w="6192" w:type="dxa"/>
            <w:vAlign w:val="center"/>
          </w:tcPr>
          <w:p w14:paraId="3D4B5A1C" w14:textId="77777777" w:rsidR="00BC011E" w:rsidRDefault="004F205A">
            <w:pPr>
              <w:spacing w:after="0" w:line="276" w:lineRule="auto"/>
            </w:pPr>
            <w:r>
              <w:rPr>
                <w:sz w:val="16"/>
              </w:rPr>
              <w:t>UTF-8, whitespace, long-line, include-directive encoding cases.</w:t>
            </w:r>
          </w:p>
        </w:tc>
      </w:tr>
      <w:tr w:rsidR="00BC011E" w14:paraId="150DC4CE" w14:textId="77777777">
        <w:trPr>
          <w:jc w:val="center"/>
        </w:trPr>
        <w:tc>
          <w:tcPr>
            <w:tcW w:w="2376" w:type="dxa"/>
            <w:vAlign w:val="center"/>
          </w:tcPr>
          <w:p w14:paraId="600CA5FA" w14:textId="77777777" w:rsidR="00BC011E" w:rsidRDefault="004F205A">
            <w:pPr>
              <w:spacing w:after="0" w:line="276" w:lineRule="auto"/>
            </w:pPr>
            <w:r>
              <w:rPr>
                <w:sz w:val="16"/>
              </w:rPr>
              <w:t>graphics</w:t>
            </w:r>
          </w:p>
        </w:tc>
        <w:tc>
          <w:tcPr>
            <w:tcW w:w="792" w:type="dxa"/>
            <w:vAlign w:val="center"/>
          </w:tcPr>
          <w:p w14:paraId="6048422F" w14:textId="77777777" w:rsidR="00BC011E" w:rsidRDefault="004F205A">
            <w:pPr>
              <w:spacing w:after="0" w:line="276" w:lineRule="auto"/>
            </w:pPr>
            <w:r>
              <w:rPr>
                <w:sz w:val="16"/>
              </w:rPr>
              <w:t>7</w:t>
            </w:r>
          </w:p>
        </w:tc>
        <w:tc>
          <w:tcPr>
            <w:tcW w:w="6192" w:type="dxa"/>
            <w:vAlign w:val="center"/>
          </w:tcPr>
          <w:p w14:paraId="4F1FE129" w14:textId="77777777" w:rsidR="00BC011E" w:rsidRDefault="004F205A">
            <w:pPr>
              <w:spacing w:after="0" w:line="276" w:lineRule="auto"/>
            </w:pPr>
            <w:r>
              <w:rPr>
                <w:sz w:val="16"/>
              </w:rPr>
              <w:t>VCL Canvas/GDI drawing, FMX canvas conversion, visual review reporting.</w:t>
            </w:r>
          </w:p>
        </w:tc>
      </w:tr>
      <w:tr w:rsidR="00BC011E" w14:paraId="6E9902D4" w14:textId="77777777">
        <w:trPr>
          <w:jc w:val="center"/>
        </w:trPr>
        <w:tc>
          <w:tcPr>
            <w:tcW w:w="2376" w:type="dxa"/>
            <w:vAlign w:val="center"/>
          </w:tcPr>
          <w:p w14:paraId="4C43BD52" w14:textId="77777777" w:rsidR="00BC011E" w:rsidRDefault="004F205A">
            <w:pPr>
              <w:spacing w:after="0" w:line="276" w:lineRule="auto"/>
            </w:pPr>
            <w:r>
              <w:rPr>
                <w:sz w:val="16"/>
              </w:rPr>
              <w:t>include_analysis</w:t>
            </w:r>
          </w:p>
        </w:tc>
        <w:tc>
          <w:tcPr>
            <w:tcW w:w="792" w:type="dxa"/>
            <w:vAlign w:val="center"/>
          </w:tcPr>
          <w:p w14:paraId="5DC2CC40" w14:textId="77777777" w:rsidR="00BC011E" w:rsidRDefault="004F205A">
            <w:pPr>
              <w:spacing w:after="0" w:line="276" w:lineRule="auto"/>
            </w:pPr>
            <w:r>
              <w:rPr>
                <w:sz w:val="16"/>
              </w:rPr>
              <w:t>11</w:t>
            </w:r>
          </w:p>
        </w:tc>
        <w:tc>
          <w:tcPr>
            <w:tcW w:w="6192" w:type="dxa"/>
            <w:vAlign w:val="center"/>
          </w:tcPr>
          <w:p w14:paraId="1522AECF" w14:textId="77777777" w:rsidR="00BC011E" w:rsidRDefault="004F205A">
            <w:pPr>
              <w:spacing w:after="0" w:line="276" w:lineRule="auto"/>
            </w:pPr>
            <w:r>
              <w:rPr>
                <w:sz w:val="16"/>
              </w:rPr>
              <w:t>Beside-source, subfolder, missing, outside-tree, nested, recursive, conditional, UTF-8 includes.</w:t>
            </w:r>
          </w:p>
        </w:tc>
      </w:tr>
      <w:tr w:rsidR="00BC011E" w14:paraId="3CA25CF5" w14:textId="77777777">
        <w:trPr>
          <w:jc w:val="center"/>
        </w:trPr>
        <w:tc>
          <w:tcPr>
            <w:tcW w:w="2376" w:type="dxa"/>
            <w:vAlign w:val="center"/>
          </w:tcPr>
          <w:p w14:paraId="7F0E71BA" w14:textId="77777777" w:rsidR="00BC011E" w:rsidRDefault="004F205A">
            <w:pPr>
              <w:spacing w:after="0" w:line="276" w:lineRule="auto"/>
            </w:pPr>
            <w:r>
              <w:rPr>
                <w:sz w:val="16"/>
              </w:rPr>
              <w:t>livebindings</w:t>
            </w:r>
          </w:p>
        </w:tc>
        <w:tc>
          <w:tcPr>
            <w:tcW w:w="792" w:type="dxa"/>
            <w:vAlign w:val="center"/>
          </w:tcPr>
          <w:p w14:paraId="682DF05E" w14:textId="77777777" w:rsidR="00BC011E" w:rsidRDefault="004F205A">
            <w:pPr>
              <w:spacing w:after="0" w:line="276" w:lineRule="auto"/>
            </w:pPr>
            <w:r>
              <w:rPr>
                <w:sz w:val="16"/>
              </w:rPr>
              <w:t>6</w:t>
            </w:r>
          </w:p>
        </w:tc>
        <w:tc>
          <w:tcPr>
            <w:tcW w:w="6192" w:type="dxa"/>
            <w:vAlign w:val="center"/>
          </w:tcPr>
          <w:p w14:paraId="456B3378" w14:textId="77777777" w:rsidR="00BC011E" w:rsidRDefault="004F205A">
            <w:pPr>
              <w:spacing w:after="0" w:line="276" w:lineRule="auto"/>
            </w:pPr>
            <w:r>
              <w:rPr>
                <w:sz w:val="16"/>
              </w:rPr>
              <w:t>Existing/generated LiveBindings edge cases.</w:t>
            </w:r>
          </w:p>
        </w:tc>
      </w:tr>
      <w:tr w:rsidR="00BC011E" w14:paraId="4FD851FA" w14:textId="77777777">
        <w:trPr>
          <w:jc w:val="center"/>
        </w:trPr>
        <w:tc>
          <w:tcPr>
            <w:tcW w:w="2376" w:type="dxa"/>
            <w:vAlign w:val="center"/>
          </w:tcPr>
          <w:p w14:paraId="3BD4FF17" w14:textId="77777777" w:rsidR="00BC011E" w:rsidRDefault="004F205A">
            <w:pPr>
              <w:spacing w:after="0" w:line="276" w:lineRule="auto"/>
            </w:pPr>
            <w:r>
              <w:rPr>
                <w:sz w:val="16"/>
              </w:rPr>
              <w:t>pascal_structure</w:t>
            </w:r>
          </w:p>
        </w:tc>
        <w:tc>
          <w:tcPr>
            <w:tcW w:w="792" w:type="dxa"/>
            <w:vAlign w:val="center"/>
          </w:tcPr>
          <w:p w14:paraId="754AF842" w14:textId="77777777" w:rsidR="00BC011E" w:rsidRDefault="004F205A">
            <w:pPr>
              <w:spacing w:after="0" w:line="276" w:lineRule="auto"/>
            </w:pPr>
            <w:r>
              <w:rPr>
                <w:sz w:val="16"/>
              </w:rPr>
              <w:t>4</w:t>
            </w:r>
          </w:p>
        </w:tc>
        <w:tc>
          <w:tcPr>
            <w:tcW w:w="6192" w:type="dxa"/>
            <w:vAlign w:val="center"/>
          </w:tcPr>
          <w:p w14:paraId="5822F330" w14:textId="77777777" w:rsidR="00BC011E" w:rsidRDefault="004F205A">
            <w:pPr>
              <w:spacing w:after="0" w:line="276" w:lineRule="auto"/>
            </w:pPr>
            <w:r>
              <w:rPr>
                <w:sz w:val="16"/>
              </w:rPr>
              <w:t>Methods, helpers, attributes, and message-handler rules.</w:t>
            </w:r>
          </w:p>
        </w:tc>
      </w:tr>
      <w:tr w:rsidR="00BC011E" w14:paraId="52E6AE30" w14:textId="77777777">
        <w:trPr>
          <w:jc w:val="center"/>
        </w:trPr>
        <w:tc>
          <w:tcPr>
            <w:tcW w:w="2376" w:type="dxa"/>
            <w:vAlign w:val="center"/>
          </w:tcPr>
          <w:p w14:paraId="38CDBFFC" w14:textId="77777777" w:rsidR="00BC011E" w:rsidRDefault="004F205A">
            <w:pPr>
              <w:spacing w:after="0" w:line="276" w:lineRule="auto"/>
            </w:pPr>
            <w:r>
              <w:rPr>
                <w:sz w:val="16"/>
              </w:rPr>
              <w:t>project_files</w:t>
            </w:r>
          </w:p>
        </w:tc>
        <w:tc>
          <w:tcPr>
            <w:tcW w:w="792" w:type="dxa"/>
            <w:vAlign w:val="center"/>
          </w:tcPr>
          <w:p w14:paraId="484AEA0F" w14:textId="77777777" w:rsidR="00BC011E" w:rsidRDefault="004F205A">
            <w:pPr>
              <w:spacing w:after="0" w:line="276" w:lineRule="auto"/>
            </w:pPr>
            <w:r>
              <w:rPr>
                <w:sz w:val="16"/>
              </w:rPr>
              <w:t>5</w:t>
            </w:r>
          </w:p>
        </w:tc>
        <w:tc>
          <w:tcPr>
            <w:tcW w:w="6192" w:type="dxa"/>
            <w:vAlign w:val="center"/>
          </w:tcPr>
          <w:p w14:paraId="7D020E2C" w14:textId="77777777" w:rsidR="00BC011E" w:rsidRDefault="004F205A">
            <w:pPr>
              <w:spacing w:after="0" w:line="276" w:lineRule="auto"/>
            </w:pPr>
            <w:r>
              <w:rPr>
                <w:sz w:val="16"/>
              </w:rPr>
              <w:t>DPR startup and project-resource behavior.</w:t>
            </w:r>
          </w:p>
        </w:tc>
      </w:tr>
      <w:tr w:rsidR="00BC011E" w14:paraId="000FE3D5" w14:textId="77777777">
        <w:trPr>
          <w:jc w:val="center"/>
        </w:trPr>
        <w:tc>
          <w:tcPr>
            <w:tcW w:w="2376" w:type="dxa"/>
            <w:vAlign w:val="center"/>
          </w:tcPr>
          <w:p w14:paraId="76B5392E" w14:textId="77777777" w:rsidR="00BC011E" w:rsidRDefault="004F205A">
            <w:pPr>
              <w:spacing w:after="0" w:line="276" w:lineRule="auto"/>
            </w:pPr>
            <w:r>
              <w:rPr>
                <w:sz w:val="16"/>
              </w:rPr>
              <w:t>project_integration</w:t>
            </w:r>
          </w:p>
        </w:tc>
        <w:tc>
          <w:tcPr>
            <w:tcW w:w="792" w:type="dxa"/>
            <w:vAlign w:val="center"/>
          </w:tcPr>
          <w:p w14:paraId="215FA06F" w14:textId="77777777" w:rsidR="00BC011E" w:rsidRDefault="004F205A">
            <w:pPr>
              <w:spacing w:after="0" w:line="276" w:lineRule="auto"/>
            </w:pPr>
            <w:r>
              <w:rPr>
                <w:sz w:val="16"/>
              </w:rPr>
              <w:t>6</w:t>
            </w:r>
          </w:p>
        </w:tc>
        <w:tc>
          <w:tcPr>
            <w:tcW w:w="6192" w:type="dxa"/>
            <w:vAlign w:val="center"/>
          </w:tcPr>
          <w:p w14:paraId="6C9A8C93" w14:textId="77777777" w:rsidR="00BC011E" w:rsidRDefault="004F205A">
            <w:pPr>
              <w:spacing w:after="0" w:line="276" w:lineRule="auto"/>
            </w:pPr>
            <w:r>
              <w:rPr>
                <w:sz w:val="16"/>
              </w:rPr>
              <w:t>Whole-project mini fixtures for include, messaging, uses cleanup, DFM/FMXL, report shape.</w:t>
            </w:r>
          </w:p>
        </w:tc>
      </w:tr>
      <w:tr w:rsidR="00BC011E" w14:paraId="774C8BF4" w14:textId="77777777">
        <w:trPr>
          <w:jc w:val="center"/>
        </w:trPr>
        <w:tc>
          <w:tcPr>
            <w:tcW w:w="2376" w:type="dxa"/>
            <w:vAlign w:val="center"/>
          </w:tcPr>
          <w:p w14:paraId="7CA422BD" w14:textId="77777777" w:rsidR="00BC011E" w:rsidRDefault="004F205A">
            <w:pPr>
              <w:spacing w:after="0" w:line="276" w:lineRule="auto"/>
            </w:pPr>
            <w:r>
              <w:rPr>
                <w:sz w:val="16"/>
              </w:rPr>
              <w:t>reporting</w:t>
            </w:r>
          </w:p>
        </w:tc>
        <w:tc>
          <w:tcPr>
            <w:tcW w:w="792" w:type="dxa"/>
            <w:vAlign w:val="center"/>
          </w:tcPr>
          <w:p w14:paraId="3FD5ADFD" w14:textId="77777777" w:rsidR="00BC011E" w:rsidRDefault="004F205A">
            <w:pPr>
              <w:spacing w:after="0" w:line="276" w:lineRule="auto"/>
            </w:pPr>
            <w:r>
              <w:rPr>
                <w:sz w:val="16"/>
              </w:rPr>
              <w:t>4</w:t>
            </w:r>
          </w:p>
        </w:tc>
        <w:tc>
          <w:tcPr>
            <w:tcW w:w="6192" w:type="dxa"/>
            <w:vAlign w:val="center"/>
          </w:tcPr>
          <w:p w14:paraId="038097CF" w14:textId="77777777" w:rsidR="00BC011E" w:rsidRDefault="004F205A">
            <w:pPr>
              <w:spacing w:after="0" w:line="276" w:lineRule="auto"/>
            </w:pPr>
            <w:r>
              <w:rPr>
                <w:sz w:val="16"/>
              </w:rPr>
              <w:t>Leftover-code detection and manual-review report formatting.</w:t>
            </w:r>
          </w:p>
        </w:tc>
      </w:tr>
      <w:tr w:rsidR="00BC011E" w14:paraId="1CF33CD3" w14:textId="77777777">
        <w:trPr>
          <w:jc w:val="center"/>
        </w:trPr>
        <w:tc>
          <w:tcPr>
            <w:tcW w:w="2376" w:type="dxa"/>
            <w:vAlign w:val="center"/>
          </w:tcPr>
          <w:p w14:paraId="4EA212D7" w14:textId="77777777" w:rsidR="00BC011E" w:rsidRDefault="004F205A">
            <w:pPr>
              <w:spacing w:after="0" w:line="276" w:lineRule="auto"/>
            </w:pPr>
            <w:r>
              <w:rPr>
                <w:sz w:val="16"/>
              </w:rPr>
              <w:t>semantic_resolution</w:t>
            </w:r>
          </w:p>
        </w:tc>
        <w:tc>
          <w:tcPr>
            <w:tcW w:w="792" w:type="dxa"/>
            <w:vAlign w:val="center"/>
          </w:tcPr>
          <w:p w14:paraId="3AB99E0B" w14:textId="77777777" w:rsidR="00BC011E" w:rsidRDefault="004F205A">
            <w:pPr>
              <w:spacing w:after="0" w:line="276" w:lineRule="auto"/>
            </w:pPr>
            <w:r>
              <w:rPr>
                <w:sz w:val="16"/>
              </w:rPr>
              <w:t>2</w:t>
            </w:r>
          </w:p>
        </w:tc>
        <w:tc>
          <w:tcPr>
            <w:tcW w:w="6192" w:type="dxa"/>
            <w:vAlign w:val="center"/>
          </w:tcPr>
          <w:p w14:paraId="7DF0E0F6" w14:textId="77777777" w:rsidR="00BC011E" w:rsidRDefault="004F205A">
            <w:pPr>
              <w:spacing w:after="0" w:line="276" w:lineRule="auto"/>
            </w:pPr>
            <w:r>
              <w:rPr>
                <w:sz w:val="16"/>
              </w:rPr>
              <w:t>Cross-unit and missing-implementation semantic checks.</w:t>
            </w:r>
          </w:p>
        </w:tc>
      </w:tr>
      <w:tr w:rsidR="00BC011E" w14:paraId="0CF33769" w14:textId="77777777">
        <w:trPr>
          <w:jc w:val="center"/>
        </w:trPr>
        <w:tc>
          <w:tcPr>
            <w:tcW w:w="2376" w:type="dxa"/>
            <w:vAlign w:val="center"/>
          </w:tcPr>
          <w:p w14:paraId="3A711D14" w14:textId="77777777" w:rsidR="00BC011E" w:rsidRDefault="004F205A">
            <w:pPr>
              <w:spacing w:after="0" w:line="276" w:lineRule="auto"/>
            </w:pPr>
            <w:r>
              <w:rPr>
                <w:sz w:val="16"/>
              </w:rPr>
              <w:t>third_party</w:t>
            </w:r>
          </w:p>
        </w:tc>
        <w:tc>
          <w:tcPr>
            <w:tcW w:w="792" w:type="dxa"/>
            <w:vAlign w:val="center"/>
          </w:tcPr>
          <w:p w14:paraId="20756B79" w14:textId="77777777" w:rsidR="00BC011E" w:rsidRDefault="004F205A">
            <w:pPr>
              <w:spacing w:after="0" w:line="276" w:lineRule="auto"/>
            </w:pPr>
            <w:r>
              <w:rPr>
                <w:sz w:val="16"/>
              </w:rPr>
              <w:t>4</w:t>
            </w:r>
          </w:p>
        </w:tc>
        <w:tc>
          <w:tcPr>
            <w:tcW w:w="6192" w:type="dxa"/>
            <w:vAlign w:val="center"/>
          </w:tcPr>
          <w:p w14:paraId="53A8C750" w14:textId="77777777" w:rsidR="00BC011E" w:rsidRDefault="004F205A">
            <w:pPr>
              <w:spacing w:after="0" w:line="276" w:lineRule="auto"/>
            </w:pPr>
            <w:r>
              <w:rPr>
                <w:sz w:val="16"/>
              </w:rPr>
              <w:t>Third-party and unknown component mapping behavior.</w:t>
            </w:r>
          </w:p>
        </w:tc>
      </w:tr>
      <w:tr w:rsidR="00BC011E" w14:paraId="4C286044" w14:textId="77777777">
        <w:trPr>
          <w:jc w:val="center"/>
        </w:trPr>
        <w:tc>
          <w:tcPr>
            <w:tcW w:w="2376" w:type="dxa"/>
            <w:vAlign w:val="center"/>
          </w:tcPr>
          <w:p w14:paraId="69A16779" w14:textId="77777777" w:rsidR="00BC011E" w:rsidRDefault="004F205A">
            <w:pPr>
              <w:spacing w:after="0" w:line="276" w:lineRule="auto"/>
            </w:pPr>
            <w:r>
              <w:rPr>
                <w:sz w:val="16"/>
              </w:rPr>
              <w:t>uses_clause</w:t>
            </w:r>
          </w:p>
        </w:tc>
        <w:tc>
          <w:tcPr>
            <w:tcW w:w="792" w:type="dxa"/>
            <w:vAlign w:val="center"/>
          </w:tcPr>
          <w:p w14:paraId="700B6CDD" w14:textId="77777777" w:rsidR="00BC011E" w:rsidRDefault="004F205A">
            <w:pPr>
              <w:spacing w:after="0" w:line="276" w:lineRule="auto"/>
            </w:pPr>
            <w:r>
              <w:rPr>
                <w:sz w:val="16"/>
              </w:rPr>
              <w:t>22</w:t>
            </w:r>
          </w:p>
        </w:tc>
        <w:tc>
          <w:tcPr>
            <w:tcW w:w="6192" w:type="dxa"/>
            <w:vAlign w:val="center"/>
          </w:tcPr>
          <w:p w14:paraId="015C474F" w14:textId="77777777" w:rsidR="00BC011E" w:rsidRDefault="004F205A">
            <w:pPr>
              <w:spacing w:after="0" w:line="276" w:lineRule="auto"/>
            </w:pPr>
            <w:r>
              <w:rPr>
                <w:sz w:val="16"/>
              </w:rPr>
              <w:t>VCL/Winapi unit cleanup, conditionals, duplicates, Vcl.Themes cleanup.</w:t>
            </w:r>
          </w:p>
        </w:tc>
      </w:tr>
      <w:tr w:rsidR="00BC011E" w14:paraId="38B8BF52" w14:textId="77777777">
        <w:trPr>
          <w:jc w:val="center"/>
        </w:trPr>
        <w:tc>
          <w:tcPr>
            <w:tcW w:w="2376" w:type="dxa"/>
            <w:vAlign w:val="center"/>
          </w:tcPr>
          <w:p w14:paraId="4401DDE1" w14:textId="77777777" w:rsidR="00BC011E" w:rsidRDefault="004F205A">
            <w:pPr>
              <w:spacing w:after="0" w:line="276" w:lineRule="auto"/>
            </w:pPr>
            <w:r>
              <w:rPr>
                <w:sz w:val="16"/>
              </w:rPr>
              <w:t>winapi_messages</w:t>
            </w:r>
          </w:p>
        </w:tc>
        <w:tc>
          <w:tcPr>
            <w:tcW w:w="792" w:type="dxa"/>
            <w:vAlign w:val="center"/>
          </w:tcPr>
          <w:p w14:paraId="16A9E97E" w14:textId="77777777" w:rsidR="00BC011E" w:rsidRDefault="004F205A">
            <w:pPr>
              <w:spacing w:after="0" w:line="276" w:lineRule="auto"/>
            </w:pPr>
            <w:r>
              <w:rPr>
                <w:sz w:val="16"/>
              </w:rPr>
              <w:t>40</w:t>
            </w:r>
          </w:p>
        </w:tc>
        <w:tc>
          <w:tcPr>
            <w:tcW w:w="6192" w:type="dxa"/>
            <w:vAlign w:val="center"/>
          </w:tcPr>
          <w:p w14:paraId="0F6F37B4" w14:textId="77777777" w:rsidR="00BC011E" w:rsidRDefault="004F205A">
            <w:pPr>
              <w:spacing w:after="0" w:line="276" w:lineRule="auto"/>
            </w:pPr>
            <w:r>
              <w:rPr>
                <w:sz w:val="16"/>
              </w:rPr>
              <w:t>Message APIs/constants/records/WndProc/message declarations/system commands/false positives.</w:t>
            </w:r>
          </w:p>
        </w:tc>
      </w:tr>
    </w:tbl>
    <w:p w14:paraId="229078D8" w14:textId="77777777" w:rsidR="00BC011E" w:rsidRDefault="00BC011E">
      <w:pPr>
        <w:spacing w:after="40"/>
      </w:pPr>
    </w:p>
    <w:p w14:paraId="1B78B7F5" w14:textId="77777777" w:rsidR="00BC011E" w:rsidRDefault="004F205A">
      <w:pPr>
        <w:pStyle w:val="Heading1"/>
      </w:pPr>
      <w:bookmarkStart w:id="22" w:name="_Toc233733838"/>
      <w:r>
        <w:rPr>
          <w:rFonts w:ascii="Calibri" w:hAnsi="Calibri"/>
        </w:rPr>
        <w:t>15. Appendix B: Source References</w:t>
      </w:r>
      <w:bookmarkEnd w:id="22"/>
    </w:p>
    <w:p w14:paraId="01360268" w14:textId="77777777" w:rsidR="00BC011E" w:rsidRDefault="004F205A">
      <w:pPr>
        <w:pStyle w:val="Heading2"/>
      </w:pPr>
      <w:bookmarkStart w:id="23" w:name="_Toc233733839"/>
      <w:r>
        <w:rPr>
          <w:rFonts w:ascii="Calibri" w:hAnsi="Calibri"/>
        </w:rPr>
        <w:t>Local VCL2FMXConverter references</w:t>
      </w:r>
      <w:bookmarkEnd w:id="23"/>
    </w:p>
    <w:p w14:paraId="1006FF70" w14:textId="77777777" w:rsidR="00BC011E" w:rsidRDefault="004F205A">
      <w:pPr>
        <w:spacing w:after="60"/>
      </w:pPr>
      <w:r>
        <w:rPr>
          <w:b/>
        </w:rPr>
        <w:t xml:space="preserve">VCL2FMX v5 User Guide: </w:t>
      </w:r>
      <w:r>
        <w:t>C:\New Delphi Projects\VCL2FMXConverterV5\docs\guides\VCL2FMXConverter_v5_0_User_Guide.docx</w:t>
      </w:r>
    </w:p>
    <w:p w14:paraId="7782333E" w14:textId="77777777" w:rsidR="00BC011E" w:rsidRDefault="004F205A">
      <w:pPr>
        <w:spacing w:after="60"/>
      </w:pPr>
      <w:r>
        <w:rPr>
          <w:b/>
        </w:rPr>
        <w:t xml:space="preserve">VCL2FMX v5 Engineering Guide: </w:t>
      </w:r>
      <w:r>
        <w:t>C:\New Delphi Projects\VCL2FMXConverterV5\docs\guides\VCL2FMXConverter_v5_0_Engineering_Guide.docx</w:t>
      </w:r>
    </w:p>
    <w:p w14:paraId="58F4C8C5" w14:textId="77777777" w:rsidR="00BC011E" w:rsidRDefault="004F205A">
      <w:pPr>
        <w:spacing w:after="60"/>
      </w:pPr>
      <w:r>
        <w:rPr>
          <w:b/>
        </w:rPr>
        <w:t xml:space="preserve">VCL2FMX v5 Conversion Contracts Guide: </w:t>
      </w:r>
      <w:r>
        <w:t>C:\New Delphi Projects\VCL2FMXConverterV5\docs\guides\VCL2FMXConverter_v5_0_Conversion_Contracts_Guide.docx</w:t>
      </w:r>
    </w:p>
    <w:p w14:paraId="41C71DBC" w14:textId="77777777" w:rsidR="00BC011E" w:rsidRDefault="004F205A">
      <w:pPr>
        <w:spacing w:after="60"/>
      </w:pPr>
      <w:r>
        <w:rPr>
          <w:b/>
        </w:rPr>
        <w:t xml:space="preserve">Contracts README: </w:t>
      </w:r>
      <w:r>
        <w:t>C:\New Delphi Projects\VCL2FMXConverterV5\contracts\README.md</w:t>
      </w:r>
    </w:p>
    <w:p w14:paraId="0ECC8BEB" w14:textId="77777777" w:rsidR="00BC011E" w:rsidRDefault="004F205A">
      <w:pPr>
        <w:spacing w:after="60"/>
      </w:pPr>
      <w:r>
        <w:rPr>
          <w:b/>
        </w:rPr>
        <w:t xml:space="preserve">Contract manifest: </w:t>
      </w:r>
      <w:r>
        <w:t>C:\New Delphi Projects\VCL2FMXConverterV5\contracts\contract_manifest.md</w:t>
      </w:r>
    </w:p>
    <w:p w14:paraId="582068F2" w14:textId="77777777" w:rsidR="00BC011E" w:rsidRDefault="004F205A">
      <w:pPr>
        <w:spacing w:after="60"/>
      </w:pPr>
      <w:r>
        <w:rPr>
          <w:b/>
        </w:rPr>
        <w:t xml:space="preserve">Mapping packs folder: </w:t>
      </w:r>
      <w:r>
        <w:t>C:\New Delphi Projects\VCL2FMXConverterV5\mapping_packs</w:t>
      </w:r>
    </w:p>
    <w:p w14:paraId="6E66FD0E" w14:textId="77777777" w:rsidR="00BC011E" w:rsidRDefault="004F205A">
      <w:pPr>
        <w:spacing w:after="60"/>
      </w:pPr>
      <w:r>
        <w:rPr>
          <w:b/>
        </w:rPr>
        <w:t xml:space="preserve">Latest source distribution: </w:t>
      </w:r>
      <w:r>
        <w:t>C:\New Delphi Projects\VCL2FMXConverterV5\Source Distributions\VCL2FMXConverter_v5_0_Source_Distribution_2026-06-29_165651.zip</w:t>
      </w:r>
    </w:p>
    <w:p w14:paraId="0006E692" w14:textId="77777777" w:rsidR="00BC011E" w:rsidRDefault="004F205A">
      <w:pPr>
        <w:pStyle w:val="Heading2"/>
      </w:pPr>
      <w:bookmarkStart w:id="24" w:name="_Toc233733840"/>
      <w:r>
        <w:rPr>
          <w:rFonts w:ascii="Calibri" w:hAnsi="Calibri"/>
        </w:rPr>
        <w:t>Public MidaConverter references</w:t>
      </w:r>
      <w:bookmarkEnd w:id="24"/>
    </w:p>
    <w:p w14:paraId="23C8127B" w14:textId="77777777" w:rsidR="00BC011E" w:rsidRDefault="004F205A">
      <w:pPr>
        <w:spacing w:after="60"/>
      </w:pPr>
      <w:r>
        <w:rPr>
          <w:b/>
        </w:rPr>
        <w:t xml:space="preserve">MidaConverter home page: </w:t>
      </w:r>
      <w:r>
        <w:t>http://www.midaconverter.com/</w:t>
      </w:r>
    </w:p>
    <w:p w14:paraId="4D79CF4D" w14:textId="77777777" w:rsidR="00BC011E" w:rsidRDefault="004F205A">
      <w:pPr>
        <w:spacing w:after="60"/>
      </w:pPr>
      <w:r>
        <w:rPr>
          <w:b/>
        </w:rPr>
        <w:t xml:space="preserve">Mida 6.5 update/features page: </w:t>
      </w:r>
      <w:r>
        <w:t>http://midaconverter.com/?page_id=3209</w:t>
      </w:r>
    </w:p>
    <w:p w14:paraId="5512A38C" w14:textId="77777777" w:rsidR="00BC011E" w:rsidRPr="00484FAA" w:rsidRDefault="004F205A">
      <w:pPr>
        <w:spacing w:after="60"/>
        <w:rPr>
          <w:lang w:val="es-ES"/>
        </w:rPr>
      </w:pPr>
      <w:r w:rsidRPr="00484FAA">
        <w:rPr>
          <w:b/>
          <w:lang w:val="es-ES"/>
        </w:rPr>
        <w:t xml:space="preserve">Mida Total Conversion page: </w:t>
      </w:r>
      <w:r w:rsidRPr="00484FAA">
        <w:rPr>
          <w:lang w:val="es-ES"/>
        </w:rPr>
        <w:t>http://midaconverter.com/?page_id=2830</w:t>
      </w:r>
    </w:p>
    <w:p w14:paraId="47192540" w14:textId="77777777" w:rsidR="00BC011E" w:rsidRDefault="004F205A">
      <w:pPr>
        <w:spacing w:after="60"/>
      </w:pPr>
      <w:r>
        <w:rPr>
          <w:b/>
        </w:rPr>
        <w:t xml:space="preserve">Mida VCL to FireMonkey page: </w:t>
      </w:r>
      <w:r>
        <w:t>http://midaconverter.com/?page_id=2908</w:t>
      </w:r>
    </w:p>
    <w:p w14:paraId="2AB6D79A" w14:textId="77777777" w:rsidR="00BC011E" w:rsidRPr="00484FAA" w:rsidRDefault="004F205A">
      <w:pPr>
        <w:spacing w:after="60"/>
        <w:rPr>
          <w:lang w:val="es-ES"/>
        </w:rPr>
      </w:pPr>
      <w:r w:rsidRPr="00484FAA">
        <w:rPr>
          <w:b/>
          <w:lang w:val="es-ES"/>
        </w:rPr>
        <w:t xml:space="preserve">Mida FAQ: </w:t>
      </w:r>
      <w:r w:rsidRPr="00484FAA">
        <w:rPr>
          <w:lang w:val="es-ES"/>
        </w:rPr>
        <w:t>http://midaconverter.com/?page_id=3052</w:t>
      </w:r>
    </w:p>
    <w:p w14:paraId="4379F022" w14:textId="77777777" w:rsidR="00BC011E" w:rsidRDefault="004F205A">
      <w:pPr>
        <w:spacing w:after="60"/>
      </w:pPr>
      <w:r>
        <w:rPr>
          <w:b/>
        </w:rPr>
        <w:t xml:space="preserve">Mida Orders page: </w:t>
      </w:r>
      <w:r>
        <w:t>http://midaconverter.com/?page_id=2788</w:t>
      </w:r>
    </w:p>
    <w:p w14:paraId="37FE233E" w14:textId="77777777" w:rsidR="00BC011E" w:rsidRDefault="004F205A">
      <w:pPr>
        <w:spacing w:after="60"/>
      </w:pPr>
      <w:r>
        <w:rPr>
          <w:b/>
        </w:rPr>
        <w:t xml:space="preserve">Embarcadero migration blog mentioning Mida: </w:t>
      </w:r>
      <w:r>
        <w:t>https://blogs.embarcadero.com/migrating-delphi-case-studies-webinar/</w:t>
      </w:r>
    </w:p>
    <w:p w14:paraId="2B9AC1AA" w14:textId="77777777" w:rsidR="00BC011E" w:rsidRDefault="004F205A">
      <w:pPr>
        <w:pStyle w:val="Heading1"/>
      </w:pPr>
      <w:bookmarkStart w:id="25" w:name="_Toc233733841"/>
      <w:r>
        <w:rPr>
          <w:rFonts w:ascii="Calibri" w:hAnsi="Calibri"/>
        </w:rPr>
        <w:t>16. Appendix C: VCL2FMX v5 Mapping Pack Set</w:t>
      </w:r>
      <w:bookmarkEnd w:id="25"/>
    </w:p>
    <w:p w14:paraId="6B045CD0" w14:textId="77777777" w:rsidR="00BC011E" w:rsidRDefault="004F205A">
      <w:r>
        <w:t>The following 22 JSON mapping packs are present in the local v5 mapping_packs folder and are included as inspectable conversion assets.</w:t>
      </w:r>
    </w:p>
    <w:p w14:paraId="21699166" w14:textId="77777777" w:rsidR="00BC011E" w:rsidRDefault="004F205A">
      <w:pPr>
        <w:pStyle w:val="ListBullet"/>
        <w:spacing w:after="80"/>
        <w:ind w:left="540" w:hanging="271"/>
      </w:pPr>
      <w:r>
        <w:t>CleverComponents</w:t>
      </w:r>
    </w:p>
    <w:p w14:paraId="69FBB704" w14:textId="77777777" w:rsidR="00BC011E" w:rsidRDefault="004F205A">
      <w:pPr>
        <w:pStyle w:val="ListBullet"/>
        <w:spacing w:after="80"/>
        <w:ind w:left="540" w:hanging="271"/>
      </w:pPr>
      <w:r>
        <w:t>DatabaseEngines</w:t>
      </w:r>
    </w:p>
    <w:p w14:paraId="78A900CC" w14:textId="77777777" w:rsidR="00BC011E" w:rsidRDefault="004F205A">
      <w:pPr>
        <w:pStyle w:val="ListBullet"/>
        <w:spacing w:after="80"/>
        <w:ind w:left="540" w:hanging="271"/>
      </w:pPr>
      <w:r>
        <w:t>Devart</w:t>
      </w:r>
    </w:p>
    <w:p w14:paraId="069084FA" w14:textId="77777777" w:rsidR="00BC011E" w:rsidRDefault="004F205A">
      <w:pPr>
        <w:pStyle w:val="ListBullet"/>
        <w:spacing w:after="80"/>
        <w:ind w:left="540" w:hanging="271"/>
      </w:pPr>
      <w:r>
        <w:t>DevExpress</w:t>
      </w:r>
    </w:p>
    <w:p w14:paraId="714A2FD4" w14:textId="77777777" w:rsidR="00BC011E" w:rsidRDefault="004F205A">
      <w:pPr>
        <w:pStyle w:val="ListBullet"/>
        <w:spacing w:after="80"/>
        <w:ind w:left="540" w:hanging="271"/>
      </w:pPr>
      <w:r>
        <w:t>EhLib</w:t>
      </w:r>
    </w:p>
    <w:p w14:paraId="4619BD05" w14:textId="77777777" w:rsidR="00BC011E" w:rsidRDefault="004F205A">
      <w:pPr>
        <w:pStyle w:val="ListBullet"/>
        <w:spacing w:after="80"/>
        <w:ind w:left="540" w:hanging="271"/>
      </w:pPr>
      <w:r>
        <w:t>FastReport</w:t>
      </w:r>
    </w:p>
    <w:p w14:paraId="64753CF5" w14:textId="77777777" w:rsidR="00BC011E" w:rsidRDefault="004F205A">
      <w:pPr>
        <w:pStyle w:val="ListBullet"/>
        <w:spacing w:after="80"/>
        <w:ind w:left="540" w:hanging="271"/>
      </w:pPr>
      <w:r>
        <w:t>Imaging/PDF</w:t>
      </w:r>
    </w:p>
    <w:p w14:paraId="00B08289" w14:textId="77777777" w:rsidR="00BC011E" w:rsidRDefault="004F205A">
      <w:pPr>
        <w:pStyle w:val="ListBullet"/>
        <w:spacing w:after="80"/>
        <w:ind w:left="540" w:hanging="271"/>
      </w:pPr>
      <w:r>
        <w:t>InfoPower</w:t>
      </w:r>
    </w:p>
    <w:p w14:paraId="0E8C7B18" w14:textId="77777777" w:rsidR="00BC011E" w:rsidRDefault="004F205A">
      <w:pPr>
        <w:pStyle w:val="ListBullet"/>
        <w:spacing w:after="80"/>
        <w:ind w:left="540" w:hanging="271"/>
      </w:pPr>
      <w:r>
        <w:t>IntraWeb/UniGUI</w:t>
      </w:r>
    </w:p>
    <w:p w14:paraId="3E5AF979" w14:textId="77777777" w:rsidR="00BC011E" w:rsidRDefault="004F205A">
      <w:pPr>
        <w:pStyle w:val="ListBullet"/>
        <w:spacing w:after="80"/>
        <w:ind w:left="540" w:hanging="271"/>
      </w:pPr>
      <w:r>
        <w:t>JVCL</w:t>
      </w:r>
    </w:p>
    <w:p w14:paraId="43216D50" w14:textId="77777777" w:rsidR="00BC011E" w:rsidRDefault="004F205A">
      <w:pPr>
        <w:pStyle w:val="ListBullet"/>
        <w:spacing w:after="80"/>
        <w:ind w:left="540" w:hanging="271"/>
      </w:pPr>
      <w:r>
        <w:t>LegacyOpenSource</w:t>
      </w:r>
    </w:p>
    <w:p w14:paraId="746B69D4" w14:textId="77777777" w:rsidR="00BC011E" w:rsidRDefault="004F205A">
      <w:pPr>
        <w:pStyle w:val="ListBullet"/>
        <w:spacing w:after="80"/>
        <w:ind w:left="540" w:hanging="271"/>
      </w:pPr>
      <w:r>
        <w:t>LMD</w:t>
      </w:r>
    </w:p>
    <w:p w14:paraId="57C7ED10" w14:textId="77777777" w:rsidR="00BC011E" w:rsidRDefault="004F205A">
      <w:pPr>
        <w:pStyle w:val="ListBullet"/>
        <w:spacing w:after="80"/>
        <w:ind w:left="540" w:hanging="271"/>
      </w:pPr>
      <w:r>
        <w:t>nSoftware</w:t>
      </w:r>
    </w:p>
    <w:p w14:paraId="2BDE732D" w14:textId="77777777" w:rsidR="00BC011E" w:rsidRDefault="004F205A">
      <w:pPr>
        <w:pStyle w:val="ListBullet"/>
        <w:spacing w:after="80"/>
        <w:ind w:left="540" w:hanging="271"/>
      </w:pPr>
      <w:r>
        <w:t>QuickReport</w:t>
      </w:r>
    </w:p>
    <w:p w14:paraId="0FF56290" w14:textId="77777777" w:rsidR="00BC011E" w:rsidRDefault="004F205A">
      <w:pPr>
        <w:pStyle w:val="ListBullet"/>
        <w:spacing w:after="80"/>
        <w:ind w:left="540" w:hanging="271"/>
      </w:pPr>
      <w:r>
        <w:t>Raize/Konopka</w:t>
      </w:r>
    </w:p>
    <w:p w14:paraId="53D2E04A" w14:textId="77777777" w:rsidR="00BC011E" w:rsidRDefault="004F205A">
      <w:pPr>
        <w:pStyle w:val="ListBullet"/>
        <w:spacing w:after="80"/>
        <w:ind w:left="540" w:hanging="271"/>
      </w:pPr>
      <w:r>
        <w:t>RemObjects</w:t>
      </w:r>
    </w:p>
    <w:p w14:paraId="5BF356A4" w14:textId="77777777" w:rsidR="00BC011E" w:rsidRDefault="004F205A">
      <w:pPr>
        <w:pStyle w:val="ListBullet"/>
        <w:spacing w:after="80"/>
        <w:ind w:left="540" w:hanging="271"/>
      </w:pPr>
      <w:r>
        <w:t>ReportBuilder</w:t>
      </w:r>
    </w:p>
    <w:p w14:paraId="214FB0AA" w14:textId="77777777" w:rsidR="00BC011E" w:rsidRDefault="004F205A">
      <w:pPr>
        <w:pStyle w:val="ListBullet"/>
        <w:spacing w:after="80"/>
        <w:ind w:left="540" w:hanging="271"/>
      </w:pPr>
      <w:r>
        <w:t>Skia4Delphi</w:t>
      </w:r>
    </w:p>
    <w:p w14:paraId="0939307E" w14:textId="77777777" w:rsidR="00BC011E" w:rsidRDefault="004F205A">
      <w:pPr>
        <w:pStyle w:val="ListBullet"/>
        <w:spacing w:after="80"/>
        <w:ind w:left="540" w:hanging="271"/>
      </w:pPr>
      <w:r>
        <w:t>TeeChart</w:t>
      </w:r>
    </w:p>
    <w:p w14:paraId="7206173B" w14:textId="77777777" w:rsidR="00BC011E" w:rsidRDefault="004F205A">
      <w:pPr>
        <w:pStyle w:val="ListBullet"/>
        <w:spacing w:after="80"/>
        <w:ind w:left="540" w:hanging="271"/>
      </w:pPr>
      <w:r>
        <w:t>TMS</w:t>
      </w:r>
    </w:p>
    <w:p w14:paraId="6EB61AE2" w14:textId="77777777" w:rsidR="00BC011E" w:rsidRDefault="004F205A">
      <w:pPr>
        <w:pStyle w:val="ListBullet"/>
        <w:spacing w:after="80"/>
        <w:ind w:left="540" w:hanging="271"/>
      </w:pPr>
      <w:r>
        <w:t>TRichView</w:t>
      </w:r>
    </w:p>
    <w:p w14:paraId="5B323208" w14:textId="77777777" w:rsidR="00BC011E" w:rsidRDefault="004F205A">
      <w:pPr>
        <w:pStyle w:val="ListBullet"/>
        <w:spacing w:after="80"/>
        <w:ind w:left="540" w:hanging="271"/>
      </w:pPr>
      <w:r>
        <w:t>VirtualTreeView</w:t>
      </w:r>
    </w:p>
    <w:sectPr w:rsidR="00BC011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47E22" w14:textId="77777777" w:rsidR="0085075A" w:rsidRDefault="0085075A">
      <w:pPr>
        <w:spacing w:after="0" w:line="240" w:lineRule="auto"/>
      </w:pPr>
      <w:r>
        <w:separator/>
      </w:r>
    </w:p>
  </w:endnote>
  <w:endnote w:type="continuationSeparator" w:id="0">
    <w:p w14:paraId="2B034B1A" w14:textId="77777777" w:rsidR="0085075A" w:rsidRDefault="00850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88D5" w14:textId="77777777" w:rsidR="00BC011E" w:rsidRDefault="004F205A">
    <w:pPr>
      <w:pStyle w:val="Footer"/>
      <w:jc w:val="center"/>
    </w:pPr>
    <w:r>
      <w:rPr>
        <w:color w:val="666666"/>
        <w:sz w:val="18"/>
      </w:rPr>
      <w:t>Prepared June 30,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8504" w14:textId="77777777" w:rsidR="0085075A" w:rsidRDefault="0085075A">
      <w:pPr>
        <w:spacing w:after="0" w:line="240" w:lineRule="auto"/>
      </w:pPr>
      <w:r>
        <w:separator/>
      </w:r>
    </w:p>
  </w:footnote>
  <w:footnote w:type="continuationSeparator" w:id="0">
    <w:p w14:paraId="69531FAF" w14:textId="77777777" w:rsidR="0085075A" w:rsidRDefault="00850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5DB4" w14:textId="77777777" w:rsidR="00BC011E" w:rsidRDefault="004F205A">
    <w:pPr>
      <w:pStyle w:val="Header"/>
      <w:jc w:val="right"/>
    </w:pPr>
    <w:r>
      <w:rPr>
        <w:color w:val="666666"/>
        <w:sz w:val="18"/>
      </w:rPr>
      <w:t>VCL2FMXConverter v5.0 Vanguard vs. MidaConverter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89583">
    <w:abstractNumId w:val="8"/>
  </w:num>
  <w:num w:numId="2" w16cid:durableId="806553293">
    <w:abstractNumId w:val="6"/>
  </w:num>
  <w:num w:numId="3" w16cid:durableId="1509783946">
    <w:abstractNumId w:val="5"/>
  </w:num>
  <w:num w:numId="4" w16cid:durableId="1416169776">
    <w:abstractNumId w:val="4"/>
  </w:num>
  <w:num w:numId="5" w16cid:durableId="1543399278">
    <w:abstractNumId w:val="7"/>
  </w:num>
  <w:num w:numId="6" w16cid:durableId="967053512">
    <w:abstractNumId w:val="3"/>
  </w:num>
  <w:num w:numId="7" w16cid:durableId="523056857">
    <w:abstractNumId w:val="2"/>
  </w:num>
  <w:num w:numId="8" w16cid:durableId="474219024">
    <w:abstractNumId w:val="1"/>
  </w:num>
  <w:num w:numId="9" w16cid:durableId="12743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484"/>
    <w:rsid w:val="00433ED2"/>
    <w:rsid w:val="00484FAA"/>
    <w:rsid w:val="004F205A"/>
    <w:rsid w:val="005424CE"/>
    <w:rsid w:val="00557104"/>
    <w:rsid w:val="00747AB4"/>
    <w:rsid w:val="0085075A"/>
    <w:rsid w:val="008A72CA"/>
    <w:rsid w:val="009305EA"/>
    <w:rsid w:val="00992035"/>
    <w:rsid w:val="00AA1D8D"/>
    <w:rsid w:val="00B47730"/>
    <w:rsid w:val="00BC011E"/>
    <w:rsid w:val="00BC1C5D"/>
    <w:rsid w:val="00CB0664"/>
    <w:rsid w:val="00E351B2"/>
    <w:rsid w:val="00F57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F70A2B"/>
  <w14:defaultImageDpi w14:val="300"/>
  <w15:docId w15:val="{E2DF2BBB-E7EA-4FAE-97DB-9CB83B12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84FAA"/>
    <w:pPr>
      <w:spacing w:after="100"/>
    </w:pPr>
  </w:style>
  <w:style w:type="paragraph" w:styleId="TOC2">
    <w:name w:val="toc 2"/>
    <w:basedOn w:val="Normal"/>
    <w:next w:val="Normal"/>
    <w:autoRedefine/>
    <w:uiPriority w:val="39"/>
    <w:unhideWhenUsed/>
    <w:rsid w:val="00484FAA"/>
    <w:pPr>
      <w:spacing w:after="100"/>
      <w:ind w:left="220"/>
    </w:pPr>
  </w:style>
  <w:style w:type="character" w:styleId="Hyperlink">
    <w:name w:val="Hyperlink"/>
    <w:basedOn w:val="DefaultParagraphFont"/>
    <w:uiPriority w:val="99"/>
    <w:unhideWhenUsed/>
    <w:rsid w:val="00484F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5367</Words>
  <Characters>30593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VCL2FMXConverter v5.0 Vanguard vs. MidaConverter Detailed Analysis</dc:title>
  <dc:subject>Side-by-side product comparison</dc:subject>
  <dc:creator>Codex</dc:creator>
  <cp:keywords/>
  <dc:description>Generated without LibreOffice; intended for Microsoft Word.</dc:description>
  <cp:lastModifiedBy>Thomas H. Martin</cp:lastModifiedBy>
  <cp:revision>7</cp:revision>
  <dcterms:created xsi:type="dcterms:W3CDTF">2013-12-23T23:15:00Z</dcterms:created>
  <dcterms:modified xsi:type="dcterms:W3CDTF">2026-08-01T18:17:00Z</dcterms:modified>
  <cp:category/>
</cp:coreProperties>
</file>