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rPr/>
      </w:pPr>
      <w:r>
        <w:rPr>
          <w:rFonts w:ascii="Calibri" w:hAnsi="Calibri"/>
          <w:b w:val="false"/>
          <w:color w:val="000000"/>
          <w:sz w:val="60"/>
        </w:rPr>
        <w:t>Generic Rules Reference</w:t>
      </w:r>
    </w:p>
    <w:p>
      <w:pPr>
        <w:pStyle w:val="Normal"/>
        <w:keepNext w:val="false"/>
        <w:spacing w:before="0" w:after="400"/>
        <w:rPr/>
      </w:pPr>
      <w:r>
        <w:rPr>
          <w:color w:val="000000"/>
          <w:sz w:val="28"/>
        </w:rPr>
        <w:t>Generic conversion rules and their implementation responsibilities</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rPr/>
      </w:pPr>
      <w:r>
        <w:rPr>
          <w:rFonts w:ascii="Calibri" w:hAnsi="Calibri"/>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57233_893999283" w:tooltip="1. Component Mapping Rules">
            <w:r>
              <w:rPr>
                <w:rStyle w:val="IndexLink"/>
              </w:rPr>
              <w:t>1. Component Mapping Rules</w:t>
              <w:tab/>
              <w:t>3</w:t>
            </w:r>
          </w:hyperlink>
        </w:p>
        <w:p>
          <w:pPr>
            <w:pStyle w:val="TOC1"/>
            <w:tabs>
              <w:tab w:val="clear" w:pos="10224"/>
              <w:tab w:val="right" w:pos="10223" w:leader="dot"/>
            </w:tabs>
            <w:rPr/>
          </w:pPr>
          <w:hyperlink w:anchor="__RefHeading___Toc57235_893999283" w:tooltip="2. Data-Aware and Binding Rules">
            <w:r>
              <w:rPr>
                <w:rStyle w:val="IndexLink"/>
              </w:rPr>
              <w:t>2. Data-Aware and Binding Rules</w:t>
              <w:tab/>
              <w:t>9</w:t>
            </w:r>
          </w:hyperlink>
        </w:p>
        <w:p>
          <w:pPr>
            <w:pStyle w:val="TOC1"/>
            <w:tabs>
              <w:tab w:val="clear" w:pos="10224"/>
              <w:tab w:val="right" w:pos="10223" w:leader="dot"/>
            </w:tabs>
            <w:rPr/>
          </w:pPr>
          <w:hyperlink w:anchor="__RefHeading___Toc57237_893999283" w:tooltip="3. Property, Event, and Semantic Translation Rules">
            <w:r>
              <w:rPr>
                <w:rStyle w:val="IndexLink"/>
              </w:rPr>
              <w:t>3. Property, Event, and Semantic Translation Rules</w:t>
              <w:tab/>
              <w:t>10</w:t>
            </w:r>
          </w:hyperlink>
        </w:p>
        <w:p>
          <w:pPr>
            <w:pStyle w:val="TOC1"/>
            <w:tabs>
              <w:tab w:val="clear" w:pos="10224"/>
              <w:tab w:val="right" w:pos="10223" w:leader="dot"/>
            </w:tabs>
            <w:rPr/>
          </w:pPr>
          <w:hyperlink w:anchor="__RefHeading___Toc57239_893999283" w:tooltip="4. Layout, Text, and Style Rules">
            <w:r>
              <w:rPr>
                <w:rStyle w:val="IndexLink"/>
              </w:rPr>
              <w:t>4. Layout, Text, and Style Rules</w:t>
              <w:tab/>
              <w:t>12</w:t>
            </w:r>
          </w:hyperlink>
        </w:p>
        <w:p>
          <w:pPr>
            <w:pStyle w:val="TOC1"/>
            <w:tabs>
              <w:tab w:val="clear" w:pos="10224"/>
              <w:tab w:val="right" w:pos="10223" w:leader="dot"/>
            </w:tabs>
            <w:rPr/>
          </w:pPr>
          <w:hyperlink w:anchor="__RefHeading___Toc57241_893999283" w:tooltip="5. Runtime Helper and Code-Rewrite Rules">
            <w:r>
              <w:rPr>
                <w:rStyle w:val="IndexLink"/>
              </w:rPr>
              <w:t>5. Runtime Helper and Code-Rewrite Rules</w:t>
              <w:tab/>
              <w:t>13</w:t>
            </w:r>
          </w:hyperlink>
        </w:p>
        <w:p>
          <w:pPr>
            <w:pStyle w:val="TOC1"/>
            <w:tabs>
              <w:tab w:val="clear" w:pos="10224"/>
              <w:tab w:val="right" w:pos="10223" w:leader="dot"/>
            </w:tabs>
            <w:rPr/>
          </w:pPr>
          <w:hyperlink w:anchor="__RefHeading___Toc57243_893999283" w:tooltip="6. Analysis, Catalog, and Review Rules">
            <w:r>
              <w:rPr>
                <w:rStyle w:val="IndexLink"/>
              </w:rPr>
              <w:t>6. Analysis, Catalog, and Review Rules</w:t>
              <w:tab/>
              <w:t>16</w:t>
            </w:r>
          </w:hyperlink>
        </w:p>
        <w:p>
          <w:pPr>
            <w:pStyle w:val="TOC1"/>
            <w:tabs>
              <w:tab w:val="clear" w:pos="10224"/>
              <w:tab w:val="right" w:pos="10223" w:leader="dot"/>
            </w:tabs>
            <w:rPr/>
          </w:pPr>
          <w:hyperlink w:anchor="__RefHeading___Toc57245_893999283" w:tooltip="V7 Atlas language support and operating safeguards">
            <w:r>
              <w:rPr>
                <w:rStyle w:val="IndexLink"/>
              </w:rPr>
              <w:t>V7 Atlas language support and operating safeguards</w:t>
              <w:tab/>
              <w:t>17</w:t>
            </w:r>
          </w:hyperlink>
        </w:p>
        <w:p>
          <w:pPr>
            <w:pStyle w:val="TOC1"/>
            <w:tabs>
              <w:tab w:val="clear" w:pos="10224"/>
              <w:tab w:val="right" w:pos="10223" w:leader="dot"/>
            </w:tabs>
            <w:rPr/>
          </w:pPr>
          <w:hyperlink w:anchor="__RefHeading___Toc57247_893999283" w:tooltip="Choosing a language">
            <w:r>
              <w:rPr>
                <w:rStyle w:val="IndexLink"/>
              </w:rPr>
              <w:t>Choosing a language</w:t>
              <w:tab/>
              <w:t>17</w:t>
            </w:r>
          </w:hyperlink>
        </w:p>
        <w:p>
          <w:pPr>
            <w:pStyle w:val="TOC1"/>
            <w:tabs>
              <w:tab w:val="clear" w:pos="10224"/>
              <w:tab w:val="right" w:pos="10223" w:leader="dot"/>
            </w:tabs>
            <w:rPr/>
          </w:pPr>
          <w:hyperlink w:anchor="__RefHeading___Toc57249_893999283" w:tooltip="Reading translated Help">
            <w:r>
              <w:rPr>
                <w:rStyle w:val="IndexLink"/>
              </w:rPr>
              <w:t>Reading translated Help</w:t>
              <w:tab/>
              <w:t>17</w:t>
            </w:r>
          </w:hyperlink>
        </w:p>
        <w:p>
          <w:pPr>
            <w:pStyle w:val="TOC1"/>
            <w:tabs>
              <w:tab w:val="clear" w:pos="10224"/>
              <w:tab w:val="right" w:pos="10223" w:leader="dot"/>
            </w:tabs>
            <w:rPr/>
          </w:pPr>
          <w:hyperlink w:anchor="__RefHeading___Toc57251_893999283" w:tooltip="Editing and adding translations">
            <w:r>
              <w:rPr>
                <w:rStyle w:val="IndexLink"/>
              </w:rPr>
              <w:t>Editing and adding translations</w:t>
              <w:tab/>
              <w:t>18</w:t>
            </w:r>
          </w:hyperlink>
        </w:p>
        <w:p>
          <w:pPr>
            <w:pStyle w:val="TOC1"/>
            <w:tabs>
              <w:tab w:val="clear" w:pos="10224"/>
              <w:tab w:val="right" w:pos="10223" w:leader="dot"/>
            </w:tabs>
            <w:rPr/>
          </w:pPr>
          <w:hyperlink w:anchor="__RefHeading___Toc57253_893999283" w:tooltip="Translation review">
            <w:r>
              <w:rPr>
                <w:rStyle w:val="IndexLink"/>
              </w:rPr>
              <w:t>Translation review</w:t>
              <w:tab/>
              <w:t>18</w:t>
            </w:r>
          </w:hyperlink>
        </w:p>
        <w:p>
          <w:pPr>
            <w:pStyle w:val="TOC1"/>
            <w:tabs>
              <w:tab w:val="clear" w:pos="10224"/>
              <w:tab w:val="right" w:pos="10223" w:leader="dot"/>
            </w:tabs>
            <w:rPr/>
          </w:pPr>
          <w:hyperlink w:anchor="__RefHeading___Toc57255_893999283" w:tooltip="Source and output checks">
            <w:r>
              <w:rPr>
                <w:rStyle w:val="IndexLink"/>
              </w:rPr>
              <w:t>Source and output checks</w:t>
              <w:tab/>
              <w:t>18</w:t>
            </w:r>
          </w:hyperlink>
        </w:p>
        <w:p>
          <w:pPr>
            <w:pStyle w:val="TOC1"/>
            <w:tabs>
              <w:tab w:val="clear" w:pos="10224"/>
              <w:tab w:val="right" w:pos="10223" w:leader="dot"/>
            </w:tabs>
            <w:rPr/>
          </w:pPr>
          <w:hyperlink w:anchor="__RefHeading___Toc57257_893999283" w:tooltip="Text encoding">
            <w:r>
              <w:rPr>
                <w:rStyle w:val="IndexLink"/>
              </w:rPr>
              <w:t>Text encoding</w:t>
              <w:tab/>
              <w:t>18</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Normal"/>
        <w:shd w:val="clear" w:color="auto" w:fill="F9F4E8"/>
        <w:spacing w:before="0" w:after="140"/>
        <w:rPr>
          <w:rFonts w:ascii="Calibri" w:hAnsi="Calibri" w:eastAsia="Times New Roman" w:cs="Calibri"/>
          <w:color w:val="222222"/>
          <w:sz w:val="22"/>
          <w:szCs w:val="22"/>
          <w:lang w:val="en-US"/>
        </w:rPr>
      </w:pPr>
      <w:r>
        <w:rPr>
          <w:rStyle w:val="Strong"/>
          <w:rFonts w:eastAsia="Times New Roman" w:cs="Calibri"/>
          <w:color w:val="222222"/>
          <w:sz w:val="22"/>
          <w:szCs w:val="22"/>
          <w:lang w:val="en-US"/>
        </w:rPr>
        <w:t>Scope:</w:t>
      </w:r>
      <w:r>
        <w:rPr>
          <w:rFonts w:eastAsia="Times New Roman" w:cs="Calibri"/>
          <w:color w:val="222222"/>
          <w:sz w:val="22"/>
          <w:szCs w:val="22"/>
          <w:lang w:val="en-US"/>
        </w:rPr>
        <w:t xml:space="preserve"> This document lists the active generic conversion rules in VCL2FMXConverter v7.0 Atlas. It covers component mappings, data-aware rules, property and event rewrites, layout and style handling, runtime helper behavior, media conversion logic, project-generation rules, include analysis, Windows messaging policy, and the executable contract-test system. It does </w:t>
      </w:r>
      <w:r>
        <w:rPr>
          <w:rStyle w:val="Strong"/>
          <w:rFonts w:eastAsia="Times New Roman" w:cs="Calibri"/>
          <w:color w:val="222222"/>
          <w:sz w:val="22"/>
          <w:szCs w:val="22"/>
          <w:lang w:val="en-US"/>
        </w:rPr>
        <w:t>not</w:t>
      </w:r>
      <w:r>
        <w:rPr>
          <w:rFonts w:eastAsia="Times New Roman" w:cs="Calibri"/>
          <w:color w:val="222222"/>
          <w:sz w:val="22"/>
          <w:szCs w:val="22"/>
          <w:lang w:val="en-US"/>
        </w:rPr>
        <w:t xml:space="preserve"> include project-specific rules. Current v7.0 note: the live Component Map, Property Map, and Event Map screens are backed by the same compiled mapper knowledge used during conversion, and the mapper exports explicit RTTI inventories and class/property/event matrices for audit and maintenance. </w:t>
      </w:r>
    </w:p>
    <w:p>
      <w:pPr>
        <w:pStyle w:val="small"/>
        <w:pageBreakBefore w:val="false"/>
        <w:spacing w:beforeAutospacing="0" w:before="0" w:after="280"/>
        <w:rPr>
          <w:rFonts w:ascii="Calibri" w:hAnsi="Calibri" w:cs="Calibri"/>
          <w:lang w:val="en-US"/>
        </w:rPr>
      </w:pPr>
      <w:r>
        <w:rPr/>
        <w:t>Reference basis: retained source-generated mapping snapshot. The live application resolves mappings using runtime type information and enabled packs.</w:t>
      </w:r>
    </w:p>
    <w:p>
      <w:pPr>
        <w:pStyle w:val="small"/>
        <w:pageBreakBefore w:val="false"/>
        <w:spacing w:beforeAutospacing="0" w:before="0" w:after="280"/>
        <w:rPr>
          <w:rFonts w:ascii="Calibri" w:hAnsi="Calibri" w:cs="Calibri"/>
          <w:lang w:val="en-US"/>
        </w:rPr>
      </w:pPr>
      <w:r>
        <w:rPr/>
        <w:t>Reference matrix snapshot: classes: 77 named classes (36 direct, 33 substitute, 8 manual review); properties: 74 total (45 direct, 22 renamed, 5 transformed, 0 omitted, 2 manual review); events: 27 total (15 direct, 5 renamed, 7 incompatible signature, 0 manual review).</w:t>
      </w:r>
    </w:p>
    <w:p>
      <w:pPr>
        <w:pStyle w:val="Heading1"/>
        <w:pageBreakBefore w:val="false"/>
        <w:spacing w:before="280" w:after="90"/>
        <w:rPr>
          <w:rFonts w:ascii="Calibri" w:hAnsi="Calibri" w:eastAsia="Times New Roman" w:cs="Calibri"/>
          <w:lang w:val="en-US"/>
        </w:rPr>
      </w:pPr>
      <w:bookmarkStart w:id="0" w:name="__RefHeading___Toc57233_893999283"/>
      <w:bookmarkEnd w:id="0"/>
      <w:r>
        <w:rPr>
          <w:rFonts w:eastAsia="Times New Roman" w:cs="Calibri"/>
          <w:color w:val="000000"/>
          <w:lang w:val="en-US"/>
        </w:rPr>
        <w:t>1. Component Mapping Rules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TAction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TAction</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TActionList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TActionList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TADODataSet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Windows-specific ADO dataset requires manual review for FMX targets.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TApdComPort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Third-party serial communications component - requires a custom FMX/WinAPI replacement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TBevel</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TRectangle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TRectangle with appropriate Fill and Stroke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TBitBtn</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TButton</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TButton with Images property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TButton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TButton</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TChart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Requires TMS FMX Chart or similar third-party component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TCheckBox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TCheckBox</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TCheckListBox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TListBox and review checked-item behavior manually.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TClientDataSet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Dataset component requires manual review; preserve only if the target platform and supporting units are appropriate.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TColorComboBox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color-selection equivalent is TColorComboBox in FMX.Colors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TColorDialog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TColorDialog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compatibility dialog with a Color property and Execute support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TComboBox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TComboBox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TDateTimePicker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TDateEdit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TDBCheckBox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TCheckBox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LiveBindings to connect to data source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TDBComboBox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TComboEdit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LiveBindings to connect to data source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TDBCtrlGrid</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Major structural difference - requires LiveBindings and manual layout review.</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TDBEdit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TEdit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LiveBindings to connect to data source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TDBGrid</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Major architectural difference - requires LiveBindings completely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TDBListBox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TListBox</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LiveBindings with FMX TListBox and review lookup/list-source behavior manually.</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TDBNavigator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TBindNavigator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LiveBindings navigator with generated TBindSourceDB hookup</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TDrawGrid</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TStringGrid and review custom drawing/cell rendering manually.</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TEdit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TEdit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TFileOpenDialog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TOpenDialog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TOpenDialog as the closest standard substitute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TFileSaveDialog</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TSaveDialog</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TSaveDialog as the closest standard substitute.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TFlowPanel</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TFlowLayout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TFlowLayout as the closest standard flow container.</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TFontDialog</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TFontDialog</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compatibility dialog with a streamed Font property and Execute support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TForm</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TForm</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Root forms are converted through dedicated parser rules; this row keeps form properties and events explicit in the mapping matrix.</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TFrame</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TFrame</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frames are available and should be treated as first-class matrix entries.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TGridPanel</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TGridPanelLayout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TGridPanelLayout as the closest standard grid layout container.</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TGroupBox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TGroupBox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 visual FMX group box semantics and caption handling</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TImage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TImage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TImageList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TImageList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TLabeledEdit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Create TLayout with TLabel and TEdit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TLinkLabel</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Hyperlink behavior requires manual review, but the visual text target is an FMX label.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Item objects need conversion</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TListView</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TListView</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TMainMenu</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TMenuBar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TMaskEdit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TEdit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TEdit and review EditMask behavior manually.</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TMediaPlayer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TMediaPlayer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TMenuItem</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TMenuItem</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TMonthCalendar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TCalendar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TNumberBox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TNumberBox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TNumberBox is available in FMX.NumberBox</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TOpenDialog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TOpenDialog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TPageControl</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TTabControl</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TPaintBox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TPaintBox</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TPaintBox is available in FMX.Objects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TPanel</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TPanel</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 visual FMX panel semantics for container controls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TPopupMenu</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TPopupMenu</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TProgressBar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TProgressBar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TQuery</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Legacy query component requires manual review or replacement.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TRadioButton</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TRadioButton</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TRadioGroup</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TRadioGroup</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compatibility group that rebuilds internal FMX radio buttons from Items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TRichEdit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 FMX TMemo and review rich-text formatting behavior manually.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TSaveDialog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TSaveDialog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TScrollBar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TScrollBar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TScrollBox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TScrollBox</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TShape</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TShape</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TSpeedButton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TSpeedButton</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TSpinEdit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TSpinBox</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TSpinBox is available in FMX.SpinBox</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TSplitter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TSplitter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TSQLDataSet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dbExpress dataset requires manual review for FMX targets.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TStaticText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Static text converts cleanly to an FMX label.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TStatusBar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TStatusBar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Data model completely different - requires LiveBindings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TTabSheet</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TTabItem</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TTaskDialog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 standard FMX task dialog component - requires a custom dialog implementation.</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TTimer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TTimer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TToolBar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TToolBar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TTrackBar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TTrackBar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 manual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TTrayIcon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 / unsupported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 standard FMX tray icon component - requires platform-specific code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TTreeView</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TTreeView</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TUpDown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TSpinBox</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closest stock FMX substitute and applies later parser or integration rules where needed.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Substitute component mapping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TValueListEditor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TGrid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Complex - requires custom grid implementation</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Direct component mapping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TWebBrowser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TWebBrowser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directly to the matching FMX component surface.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bl>
    <w:p>
      <w:pPr>
        <w:pStyle w:val="Heading1"/>
        <w:pageBreakBefore w:val="false"/>
        <w:spacing w:before="280" w:after="90"/>
        <w:rPr>
          <w:rFonts w:ascii="Calibri" w:hAnsi="Calibri" w:eastAsia="Times New Roman" w:cs="Calibri"/>
          <w:lang w:val="en-US"/>
        </w:rPr>
      </w:pPr>
      <w:bookmarkStart w:id="1" w:name="__RefHeading___Toc57235_893999283"/>
      <w:bookmarkEnd w:id="1"/>
      <w:r>
        <w:rPr>
          <w:rFonts w:eastAsia="Times New Roman" w:cs="Calibri"/>
          <w:color w:val="000000"/>
          <w:lang w:val="en-US"/>
        </w:rPr>
        <w:t>2. Data-Aware and Binding Rules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Field binding analysis</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TDBEdit / field-style DB-aware editors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TEdit + generated bind/sync code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Detects field-bound editors and generates the helper methods and events needed to keep FMX edits synchronized with dataset values.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Grid binding analysis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TDBGrid</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 + binding/selector strategy</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Captures grid column metadata and routes each form to either a browse-grid path or a selector-grid-with-editors path based on the form structure.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Atlas binding analysis</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TDBNavigator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TBindNavigator + generated bind source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Detects navigator usage and generates the FMX navigator/bind-source setup needed to drive the dataset.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Lookup combo analysis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TDBLookupComboBox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Lookup-style LiveBindings setup</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Marks lookup combos for fill-control binding behavior so list values and selected keys can be bridged in FMX.</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Display text binding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TDBText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 + text binding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Routes read-only DB text fields to an FMX label with text/property binding semantics.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 Converter.Advanced.ThirdParty.pas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Editable combo text binding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TDBComboBox</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TComboEdit + combo text sync</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an editable FMX combo-edit for data-aware combo text and generates selection, popup, and field-sync logic around it.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Blob image binding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TDBImage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TImage + blob binding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Flags image fields for blob/property binding so visual image content can be pushed into FMX bitmap-based controls.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Memo text binding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TDBMemo</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 + text binding</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Routes memo fields to multiline FMX text components with property binding behavior.</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Boolean field binding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TDBCheckBox</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TCheckBox + IsChecked binding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boolean database fields to FMX check boxes using IsChecked rather than Checked.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Enum / radio-group binding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TDBRadioGroup</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TRadioGroup + enum binding</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enumerated field groups to FMX radio-group/property binding behavior when the current compatibility path is appropriate.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 Converter.Advanced.ThirdParty.pas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Bind-source code generation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DB-aware datasets and controls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LiveBindings objects and generated helper code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Creates the FMX-side bind-source objects and related link components where direct FMX data-aware controls do not exist.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Converter.Advanced.DataAware.pas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Read-only browse grid rule</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Editable source DB grid with separate editors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Browse-only TStringGrid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the grid for browsing/selection and pushes editing responsibility into the already-existing standalone editors on the form.</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Selector-grid rule</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Editable source DB grid without separate editors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 + generated editor panel</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Builds a selector grid plus generated editors so inline VCL DB-grid editing is replaced with a safer FMX editing model.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bl>
    <w:p>
      <w:pPr>
        <w:pStyle w:val="Heading1"/>
        <w:pageBreakBefore w:val="false"/>
        <w:spacing w:before="280" w:after="90"/>
        <w:rPr>
          <w:rFonts w:ascii="Calibri" w:hAnsi="Calibri" w:eastAsia="Times New Roman" w:cs="Calibri"/>
          <w:lang w:val="en-US"/>
        </w:rPr>
      </w:pPr>
      <w:bookmarkStart w:id="2" w:name="__RefHeading___Toc57237_893999283"/>
      <w:bookmarkEnd w:id="2"/>
      <w:r>
        <w:rPr>
          <w:rFonts w:eastAsia="Times New Roman" w:cs="Calibri"/>
          <w:color w:val="000000"/>
          <w:lang w:val="en-US"/>
        </w:rPr>
        <w:t>3. Property, Event, and Semantic Translation Rules</w:t>
      </w:r>
    </w:p>
    <w:p>
      <w:pPr>
        <w:pStyle w:val="small"/>
        <w:pageBreakBefore w:val="false"/>
        <w:spacing w:beforeAutospacing="0" w:before="0" w:after="280"/>
        <w:rPr>
          <w:rFonts w:ascii="Calibri" w:hAnsi="Calibri" w:cs="Calibri"/>
          <w:lang w:val="en-US"/>
        </w:rPr>
      </w:pPr>
      <w:r>
        <w:rPr>
          <w:rFonts w:cs="Calibri"/>
          <w:lang w:val="en-US"/>
        </w:rPr>
        <w:t>The current explicit property matrix classifies 74 rows (45 direct, 22 renamed, 5 transformed, 0 omitted, 2 manual review). The current explicit event matrix classifies 27 rows (15 direct, 5 renamed, 7 incompatible-signature, 0 manual review).</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Caption-to-Text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Caption-based control text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Text / TextSettings-based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VCL Caption usage to the appropriate FMX text property or text-setting path depending on the control type.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Checked-to-IsChecked translation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Checked</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IsChecked</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Normalizes VCL toggle state access to the FMX boolean property used by check boxes and radio buttons.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Picture-to-Bitmap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TPicture-based image content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Bitmap-based FMX image content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Bridges the VCL picture model to the bitmap-oriented FMX image control model.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Brush and Pen translation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Brush / Pen</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Fill / Stroke</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VCL drawing properties to the FMX rendering property model.</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Combo popup event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OnDropDown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OnPopup</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Rewrites combo drop-down events to the FMX popup event used by combo boxes and combo-edit controls.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Combo close event translation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OnCloseUp</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OnClosePopup</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Rewrites combo close-up events to the FMX popup-close event used by combo boxes and combo-edit controls.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Date picker open event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OnDropDown</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OnOpenPicker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the VCL date-picker open event to the FMX picker-open event.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Date picker close event translation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OnCloseUp</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OnClosePicker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Maps the VCL date-picker close event to the FMX picker-close event.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 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Key event signature review</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OnKeyDown / OnKeyUp</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key events with different signatures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Marks keyboard events whose FMX handler signatures differ from VCL so the converter can report or adapt them honestly.</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Form mouse-move signature review</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Form OnMouseMove</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mouse events with Single coordinates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Flags signature differences where FMX expects floating-point coordinates instead of the VCL integer pattern.</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Root-form double-click adaptation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Form OnDblClick</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OnMouseUp adapter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FMX forms from streaming an unsupported OnDblClick property by remapping root-form double-click behavior through a generated mouse-up adapter.</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Masked-edit rule</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EditMask</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 review</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TMaskEdit on the supported class matrix while leaving masking semantics explicit instead of pretending there is a full FMX equivalent.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Windows message to FMX event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WM_* handlers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OnEnter / OnExit / OnClick / OnResize / etc.</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Translates common Windows message-handler patterns into the closest FMX event model and marks critical areas for review when needed.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Converter.Advanced.CriticalAreas.pas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 color constant translation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clBtnFace, clWindow, clActiveCaption, and similar constants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TAlphaColor / FMX-safe color literals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common VCL color constants into the FMX color system so colors render correctly outside WinAPI painting.</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 cast normalization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TColor(...)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TAlphaColor(...)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Normalizes explicit color casts so converted code compiles and uses the FMX color type system.</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MessageDlg button qualification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[mbOK], [mbYes, mbNo] and similar sets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[TMsgDlgBtn.mbOK], [TMsgDlgBtn.mbYes, TMsgDlgBtn.mbNo]</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Qualifies generated FMX message-dialog button sets so they use the FMX/System.UITypes enum surface instead of bare VCL-style identifiers.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Folder picker dialog translation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TFileOpenDialog with fdoPickFolders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SelectDirectory helper path</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folder-only browse flows to FMX directory selection and suppresses unsupported VCL dialog option constants from leaking into generated FMX Pascal.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Toggle user-change semantics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 check box / radio button OnClick semantics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OnChange plus generated silent setter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user-change behavior generically by separating programmatic state assignment from user-triggered event handling.</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Message dialog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ShowMessage(...)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ShowMessage(...)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standard message dialogs rather than routing them through an extra helper layer.</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bl>
    <w:p>
      <w:pPr>
        <w:pStyle w:val="Heading1"/>
        <w:pageBreakBefore w:val="false"/>
        <w:spacing w:before="280" w:after="90"/>
        <w:rPr>
          <w:rFonts w:ascii="Calibri" w:hAnsi="Calibri" w:eastAsia="Times New Roman" w:cs="Calibri"/>
          <w:lang w:val="en-US"/>
        </w:rPr>
      </w:pPr>
      <w:bookmarkStart w:id="3" w:name="__RefHeading___Toc57239_893999283"/>
      <w:bookmarkEnd w:id="3"/>
      <w:r>
        <w:rPr>
          <w:rFonts w:eastAsia="Times New Roman" w:cs="Calibri"/>
          <w:color w:val="000000"/>
          <w:lang w:val="en-US"/>
        </w:rPr>
        <w:t>4. Layout, Text, and Style Rules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Scoped StyledSettings emission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Styled text-capable controls with custom font/color/alignment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Scoped StyledSettings literal</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Clears only the FMX style buckets actually overridden by converted font, color, and alignment settings instead of forcing StyledSettings to an empty set.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Label AutoSize preservation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AutoSize and non-AutoSize VCL labels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TLabel sizing that follows the original intent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safe AutoSize behavior where appropriate and avoids over-expanding labels that were fixed-width in VCL.</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Fixed-width label width bump</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Long single-line fixed-width labels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Wider TLabel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Adds a mild width increase so slightly larger FMX text does not clip or crowd adjacent controls.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Wrapped label width normalization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Long wrapped labels and labels with manual line breaks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Wider wrapped TLabel output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Expands wrapped labels so multiline text fits more naturally in FMX.</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Wrapped label height normalization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Wrapped labels that need extra vertical space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Taller TLabel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Increases label height so wrapped text fully displays instead of truncating after the first line.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Right/centered label alignment preservation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Right-justified or centered labels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Fixed-width aligned FMX label output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alignment intent and keeps labels visually aligned with nearby controls rather than forcing unsafe autosizing.</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Auto-sized label anchor reset</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Auto-sized VCL labels carrying broad anchor sets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Default FMX anchors for auto-sized labels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FMX from stretching centered or auto-sized labels just because the source VCL label carried opposite-edge anchors.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DIP-aware font scaling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 pixel-sized text controls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Adjusted FMX font sizes and dimensions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Applies component-aware sizing adjustments so text controls look closer to their VCL proportions under FMX device-independent pixels.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Editable combo read-only safeguard</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TDBComboBox converted to TComboEdit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Editable combo-edit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VCL ReadOnly metadata from incorrectly locking editable converted combo-edit controls.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Runtime font-size styled-setting release</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Control.Font.Size assignments on FMX styled text controls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font-size helper that clears TStyledSetting.Size first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Ensures runtime font-size changes are honored on FMX text controls whose styles would otherwise keep Size locked.</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VCL-style text layout math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Label stacking math that depends on Height after runtime font changes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VCL text-height helper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vertical spacing in converted dashboards and clock-style layouts by using source label metrics instead of trusting raw FMX auto-size heights.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Style-resource background application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 styled containers with explicit background colors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Styled FMX container tinting</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Applies explicit container colors through the FMX style tree so panels, group boxes, toolbars, and status bars keep their visual intent.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Recursive container color propagation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Nested VCL containers with explicit color usage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ApplyContainerBackgroundColor helper</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Walks the FMX control tree and applies compatible background color handling to styled container hierarchies.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bl>
    <w:p>
      <w:pPr>
        <w:pStyle w:val="Heading1"/>
        <w:pageBreakBefore w:val="false"/>
        <w:spacing w:before="280" w:after="90"/>
        <w:rPr>
          <w:rFonts w:ascii="Calibri" w:hAnsi="Calibri" w:eastAsia="Times New Roman" w:cs="Calibri"/>
          <w:lang w:val="en-US"/>
        </w:rPr>
      </w:pPr>
      <w:bookmarkStart w:id="4" w:name="__RefHeading___Toc57241_893999283"/>
      <w:bookmarkEnd w:id="4"/>
      <w:r>
        <w:rPr>
          <w:rFonts w:eastAsia="Times New Roman" w:cs="Calibri"/>
          <w:color w:val="000000"/>
          <w:lang w:val="en-US"/>
        </w:rPr>
        <w:t>5. Runtime Helper and Code-Rewrite Rules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Bound date parser</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Date text entered into converted bound edits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GeneratedTryParseBoundDate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Accepts flexible date text, validates it, and converts it safely before the dataset field is updated.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Bound time parser</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Time text entered into converted bound edits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GeneratedTryParseBoundTime</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Accepts flexible 12-hour and 24-hour time input and normalizes it for FMX-bound field updates.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Bound field assignment helper</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Field updates from converted edits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GeneratedAssignBoundFieldValue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Centralizes type-aware field assignment so invalid values are rejected cleanly and valid values normalize through the field display logic.</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DisplayText refresh preservation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TDBEdit.Field.DisplayText refresh logic</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GeneratedGetManualFieldDisplayText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VCL data-aware display formatting such as OnGetText-driven month/day presentation when converted edits refresh from their bound field display text.</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Bound edit commit wiring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TDBEdit-style behavior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OnChangeTracking / OnExit / OnKeyDown wiring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Wakes dataset edit mode while typing, commits on Enter or exit, and re-syncs from the field display value afterward.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 clear normalization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TMemo.Clear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Lines.Clear</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Normalizes memo-clearing calls to the FMX multiline text model.</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Numeric Position-to-Value normalization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Track and progress Position semantics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Value semantics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Normalizes common slider-style control reads and writes to FMX Value properties.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Combo startup popup suppression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combo setup on form creation</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Field sync without popup side effects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Initializes converted combo values from the bound field without calling actual popup-open logic during form startup.</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Combo popup-close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Existing OnClosePopup handlers on converted combo controls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close-popup wrapper plus restore-on-cleanup</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Chains original close-popup logic with generated field-sync behavior and restores the original handler for externally owned/shared combo controls during teardown.</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External datasource handler restoration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Wrapped external TDataSource.OnDataChange handlers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Restore original OnDataChange on cleanup</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generated binding cleanup from leaving a shared datasource with its handler nilled out after the form closes.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External navigator handler restoration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Wrapped external TBindNavigator.BeforeAction handlers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Restore original BeforeAction on cleanup</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shared navigators from being left pointed at generated wrapper methods on a destroyed form.</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Startup OnEnter guard</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Side-effecting OnEnter handlers that fire during initial FMX display</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startup-guard enter wrappers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startup focus churn from triggering VCL OnEnter logic too early when a form first appears in FMX.</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Deferred FormShow toggle click</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Programmatic toggle state changes followed by click handler calls in FormShow</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ForceQueue-deferred simulated click</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Lets the FMX form finish showing before the original handler runs, which better matches VCL startup timing.</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Media duration to milliseconds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MediaPlayer.Length-style millisecond logic</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Round((Duration / MediaTimeScale) * 1000)</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FMX TMediaTime values into the millisecond units expected by converted VCL code.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Media duration to seconds</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MediaPlayer.Length div 1000-style logic</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Round(Duration / MediaTimeScale)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FMX TMediaTime values into seconds for countdown and remaining-time calculations.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media notify bridge</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TMediaPlayer.OnNotify / Notify usage</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media-notify timer bridge</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Emulates the VCL-style media notify pattern on FMX players by watching playback state and firing the original callback path generically.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Ellipse drawing helper</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VCL-style ellipse fill/stroke drawing patterns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FillAndStrokeEllipse</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Injects a reusable FMX helper for shape-drawing scenarios that do not map cleanly one-to-one from the VCL canvas model.</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Client geometry normalization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CenterX / CenterY and client-size assumptions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ClientWidth / ClientHeight-aware output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Normalizes geometry calculations that depend on VCL client sizing so they make sense under FMX layout rules.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Hide-to-tray fallback simplification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Hide To Tray button or handler</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WindowState := wsMinimized</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hide-to-tray niceties to a simpler FMX-safe minimize behavior rather than trying to emulate a platform tray implementation automatically.</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Form centering float normalization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Mixed Integer/Extended center-position math</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Rounded integer-safe assignment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Prevents generated form-centering code from assigning Extended expressions directly to integer Top/Left properties.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TMemo string collection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Lines.Strings, Items.Strings, SQL.Strings, Params.Strings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Structured collection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Preserves string-list collection properties without flattening them into invalid FMX text.</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StringGrid event-before-child emission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TStringGrid event properties and generated column children</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Event properties emitted before child objects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generated FMX forms loadable in Delphi by preserving reader-sensitive ordering.</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Converter.Parser.DFM.pas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UTF-8 BOM output</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Generated .fmx text with international characters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UTF-8 with BOM</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Ensures accented text and international captions display correctly when opened in Delphi.</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Converter.Core.FileManager.pas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DPR auto-create preservation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Application.CreateForm list in the source DPR</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Preserved Application.CreateForm output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the source form auto-create list intact and suppresses the immediate extra Show call that caused FMX startup instability.</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Converter.Project.Generator.pas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ShellExecute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Windows ShellExecute help/document/URL launch calls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Live ShellExecute output in Windows-targeted FMX projects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valid Windows shell-launch behavior active instead of commenting it out, restoring help/document buttons and similar utilities.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Serial and named-pipe handle preservation</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Comm-resource CreateFile / WriteFile patterns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Preserved Windows handle open/write calls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valid Windows serial-port and named-pipe communication paths live instead of downgrading them as ordinary file I/O.</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Process-control preservation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GetExitCodeProcess / TerminateProcess around preserved CreateProcess flows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Live Windows process-control output</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Keeps partial process-runner code from breaking by preserving the surrounding Windows process-status and termination calls when the process path is already being preserved.</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w:t>
            </w:r>
          </w:p>
        </w:tc>
      </w:tr>
    </w:tbl>
    <w:p>
      <w:pPr>
        <w:pStyle w:val="Heading1"/>
        <w:pageBreakBefore w:val="false"/>
        <w:spacing w:before="280" w:after="360"/>
        <w:ind w:start="360" w:end="360"/>
        <w:rPr>
          <w:rFonts w:ascii="Calibri" w:hAnsi="Calibri" w:eastAsia="Times New Roman" w:cs="Calibri"/>
          <w:lang w:val="en-US"/>
        </w:rPr>
      </w:pPr>
      <w:bookmarkStart w:id="5" w:name="__RefHeading___Toc57243_893999283"/>
      <w:bookmarkEnd w:id="5"/>
      <w:r>
        <w:rPr>
          <w:rFonts w:eastAsia="Times New Roman" w:cs="Calibri"/>
          <w:color w:val="000000"/>
          <w:lang w:val="en-US"/>
        </w:rPr>
        <w:t>6. Analysis, Catalog, and Review Rules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439"/>
        <w:gridCol w:w="1656"/>
        <w:gridCol w:w="2017"/>
        <w:gridCol w:w="3168"/>
        <w:gridCol w:w="1944"/>
      </w:tblGrid>
      <w:tr>
        <w:trPr>
          <w:tblHeader w:val="true"/>
          <w:cantSplit/>
        </w:trPr>
        <w:tc>
          <w:tcPr>
            <w:tcW w:w="1439"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Rule Name</w:t>
            </w:r>
          </w:p>
        </w:tc>
        <w:tc>
          <w:tcPr>
            <w:tcW w:w="1656"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VCL Source</w:t>
            </w:r>
          </w:p>
        </w:tc>
        <w:tc>
          <w:tcPr>
            <w:tcW w:w="2017"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FMX Output</w:t>
            </w:r>
          </w:p>
        </w:tc>
        <w:tc>
          <w:tcPr>
            <w:tcW w:w="3168"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What the New Component / Rule Does</w:t>
            </w:r>
          </w:p>
        </w:tc>
        <w:tc>
          <w:tcPr>
            <w:tcW w:w="1944" w:type="dxa"/>
            <w:tcBorders>
              <w:top w:val="single" w:sz="6" w:space="0" w:color="B7B7B7"/>
              <w:start w:val="single" w:sz="6" w:space="0" w:color="B7B7B7"/>
              <w:bottom w:val="single" w:sz="6" w:space="0" w:color="B7B7B7"/>
              <w:end w:val="single" w:sz="6" w:space="0" w:color="B7B7B7"/>
            </w:tcBorders>
            <w:shd w:fill="17365D" w:val="clear"/>
            <w:vAlign w:val="center"/>
          </w:tcPr>
          <w:p>
            <w:pPr>
              <w:pStyle w:val="Normal"/>
              <w:keepNext w:val="false"/>
              <w:keepLines w:val="false"/>
              <w:spacing w:lineRule="auto" w:line="240" w:before="40" w:after="40"/>
              <w:rPr>
                <w:rFonts w:ascii="Calibri" w:hAnsi="Calibri" w:eastAsia="Times New Roman" w:cs="Calibri"/>
                <w:b/>
                <w:bCs/>
                <w:color w:val="4B2A1A"/>
                <w:sz w:val="22"/>
                <w:szCs w:val="22"/>
              </w:rPr>
            </w:pPr>
            <w:r>
              <w:rPr>
                <w:rFonts w:eastAsia="Times New Roman" w:cs="Calibri"/>
                <w:b/>
                <w:bCs/>
                <w:color w:val="FFFFFF"/>
                <w:sz w:val="19"/>
                <w:szCs w:val="22"/>
              </w:rPr>
              <w:t>Implemented In</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Explicit matrix export</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Current mapper state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JSON inventory and matrix artifacts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Exports RTTI inventories plus explicit class, property, and event matrices so coverage can be audited from the compiled mapper.</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Converter.Mapper.Component.pas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Third-party component catalog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Known VCL components and compatibility metadata</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Catalog-backed FMX suggestions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Provides a compatibility catalog used during analysis and documentation of what maps directly, what needs bindings, and what needs redesign.</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Converter.Advanced.ThirdParty.pas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Manual-review comment emission</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Unsupported or risky VCL patterns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FMX manual review comments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Leaves review markers only where the converter still needs the user to make a conscious follow-up decision.</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Converter.Advanced.CriticalAreas.pas; Converter.Parser.Pascal.pas;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Critical-area reporting</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Message maps, WinAPI-heavy code, unsupported patterns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Conversion report output</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Collects risky patterns during conversion so they can be surfaced for later inspection.</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Converter.Advanced.CriticalAreas.pas; Converter.Core.Engine.pas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Live mapping reference tabs</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Current mapper knowledge</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Component / Property / Event map pages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Uses the same mapper and discovery paths that drive conversion so the on-screen reference tabs reflect the compiled v7.0 knowledge base.</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MainForm.pas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Pascal include analysis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 and {$INCLUDE} directives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Analysis-first include handling with safe copy</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Analyzes include contents for VCL, Winapi, and message usage, copies source-tree includes to output, warns on missing/outside-tree files, and guards recursive/nested include chains.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Converter.Core.Engine.pas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Windows messaging contract policy</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WM/CM/CN/common-control messages, WndProc, message declarations, message APIs</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Category-based conversion or manual-review reporting</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Converts only reliable cases, preserves mixed system-command behavior as manual review, ignores comments/strings/false positives, and emits source-line report details for unsupported messaging.</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Converter.Advanced.WinAPI.pas; Converter.Parser.Pascal.pas; Converter.Rewrite.AutoFixes.pas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Protected conditional uses cleanup</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VCL/Winapi units inside protected or conditional uses blocks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Contract-tested uses normalization</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Removes stale VCL units such as Vcl.Themes when active generated output no longer needs them, while preserving Windows units only when active code still requires them.</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Converter.Rewrite.UsesClause.pas; Converter.Core.Integration.pas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Inventory-based runtime companion reporting</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Real runtime-support files in the source root</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Actionable staged/found report entries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Copies runtime companions from the source root only, avoids ambiguous build-output duplicates, filters out build folders, and reports only meaningful staged or still-manual items.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Converter.Project.Generator.pas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Executable conversion contracts</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Small Delphi fixtures plus .expected.json files</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Contract runner assertions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Runs 227 v7.0 expectations against generated output and report text so structural rules are tested before release.</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contracts; tools/run_conversion_contracts.ps1</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Report wording clarity</w:t>
            </w:r>
          </w:p>
        </w:tc>
        <w:tc>
          <w:tcPr>
            <w:tcW w:w="1656"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Distinct-file issue count and staged companion wording</w:t>
            </w:r>
          </w:p>
        </w:tc>
        <w:tc>
          <w:tcPr>
            <w:tcW w:w="2017"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Clearer text and HTML report labels</w:t>
            </w:r>
          </w:p>
        </w:tc>
        <w:tc>
          <w:tcPr>
            <w:tcW w:w="3168"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Clarifies that the report count is for distinct files needing attention and uses explicit staged-runtime wording in both report channels.</w:t>
            </w:r>
          </w:p>
        </w:tc>
        <w:tc>
          <w:tcPr>
            <w:tcW w:w="1944" w:type="dxa"/>
            <w:tcBorders>
              <w:top w:val="single" w:sz="6" w:space="0" w:color="B7B7B7"/>
              <w:start w:val="single" w:sz="6" w:space="0" w:color="B7B7B7"/>
              <w:bottom w:val="single" w:sz="6" w:space="0" w:color="B7B7B7"/>
              <w:end w:val="single" w:sz="6" w:space="0" w:color="B7B7B7"/>
            </w:tcBorders>
            <w:shd w:fill="FFFFFF"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Converter.Core.Engine.pas; Converter.Project.Generator.pas</w:t>
            </w:r>
          </w:p>
        </w:tc>
      </w:tr>
      <w:tr>
        <w:trPr>
          <w:cantSplit/>
        </w:trPr>
        <w:tc>
          <w:tcPr>
            <w:tcW w:w="1439"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Generic release hygiene</w:t>
            </w:r>
          </w:p>
        </w:tc>
        <w:tc>
          <w:tcPr>
            <w:tcW w:w="1656"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Project-specific identifiers in converter source</w:t>
            </w:r>
          </w:p>
        </w:tc>
        <w:tc>
          <w:tcPr>
            <w:tcW w:w="2017"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Audit and sweep checks</w:t>
            </w:r>
          </w:p>
        </w:tc>
        <w:tc>
          <w:tcPr>
            <w:tcW w:w="3168"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Supports the generic/public release process by allowing the converter source to be scanned for forbidden project-specific markers.</w:t>
            </w:r>
          </w:p>
        </w:tc>
        <w:tc>
          <w:tcPr>
            <w:tcW w:w="1944" w:type="dxa"/>
            <w:tcBorders>
              <w:top w:val="single" w:sz="6" w:space="0" w:color="B7B7B7"/>
              <w:start w:val="single" w:sz="6" w:space="0" w:color="B7B7B7"/>
              <w:bottom w:val="single" w:sz="6" w:space="0" w:color="B7B7B7"/>
              <w:end w:val="single" w:sz="6" w:space="0" w:color="B7B7B7"/>
            </w:tcBorders>
            <w:shd w:fill="F2F5F8" w:val="clear"/>
            <w:vAlign w:val="center"/>
          </w:tcPr>
          <w:p>
            <w:pPr>
              <w:pStyle w:val="Normal"/>
              <w:keepNext w:val="false"/>
              <w:keepLines w:val="false"/>
              <w:spacing w:lineRule="auto" w:line="240" w:before="40" w:after="40"/>
              <w:rPr>
                <w:rFonts w:ascii="Calibri" w:hAnsi="Calibri" w:eastAsia="Times New Roman" w:cs="Calibri"/>
                <w:color w:val="222222"/>
                <w:sz w:val="22"/>
                <w:szCs w:val="22"/>
              </w:rPr>
            </w:pPr>
            <w:r>
              <w:rPr>
                <w:rFonts w:eastAsia="Times New Roman" w:cs="Calibri"/>
                <w:b w:val="false"/>
                <w:color w:val="000000"/>
                <w:sz w:val="19"/>
                <w:szCs w:val="22"/>
              </w:rPr>
              <w:t>GENERIC_RULE_AUDIT_2026-03-20.txt; generic sweep process</w:t>
            </w:r>
          </w:p>
        </w:tc>
      </w:tr>
    </w:tbl>
    <w:p>
      <w:pPr>
        <w:pStyle w:val="small"/>
        <w:pageBreakBefore w:val="false"/>
        <w:spacing w:beforeAutospacing="0" w:before="0" w:after="280"/>
        <w:ind w:start="360" w:end="360"/>
        <w:rPr>
          <w:rFonts w:ascii="Calibri" w:hAnsi="Calibri" w:cs="Calibri"/>
          <w:lang w:val="en-US"/>
        </w:rPr>
      </w:pPr>
      <w:r>
        <w:rPr>
          <w:rFonts w:cs="Calibri"/>
          <w:lang w:val="en-US"/>
        </w:rPr>
        <w:t>End of reference.</w:t>
      </w:r>
    </w:p>
    <w:p>
      <w:pPr>
        <w:pStyle w:val="Heading1"/>
        <w:pageBreakBefore w:val="false"/>
        <w:spacing w:before="0" w:after="90"/>
        <w:rPr/>
      </w:pPr>
      <w:bookmarkStart w:id="6" w:name="__RefHeading___Toc57245_893999283"/>
      <w:bookmarkEnd w:id="6"/>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1"/>
        <w:pageBreakBefore w:val="false"/>
        <w:spacing w:before="280" w:after="90"/>
        <w:rPr/>
      </w:pPr>
      <w:bookmarkStart w:id="7" w:name="__RefHeading___Toc57247_893999283"/>
      <w:bookmarkEnd w:id="7"/>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1"/>
        <w:pageBreakBefore w:val="false"/>
        <w:spacing w:before="280" w:after="90"/>
        <w:rPr/>
      </w:pPr>
      <w:bookmarkStart w:id="8" w:name="__RefHeading___Toc57249_893999283"/>
      <w:bookmarkEnd w:id="8"/>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1"/>
        <w:pageBreakBefore w:val="false"/>
        <w:spacing w:before="280" w:after="90"/>
        <w:rPr/>
      </w:pPr>
      <w:bookmarkStart w:id="9" w:name="__RefHeading___Toc57251_893999283"/>
      <w:bookmarkEnd w:id="9"/>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1"/>
        <w:pageBreakBefore w:val="false"/>
        <w:spacing w:before="280" w:after="90"/>
        <w:rPr/>
      </w:pPr>
      <w:bookmarkStart w:id="10" w:name="__RefHeading___Toc57253_893999283"/>
      <w:bookmarkEnd w:id="10"/>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1"/>
        <w:pageBreakBefore w:val="false"/>
        <w:spacing w:before="280" w:after="90"/>
        <w:rPr/>
      </w:pPr>
      <w:bookmarkStart w:id="11" w:name="__RefHeading___Toc57255_893999283"/>
      <w:bookmarkEnd w:id="11"/>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1"/>
        <w:pageBreakBefore w:val="false"/>
        <w:spacing w:before="280" w:after="90"/>
        <w:rPr/>
      </w:pPr>
      <w:bookmarkStart w:id="12" w:name="__RefHeading___Toc57257_893999283"/>
      <w:bookmarkEnd w:id="12"/>
      <w:r>
        <w:rPr>
          <w:color w:val="000000"/>
        </w:rPr>
        <w:t>Text encoding</w:t>
      </w:r>
    </w:p>
    <w:p>
      <w:pPr>
        <w:pStyle w:val="Normal"/>
        <w:pageBreakBefore w:val="false"/>
        <w:spacing w:before="0" w:after="140"/>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4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40"/>
      <w:rPr/>
    </w:pPr>
    <w:r>
      <w:rPr/>
    </w:r>
  </w:p>
</w:hdr>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40"/>
      <w:jc w:val="start"/>
    </w:pPr>
    <w:rPr>
      <w:rFonts w:ascii="Calibri" w:hAnsi="Calibri" w:eastAsia="" w:cs="Times New Roman" w:eastAsiaTheme="minorEastAsia"/>
      <w:color w:val="000000"/>
      <w:kern w:val="0"/>
      <w:sz w:val="22"/>
      <w:szCs w:val="24"/>
      <w:lang w:val="en-US" w:eastAsia="en-US" w:bidi="ar-SA"/>
    </w:rPr>
  </w:style>
  <w:style w:type="paragraph" w:styleId="Heading1">
    <w:name w:val="heading 1"/>
    <w:basedOn w:val="Normal"/>
    <w:link w:val="Heading1Char"/>
    <w:uiPriority w:val="9"/>
    <w:qFormat/>
    <w:pPr>
      <w:keepNext w:val="true"/>
      <w:pageBreakBefore w:val="false"/>
      <w:spacing w:beforeAutospacing="1" w:after="120"/>
      <w:outlineLvl w:val="0"/>
    </w:pPr>
    <w:rPr>
      <w:rFonts w:ascii="Calibri" w:hAnsi="Calibri"/>
      <w:b/>
      <w:bCs/>
      <w:color w:val="000000"/>
      <w:kern w:val="2"/>
      <w:sz w:val="34"/>
      <w:szCs w:val="48"/>
    </w:rPr>
  </w:style>
  <w:style w:type="paragraph" w:styleId="Heading2">
    <w:name w:val="heading 2"/>
    <w:basedOn w:val="Normal"/>
    <w:link w:val="Heading2Char"/>
    <w:uiPriority w:val="9"/>
    <w:qFormat/>
    <w:pPr>
      <w:keepNext w:val="true"/>
      <w:pageBreakBefore w:val="false"/>
      <w:spacing w:beforeAutospacing="1" w:after="120"/>
      <w:outlineLvl w:val="1"/>
    </w:pPr>
    <w:rPr>
      <w:rFonts w:ascii="Calibri" w:hAnsi="Calibri"/>
      <w:b/>
      <w:bCs/>
      <w:color w:val="000000"/>
      <w:sz w:val="26"/>
      <w:szCs w:val="36"/>
    </w:rPr>
  </w:style>
  <w:style w:type="paragraph" w:styleId="Heading3" w:customStyle="1">
    <w:name w:val="heading 3"/>
    <w:qFormat/>
    <w:pPr>
      <w:keepNext w:val="true"/>
      <w:pageBreakBefore w:val="false"/>
      <w:widowControl/>
      <w:suppressAutoHyphens w:val="true"/>
      <w:bidi w:val="0"/>
      <w:spacing w:before="300" w:after="120"/>
      <w:jc w:val="start"/>
    </w:pPr>
    <w:rPr>
      <w:rFonts w:ascii="Times New Roman" w:hAnsi="Times New Roman" w:eastAsia="Times New Roman" w:cs="Times New Roman"/>
      <w:b/>
      <w:color w:val="auto"/>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Pr>
      <w:rFonts w:ascii="Calibri Light" w:hAnsi="Calibri Light" w:eastAsia="" w:cs="" w:asciiTheme="majorHAnsi" w:cstheme="majorBidi" w:eastAsiaTheme="majorEastAsia" w:hAnsiTheme="majorHAnsi"/>
      <w:color w:themeColor="accent1" w:themeShade="bf" w:val="2F5496"/>
      <w:sz w:val="32"/>
      <w:szCs w:val="32"/>
    </w:rPr>
  </w:style>
  <w:style w:type="character" w:styleId="Strong">
    <w:name w:val="Strong"/>
    <w:basedOn w:val="DefaultParagraphFont"/>
    <w:uiPriority w:val="22"/>
    <w:qFormat/>
    <w:rPr>
      <w:b/>
      <w:b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pPr>
      <w:spacing w:lineRule="auto" w:line="276" w:before="0" w:after="140"/>
    </w:pPr>
    <w:rPr>
      <w:rFonts w:ascii="Calibri" w:hAnsi="Calibri"/>
      <w:color w:val="000000"/>
    </w:rPr>
  </w:style>
  <w:style w:type="paragraph" w:styleId="List">
    <w:name w:val="List"/>
    <w:basedOn w:val="BodyText"/>
    <w:pPr/>
    <w:rPr>
      <w:rFonts w:ascii="Calibri" w:hAnsi="Calibri" w:cs="Lucida Sans"/>
      <w:color w:val="000000"/>
    </w:rPr>
  </w:style>
  <w:style w:type="paragraph" w:styleId="Caption">
    <w:name w:val="caption"/>
    <w:basedOn w:val="Normal"/>
    <w:qFormat/>
    <w:pPr>
      <w:suppressLineNumbers/>
      <w:spacing w:before="120" w:after="120"/>
    </w:pPr>
    <w:rPr>
      <w:rFonts w:ascii="Calibri" w:hAnsi="Calibri" w:cs="Lucida Sans"/>
      <w:i/>
      <w:iCs/>
      <w:color w:val="000000"/>
      <w:sz w:val="24"/>
      <w:szCs w:val="24"/>
    </w:rPr>
  </w:style>
  <w:style w:type="paragraph" w:styleId="Index">
    <w:name w:val="Index"/>
    <w:basedOn w:val="Normal"/>
    <w:qFormat/>
    <w:pPr>
      <w:suppressLineNumbers/>
    </w:pPr>
    <w:rPr>
      <w:rFonts w:ascii="Calibri" w:hAnsi="Calibri" w:cs="Lucida Sans"/>
      <w:color w:val="000000"/>
    </w:rPr>
  </w:style>
  <w:style w:type="paragraph" w:styleId="msonormal" w:customStyle="1">
    <w:name w:val="msonormal"/>
    <w:basedOn w:val="Normal"/>
    <w:qFormat/>
    <w:pPr>
      <w:spacing w:before="0" w:afterAutospacing="1"/>
    </w:pPr>
    <w:rPr>
      <w:rFonts w:ascii="Calibri" w:hAnsi="Calibri"/>
      <w:color w:val="000000"/>
    </w:rPr>
  </w:style>
  <w:style w:type="paragraph" w:styleId="NormalWeb">
    <w:name w:val="Normal (Web)"/>
    <w:basedOn w:val="Normal"/>
    <w:uiPriority w:val="99"/>
    <w:semiHidden/>
    <w:unhideWhenUsed/>
    <w:qFormat/>
    <w:pPr>
      <w:spacing w:before="0" w:afterAutospacing="1"/>
    </w:pPr>
    <w:rPr>
      <w:rFonts w:ascii="Calibri" w:hAnsi="Calibri"/>
      <w:color w:val="000000"/>
    </w:rPr>
  </w:style>
  <w:style w:type="paragraph" w:styleId="note" w:customStyle="1">
    <w:name w:val="note"/>
    <w:basedOn w:val="Normal"/>
    <w:qFormat/>
    <w:pPr>
      <w:shd w:val="clear" w:color="auto" w:fill="F9F4E8"/>
      <w:spacing w:beforeAutospacing="1" w:after="270"/>
    </w:pPr>
    <w:rPr>
      <w:rFonts w:ascii="Calibri" w:hAnsi="Calibri"/>
      <w:color w:val="000000"/>
    </w:rPr>
  </w:style>
  <w:style w:type="paragraph" w:styleId="small" w:customStyle="1">
    <w:name w:val="small"/>
    <w:basedOn w:val="Normal"/>
    <w:qFormat/>
    <w:pPr>
      <w:spacing w:beforeAutospacing="1" w:afterAutospacing="1"/>
    </w:pPr>
    <w:rPr>
      <w:rFonts w:ascii="Calibri" w:hAnsi="Calibri"/>
      <w:color w:val="000000"/>
      <w:sz w:val="20"/>
      <w:szCs w:val="20"/>
    </w:rPr>
  </w:style>
  <w:style w:type="paragraph" w:styleId="Title" w:customStyle="1">
    <w:name w:val="Title"/>
    <w:qFormat/>
    <w:pPr>
      <w:widowControl/>
      <w:suppressAutoHyphens w:val="true"/>
      <w:bidi w:val="0"/>
      <w:spacing w:before="0" w:after="0"/>
      <w:jc w:val="start"/>
    </w:pPr>
    <w:rPr>
      <w:rFonts w:ascii="Times New Roman" w:hAnsi="Times New Roman" w:eastAsia="Times New Roman" w:cs="Times New Roman"/>
      <w:b w:val="false"/>
      <w:color w:val="auto"/>
      <w:kern w:val="0"/>
      <w:sz w:val="20"/>
      <w:szCs w:val="20"/>
      <w:lang w:val="en-US" w:eastAsia="en-US" w:bidi="ar-SA"/>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Times New Roman" w:cs="Times New Roman"/>
      <w:color w:val="000000"/>
      <w:kern w:val="0"/>
      <w:sz w:val="22"/>
      <w:szCs w:val="20"/>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Times New Roman" w:cs="Times New Roman"/>
      <w:color w:val="000000"/>
      <w:kern w:val="0"/>
      <w:sz w:val="22"/>
      <w:szCs w:val="20"/>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Times New Roman" w:cs="Times New Roman"/>
      <w:color w:val="000000"/>
      <w:kern w:val="0"/>
      <w:sz w:val="22"/>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3</Pages>
  <Words>5238</Words>
  <Characters>29863</Characters>
  <CharactersWithSpaces>35031</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2026-06-25T23:40:00Z</dcterms:created>
  <dc:creator>VCL2FMXConverter</dc:creator>
  <dc:description/>
  <dc:language>en-US</dc:language>
  <cp:lastModifiedBy/>
  <dcterms:modified xsi:type="dcterms:W3CDTF">2026-10-18T16:42:38Z</dcterms:modified>
  <cp:revision>10</cp:revision>
  <dc:subject/>
  <dc:title>VCL2FMXConverter v7.0 Atlas Generic Rules Reference</dc:title>
</cp:coreProperties>
</file>

<file path=docProps/custom.xml><?xml version="1.0" encoding="utf-8"?>
<Properties xmlns="http://schemas.openxmlformats.org/officeDocument/2006/custom-properties" xmlns:vt="http://schemas.openxmlformats.org/officeDocument/2006/docPropsVTypes"/>
</file>