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spacing w:before="1600" w:after="440"/>
        <w:rPr/>
      </w:pPr>
      <w:r>
        <w:rPr>
          <w:color w:val="000000"/>
          <w:sz w:val="34"/>
        </w:rPr>
        <w:t>VCL2FMXConverter v7.0 Atlas</w:t>
      </w:r>
    </w:p>
    <w:p>
      <w:pPr>
        <w:pStyle w:val="Title"/>
        <w:keepNext w:val="false"/>
        <w:spacing w:before="0" w:after="560"/>
        <w:contextualSpacing/>
        <w:rPr/>
      </w:pPr>
      <w:r>
        <w:rPr>
          <w:b w:val="false"/>
          <w:color w:val="000000"/>
          <w:sz w:val="60"/>
        </w:rPr>
        <w:t>Application Inventory</w:t>
      </w:r>
    </w:p>
    <w:p>
      <w:pPr>
        <w:pStyle w:val="Normal"/>
        <w:keepNext w:val="false"/>
        <w:spacing w:before="0" w:after="400"/>
        <w:rPr/>
      </w:pPr>
      <w:r>
        <w:rPr>
          <w:color w:val="000000"/>
          <w:sz w:val="28"/>
        </w:rPr>
        <w:t>Source architecture, language support and the supplied documentation</w:t>
      </w:r>
    </w:p>
    <w:p>
      <w:pPr>
        <w:pStyle w:val="Normal"/>
        <w:keepNext w:val="false"/>
        <w:spacing w:before="1700" w:after="240"/>
        <w:rPr/>
      </w:pPr>
      <w:r>
        <w:rPr>
          <w:color w:val="000000"/>
          <w:sz w:val="22"/>
        </w:rPr>
        <w:t>Delphi VCL to FireMonkey conversion</w:t>
      </w:r>
    </w:p>
    <w:p>
      <w:pPr>
        <w:pStyle w:val="Normal"/>
        <w:keepNext w:val="false"/>
        <w:spacing w:before="0" w:after="120"/>
        <w:rPr/>
      </w:pPr>
      <w:r>
        <w:rPr>
          <w:color w:val="000000"/>
          <w:sz w:val="22"/>
        </w:rPr>
        <w:t>Last changed October 18, 2026</w:t>
      </w:r>
    </w:p>
    <w:p>
      <w:pPr>
        <w:pStyle w:val="Normal"/>
        <w:keepNext w:val="false"/>
        <w:spacing w:before="0" w:after="160"/>
        <w:rPr/>
      </w:pPr>
      <w:r>
        <w:rPr>
          <w:color w:val="000000"/>
          <w:sz w:val="22"/>
        </w:rPr>
        <w:t>V7 Atlas documentation</w:t>
      </w:r>
      <w:r>
        <w:br w:type="page"/>
      </w:r>
    </w:p>
    <w:p>
      <w:pPr>
        <w:pStyle w:val="Title"/>
        <w:keepNext w:val="false"/>
        <w:spacing w:before="0" w:after="160"/>
        <w:contextualSpacing/>
        <w:rPr/>
      </w:pPr>
      <w:r>
        <w:rPr>
          <w:b w:val="false"/>
          <w:color w:val="000000"/>
          <w:sz w:val="44"/>
        </w:rPr>
        <w:t>Contents</w:t>
      </w:r>
    </w:p>
    <w:sdt>
      <w:sdtPr>
        <w:docPartObj>
          <w:docPartGallery w:val="Table of Contents"/>
          <w:docPartUnique w:val="true"/>
        </w:docPartObj>
      </w:sdtPr>
      <w:sdtContent>
        <w:p>
          <w:pPr>
            <w:pStyle w:val="TOC1"/>
            <w:tabs>
              <w:tab w:val="clear" w:pos="10224"/>
              <w:tab w:val="right" w:pos="10223" w:leader="dot"/>
            </w:tabs>
            <w:rPr/>
          </w:pPr>
          <w:r>
            <w:fldChar w:fldCharType="begin"/>
          </w:r>
          <w:r>
            <w:rPr>
              <w:rStyle w:val="IndexLink"/>
            </w:rPr>
            <w:instrText xml:space="preserve"> TOC \o "1-2" \h</w:instrText>
          </w:r>
          <w:r>
            <w:rPr>
              <w:rStyle w:val="IndexLink"/>
            </w:rPr>
            <w:fldChar w:fldCharType="separate"/>
          </w:r>
          <w:hyperlink w:anchor="__RefHeading___Toc59716_1927610595" w:tooltip="Product and scope">
            <w:r>
              <w:rPr>
                <w:rStyle w:val="IndexLink"/>
              </w:rPr>
              <w:t>Product and scope</w:t>
              <w:tab/>
              <w:t>3</w:t>
            </w:r>
          </w:hyperlink>
        </w:p>
        <w:p>
          <w:pPr>
            <w:pStyle w:val="TOC1"/>
            <w:tabs>
              <w:tab w:val="clear" w:pos="10224"/>
              <w:tab w:val="right" w:pos="10223" w:leader="dot"/>
            </w:tabs>
            <w:rPr/>
          </w:pPr>
          <w:hyperlink w:anchor="__RefHeading___Toc59718_1927610595" w:tooltip="Production architecture">
            <w:r>
              <w:rPr>
                <w:rStyle w:val="IndexLink"/>
              </w:rPr>
              <w:t>Production architecture</w:t>
              <w:tab/>
              <w:t>3</w:t>
            </w:r>
          </w:hyperlink>
        </w:p>
        <w:p>
          <w:pPr>
            <w:pStyle w:val="TOC2"/>
            <w:tabs>
              <w:tab w:val="clear" w:pos="10224"/>
              <w:tab w:val="right" w:pos="10223" w:leader="dot"/>
            </w:tabs>
            <w:rPr/>
          </w:pPr>
          <w:hyperlink w:anchor="__RefHeading___Toc59720_1927610595" w:tooltip="Interface and localization">
            <w:r>
              <w:rPr>
                <w:rStyle w:val="IndexLink"/>
              </w:rPr>
              <w:t>Interface and localization</w:t>
              <w:tab/>
              <w:t>3</w:t>
            </w:r>
          </w:hyperlink>
        </w:p>
        <w:p>
          <w:pPr>
            <w:pStyle w:val="TOC2"/>
            <w:tabs>
              <w:tab w:val="clear" w:pos="10224"/>
              <w:tab w:val="right" w:pos="10223" w:leader="dot"/>
            </w:tabs>
            <w:rPr/>
          </w:pPr>
          <w:hyperlink w:anchor="__RefHeading___Toc59722_1927610595" w:tooltip="Conversion and output">
            <w:r>
              <w:rPr>
                <w:rStyle w:val="IndexLink"/>
              </w:rPr>
              <w:t>Conversion and output</w:t>
              <w:tab/>
              <w:t>3</w:t>
            </w:r>
          </w:hyperlink>
        </w:p>
        <w:p>
          <w:pPr>
            <w:pStyle w:val="TOC2"/>
            <w:tabs>
              <w:tab w:val="clear" w:pos="10224"/>
              <w:tab w:val="right" w:pos="10223" w:leader="dot"/>
            </w:tabs>
            <w:rPr/>
          </w:pPr>
          <w:hyperlink w:anchor="__RefHeading___Toc59724_1927610595" w:tooltip="Reports and Help">
            <w:r>
              <w:rPr>
                <w:rStyle w:val="IndexLink"/>
              </w:rPr>
              <w:t>Reports and Help</w:t>
              <w:tab/>
              <w:t>4</w:t>
            </w:r>
          </w:hyperlink>
        </w:p>
        <w:p>
          <w:pPr>
            <w:pStyle w:val="TOC1"/>
            <w:tabs>
              <w:tab w:val="clear" w:pos="10224"/>
              <w:tab w:val="right" w:pos="10223" w:leader="dot"/>
            </w:tabs>
            <w:rPr/>
          </w:pPr>
          <w:hyperlink w:anchor="__RefHeading___Toc59726_1927610595" w:tooltip="Validation status">
            <w:r>
              <w:rPr>
                <w:rStyle w:val="IndexLink"/>
              </w:rPr>
              <w:t>Validation status</w:t>
              <w:tab/>
              <w:t>4</w:t>
            </w:r>
          </w:hyperlink>
        </w:p>
        <w:p>
          <w:pPr>
            <w:pStyle w:val="TOC1"/>
            <w:tabs>
              <w:tab w:val="clear" w:pos="10224"/>
              <w:tab w:val="right" w:pos="10223" w:leader="dot"/>
            </w:tabs>
            <w:rPr/>
          </w:pPr>
          <w:hyperlink w:anchor="__RefHeading___Toc59728_1927610595" w:tooltip="Documentation and distribution">
            <w:r>
              <w:rPr>
                <w:rStyle w:val="IndexLink"/>
              </w:rPr>
              <w:t>Documentation and distribution</w:t>
              <w:tab/>
              <w:t>4</w:t>
            </w:r>
          </w:hyperlink>
          <w:r>
            <w:rPr>
              <w:rStyle w:val="IndexLink"/>
            </w:rPr>
            <w:fldChar w:fldCharType="end"/>
          </w:r>
        </w:p>
      </w:sdtContent>
    </w:sdt>
    <w:p>
      <w:pPr>
        <w:pStyle w:val="Normal"/>
        <w:keepNext w:val="false"/>
        <w:spacing w:before="0" w:after="0"/>
        <w:rPr>
          <w:color w:val="000000"/>
          <w:sz w:val="22"/>
        </w:rPr>
      </w:pPr>
      <w:r>
        <w:rPr>
          <w:color w:val="000000"/>
          <w:sz w:val="22"/>
        </w:rPr>
      </w:r>
      <w:r>
        <w:br w:type="page"/>
      </w:r>
    </w:p>
    <w:p>
      <w:pPr>
        <w:pStyle w:val="Normal"/>
        <w:spacing w:before="0" w:after="140"/>
        <w:rPr/>
      </w:pPr>
      <w:r>
        <w:rPr/>
        <w:t>This inventory describes the current V7 source and documentation. It distinguishes retained conversion capabilities from language support and operational safeguards. It is not a release certification.</w:t>
      </w:r>
    </w:p>
    <w:p>
      <w:pPr>
        <w:pStyle w:val="Heading1"/>
        <w:pageBreakBefore w:val="false"/>
        <w:spacing w:before="0" w:after="0"/>
        <w:rPr/>
      </w:pPr>
      <w:bookmarkStart w:id="0" w:name="__RefHeading___Toc59716_1927610595"/>
      <w:bookmarkEnd w:id="0"/>
      <w:r>
        <w:rPr>
          <w:color w:val="000000"/>
        </w:rPr>
        <w:t>Product and scope</w:t>
      </w:r>
    </w:p>
    <w:p>
      <w:pPr>
        <w:pStyle w:val="Normal"/>
        <w:pageBreakBefore w:val="false"/>
        <w:rPr/>
      </w:pPr>
      <w:r>
        <w:rPr/>
        <w:t>VCL2FMXConverter v7.0 Atlas retains the established conversion workflow and adds 35 selectable interface language packs, translated display messages and reports, and online translation of Help. Language packs do not add conversion rules or translate generated applications. V7 also includes input, output and encoding safeguards described in this edition; it is not strictly a language-only code change.</w:t>
      </w:r>
    </w:p>
    <w:tbl>
      <w:tblPr>
        <w:tblStyle w:val="LightShading-Accent1"/>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b/>
                <w:bCs/>
                <w:color w:themeColor="accent1" w:themeShade="bf" w:val="365F91"/>
                <w:kern w:val="0"/>
                <w:szCs w:val="22"/>
                <w:lang w:val="en-US" w:eastAsia="en-US" w:bidi="ar-SA"/>
              </w:rPr>
            </w:pPr>
            <w:r>
              <w:rPr>
                <w:rFonts w:eastAsia="ＭＳ 明朝" w:cs=""/>
                <w:b/>
                <w:bCs/>
                <w:color w:val="FFFFFF"/>
                <w:kern w:val="0"/>
                <w:sz w:val="19"/>
                <w:szCs w:val="22"/>
                <w:lang w:val="en-US" w:eastAsia="en-US" w:bidi="ar-SA"/>
              </w:rPr>
              <w:t>Measured item</w:t>
            </w:r>
          </w:p>
        </w:tc>
        <w:tc>
          <w:tcPr>
            <w:tcW w:w="5112" w:type="dxa"/>
            <w:tcBorders/>
            <w:shd w:fill="17365D" w:val="clear"/>
            <w:vAlign w:val="center"/>
          </w:tcPr>
          <w:p>
            <w:pPr>
              <w:pStyle w:val="Normal"/>
              <w:keepNext w:val="false"/>
              <w:keepLines w:val="false"/>
              <w:widowControl/>
              <w:suppressAutoHyphens w:val="true"/>
              <w:spacing w:lineRule="auto" w:line="240" w:before="40" w:after="40"/>
              <w:jc w:val="start"/>
              <w:rPr>
                <w:rFonts w:eastAsia="ＭＳ 明朝" w:cs=""/>
                <w:b/>
                <w:bCs/>
                <w:color w:themeColor="accent1" w:themeShade="bf" w:val="365F91"/>
                <w:kern w:val="0"/>
                <w:szCs w:val="22"/>
                <w:lang w:val="en-US" w:eastAsia="en-US" w:bidi="ar-SA"/>
              </w:rPr>
            </w:pPr>
            <w:r>
              <w:rPr>
                <w:rFonts w:eastAsia="ＭＳ 明朝" w:cs=""/>
                <w:b/>
                <w:bCs/>
                <w:color w:val="FFFFFF"/>
                <w:kern w:val="0"/>
                <w:sz w:val="19"/>
                <w:szCs w:val="22"/>
                <w:lang w:val="en-US" w:eastAsia="en-US" w:bidi="ar-SA"/>
              </w:rPr>
              <w:t>Current source count</w:t>
            </w:r>
          </w:p>
        </w:tc>
      </w:tr>
      <w:tr>
        <w:trPr>
          <w:cantSplit/>
        </w:trPr>
        <w:tc>
          <w:tcPr>
            <w:tcW w:w="5112" w:type="dxa"/>
            <w:tcBorders>
              <w:top w:val="nil"/>
              <w:bottom w:val="nil"/>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b/>
                <w:bCs/>
                <w:color w:themeColor="accent1" w:themeShade="bf" w:val="365F91"/>
                <w:kern w:val="0"/>
                <w:szCs w:val="22"/>
                <w:lang w:val="en-US" w:eastAsia="en-US" w:bidi="ar-SA"/>
              </w:rPr>
            </w:pPr>
            <w:r>
              <w:rPr>
                <w:rFonts w:eastAsia="ＭＳ 明朝" w:cs=""/>
                <w:b w:val="false"/>
                <w:bCs/>
                <w:color w:val="000000"/>
                <w:kern w:val="0"/>
                <w:sz w:val="19"/>
                <w:szCs w:val="22"/>
                <w:lang w:val="en-US" w:eastAsia="en-US" w:bidi="ar-SA"/>
              </w:rPr>
              <w:t>Production Pascal units and entry point</w:t>
            </w:r>
          </w:p>
        </w:tc>
        <w:tc>
          <w:tcPr>
            <w:tcW w:w="5112" w:type="dxa"/>
            <w:tcBorders>
              <w:top w:val="nil"/>
              <w:bottom w:val="nil"/>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color w:themeColor="accent1" w:themeShade="bf" w:val="365F91"/>
                <w:kern w:val="0"/>
                <w:szCs w:val="22"/>
                <w:lang w:val="en-US" w:eastAsia="en-US" w:bidi="ar-SA"/>
              </w:rPr>
            </w:pPr>
            <w:r>
              <w:rPr>
                <w:rFonts w:eastAsia="ＭＳ 明朝" w:cs=""/>
                <w:b w:val="false"/>
                <w:color w:val="000000"/>
                <w:kern w:val="0"/>
                <w:sz w:val="19"/>
                <w:szCs w:val="22"/>
                <w:lang w:val="en-US" w:eastAsia="en-US" w:bidi="ar-SA"/>
              </w:rPr>
              <w:t>27</w:t>
            </w:r>
          </w:p>
        </w:tc>
      </w:tr>
      <w:tr>
        <w:trPr>
          <w:cantSplit/>
        </w:trPr>
        <w:tc>
          <w:tcPr>
            <w:tcW w:w="5112" w:type="dxa"/>
            <w:tcBorders>
              <w:top w:val="nil"/>
              <w:start w:val="single" w:sz="4" w:space="0" w:color="D9D9D9"/>
              <w:bottom w:val="nil"/>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b/>
                <w:bCs/>
                <w:color w:themeColor="accent1" w:themeShade="bf" w:val="365F91"/>
                <w:kern w:val="0"/>
                <w:szCs w:val="22"/>
                <w:lang w:val="en-US" w:eastAsia="en-US" w:bidi="ar-SA"/>
              </w:rPr>
            </w:pPr>
            <w:r>
              <w:rPr>
                <w:rFonts w:eastAsia="ＭＳ 明朝" w:cs=""/>
                <w:b w:val="false"/>
                <w:bCs/>
                <w:color w:val="000000"/>
                <w:kern w:val="0"/>
                <w:sz w:val="19"/>
                <w:szCs w:val="22"/>
                <w:lang w:val="en-US" w:eastAsia="en-US" w:bidi="ar-SA"/>
              </w:rPr>
              <w:t>Physical lines in those files</w:t>
            </w:r>
          </w:p>
        </w:tc>
        <w:tc>
          <w:tcPr>
            <w:tcW w:w="5112" w:type="dxa"/>
            <w:tcBorders>
              <w:top w:val="nil"/>
              <w:start w:val="single" w:sz="4" w:space="0" w:color="D9D9D9"/>
              <w:bottom w:val="nil"/>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color w:themeColor="accent1" w:themeShade="bf" w:val="365F91"/>
                <w:kern w:val="0"/>
                <w:szCs w:val="22"/>
                <w:lang w:val="en-US" w:eastAsia="en-US" w:bidi="ar-SA"/>
              </w:rPr>
            </w:pPr>
            <w:r>
              <w:rPr>
                <w:rFonts w:eastAsia="ＭＳ 明朝" w:cs=""/>
                <w:b w:val="false"/>
                <w:color w:val="000000"/>
                <w:kern w:val="0"/>
                <w:sz w:val="19"/>
                <w:szCs w:val="22"/>
                <w:lang w:val="en-US" w:eastAsia="en-US" w:bidi="ar-SA"/>
              </w:rPr>
              <w:t>35,884</w:t>
            </w:r>
          </w:p>
        </w:tc>
      </w:tr>
      <w:tr>
        <w:trPr>
          <w:cantSplit/>
        </w:trPr>
        <w:tc>
          <w:tcPr>
            <w:tcW w:w="5112" w:type="dxa"/>
            <w:tcBorders>
              <w:top w:val="nil"/>
              <w:bottom w:val="nil"/>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b/>
                <w:bCs/>
                <w:color w:themeColor="accent1" w:themeShade="bf" w:val="365F91"/>
                <w:kern w:val="0"/>
                <w:szCs w:val="22"/>
                <w:lang w:val="en-US" w:eastAsia="en-US" w:bidi="ar-SA"/>
              </w:rPr>
            </w:pPr>
            <w:r>
              <w:rPr>
                <w:rFonts w:eastAsia="ＭＳ 明朝" w:cs=""/>
                <w:b w:val="false"/>
                <w:bCs/>
                <w:color w:val="000000"/>
                <w:kern w:val="0"/>
                <w:sz w:val="19"/>
                <w:szCs w:val="22"/>
                <w:lang w:val="en-US" w:eastAsia="en-US" w:bidi="ar-SA"/>
              </w:rPr>
              <w:t>Bundled interface language packs</w:t>
            </w:r>
          </w:p>
        </w:tc>
        <w:tc>
          <w:tcPr>
            <w:tcW w:w="5112" w:type="dxa"/>
            <w:tcBorders>
              <w:top w:val="nil"/>
              <w:bottom w:val="nil"/>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color w:themeColor="accent1" w:themeShade="bf" w:val="365F91"/>
                <w:kern w:val="0"/>
                <w:szCs w:val="22"/>
                <w:lang w:val="en-US" w:eastAsia="en-US" w:bidi="ar-SA"/>
              </w:rPr>
            </w:pPr>
            <w:r>
              <w:rPr>
                <w:rFonts w:eastAsia="ＭＳ 明朝" w:cs=""/>
                <w:b w:val="false"/>
                <w:color w:val="000000"/>
                <w:kern w:val="0"/>
                <w:sz w:val="19"/>
                <w:szCs w:val="22"/>
                <w:lang w:val="en-US" w:eastAsia="en-US" w:bidi="ar-SA"/>
              </w:rPr>
              <w:t>35</w:t>
            </w:r>
          </w:p>
        </w:tc>
      </w:tr>
      <w:tr>
        <w:trPr>
          <w:cantSplit/>
        </w:trPr>
        <w:tc>
          <w:tcPr>
            <w:tcW w:w="5112" w:type="dxa"/>
            <w:tcBorders>
              <w:top w:val="nil"/>
              <w:start w:val="single" w:sz="4" w:space="0" w:color="D9D9D9"/>
              <w:bottom w:val="nil"/>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b/>
                <w:bCs/>
                <w:color w:themeColor="accent1" w:themeShade="bf" w:val="365F91"/>
                <w:kern w:val="0"/>
                <w:szCs w:val="22"/>
                <w:lang w:val="en-US" w:eastAsia="en-US" w:bidi="ar-SA"/>
              </w:rPr>
            </w:pPr>
            <w:r>
              <w:rPr>
                <w:rFonts w:eastAsia="ＭＳ 明朝" w:cs=""/>
                <w:b w:val="false"/>
                <w:bCs/>
                <w:color w:val="000000"/>
                <w:kern w:val="0"/>
                <w:sz w:val="19"/>
                <w:szCs w:val="22"/>
                <w:lang w:val="en-US" w:eastAsia="en-US" w:bidi="ar-SA"/>
              </w:rPr>
              <w:t>Mapping packs</w:t>
            </w:r>
          </w:p>
        </w:tc>
        <w:tc>
          <w:tcPr>
            <w:tcW w:w="5112" w:type="dxa"/>
            <w:tcBorders>
              <w:top w:val="nil"/>
              <w:start w:val="single" w:sz="4" w:space="0" w:color="D9D9D9"/>
              <w:bottom w:val="nil"/>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color w:themeColor="accent1" w:themeShade="bf" w:val="365F91"/>
                <w:kern w:val="0"/>
                <w:szCs w:val="22"/>
                <w:lang w:val="en-US" w:eastAsia="en-US" w:bidi="ar-SA"/>
              </w:rPr>
            </w:pPr>
            <w:r>
              <w:rPr>
                <w:rFonts w:eastAsia="ＭＳ 明朝" w:cs=""/>
                <w:b w:val="false"/>
                <w:color w:val="000000"/>
                <w:kern w:val="0"/>
                <w:sz w:val="19"/>
                <w:szCs w:val="22"/>
                <w:lang w:val="en-US" w:eastAsia="en-US" w:bidi="ar-SA"/>
              </w:rPr>
              <w:t>22</w:t>
            </w:r>
          </w:p>
        </w:tc>
      </w:tr>
      <w:tr>
        <w:trPr>
          <w:cantSplit/>
        </w:trPr>
        <w:tc>
          <w:tcPr>
            <w:tcW w:w="5112" w:type="dxa"/>
            <w:tcBorders>
              <w:top w:val="nil"/>
              <w:bottom w:val="nil"/>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b/>
                <w:bCs/>
                <w:color w:themeColor="accent1" w:themeShade="bf" w:val="365F91"/>
                <w:kern w:val="0"/>
                <w:szCs w:val="22"/>
                <w:lang w:val="en-US" w:eastAsia="en-US" w:bidi="ar-SA"/>
              </w:rPr>
            </w:pPr>
            <w:r>
              <w:rPr>
                <w:rFonts w:eastAsia="ＭＳ 明朝" w:cs=""/>
                <w:b w:val="false"/>
                <w:bCs/>
                <w:color w:val="000000"/>
                <w:kern w:val="0"/>
                <w:sz w:val="19"/>
                <w:szCs w:val="22"/>
                <w:lang w:val="en-US" w:eastAsia="en-US" w:bidi="ar-SA"/>
              </w:rPr>
              <w:t>Mapping rules in those packs</w:t>
            </w:r>
          </w:p>
        </w:tc>
        <w:tc>
          <w:tcPr>
            <w:tcW w:w="5112" w:type="dxa"/>
            <w:tcBorders>
              <w:top w:val="nil"/>
              <w:bottom w:val="nil"/>
            </w:tcBorders>
            <w:shd w:fill="FFFFFF" w:val="clear"/>
            <w:vAlign w:val="center"/>
          </w:tcPr>
          <w:p>
            <w:pPr>
              <w:pStyle w:val="Normal"/>
              <w:keepNext w:val="false"/>
              <w:keepLines w:val="false"/>
              <w:widowControl/>
              <w:suppressAutoHyphens w:val="true"/>
              <w:spacing w:lineRule="auto" w:line="240" w:before="40" w:after="40"/>
              <w:jc w:val="start"/>
              <w:rPr>
                <w:rFonts w:eastAsia="ＭＳ 明朝" w:cs=""/>
                <w:color w:themeColor="accent1" w:themeShade="bf" w:val="365F91"/>
                <w:kern w:val="0"/>
                <w:szCs w:val="22"/>
                <w:lang w:val="en-US" w:eastAsia="en-US" w:bidi="ar-SA"/>
              </w:rPr>
            </w:pPr>
            <w:r>
              <w:rPr>
                <w:rFonts w:eastAsia="ＭＳ 明朝" w:cs=""/>
                <w:b w:val="false"/>
                <w:color w:val="000000"/>
                <w:kern w:val="0"/>
                <w:sz w:val="19"/>
                <w:szCs w:val="22"/>
                <w:lang w:val="en-US" w:eastAsia="en-US" w:bidi="ar-SA"/>
              </w:rPr>
              <w:t>493</w:t>
            </w:r>
          </w:p>
        </w:tc>
      </w:tr>
      <w:tr>
        <w:trPr>
          <w:cantSplit/>
        </w:trPr>
        <w:tc>
          <w:tcPr>
            <w:tcW w:w="5112" w:type="dxa"/>
            <w:tcBorders>
              <w:top w:val="nil"/>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b/>
                <w:bCs/>
                <w:color w:themeColor="accent1" w:themeShade="bf" w:val="365F91"/>
                <w:kern w:val="0"/>
                <w:szCs w:val="22"/>
                <w:lang w:val="en-US" w:eastAsia="en-US" w:bidi="ar-SA"/>
              </w:rPr>
            </w:pPr>
            <w:r>
              <w:rPr>
                <w:rFonts w:eastAsia="ＭＳ 明朝" w:cs=""/>
                <w:b w:val="false"/>
                <w:bCs/>
                <w:color w:val="000000"/>
                <w:kern w:val="0"/>
                <w:sz w:val="19"/>
                <w:szCs w:val="22"/>
                <w:lang w:val="en-US" w:eastAsia="en-US" w:bidi="ar-SA"/>
              </w:rPr>
              <w:t>Main form pages</w:t>
            </w:r>
          </w:p>
        </w:tc>
        <w:tc>
          <w:tcPr>
            <w:tcW w:w="5112" w:type="dxa"/>
            <w:tcBorders>
              <w:top w:val="nil"/>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ＭＳ 明朝" w:cs=""/>
                <w:color w:themeColor="accent1" w:themeShade="bf" w:val="365F91"/>
                <w:kern w:val="0"/>
                <w:szCs w:val="22"/>
                <w:lang w:val="en-US" w:eastAsia="en-US" w:bidi="ar-SA"/>
              </w:rPr>
            </w:pPr>
            <w:r>
              <w:rPr>
                <w:rFonts w:eastAsia="ＭＳ 明朝" w:cs=""/>
                <w:b w:val="false"/>
                <w:color w:val="000000"/>
                <w:kern w:val="0"/>
                <w:sz w:val="19"/>
                <w:szCs w:val="22"/>
                <w:lang w:val="en-US" w:eastAsia="en-US" w:bidi="ar-SA"/>
              </w:rPr>
              <w:t>7</w:t>
            </w:r>
          </w:p>
        </w:tc>
      </w:tr>
    </w:tbl>
    <w:p>
      <w:pPr>
        <w:pStyle w:val="Heading1"/>
        <w:pageBreakBefore w:val="false"/>
        <w:rPr/>
      </w:pPr>
      <w:bookmarkStart w:id="1" w:name="__RefHeading___Toc59718_1927610595"/>
      <w:bookmarkEnd w:id="1"/>
      <w:r>
        <w:rPr>
          <w:color w:val="000000"/>
        </w:rPr>
        <w:t>Production architecture</w:t>
      </w:r>
    </w:p>
    <w:p>
      <w:pPr>
        <w:pStyle w:val="Heading2"/>
        <w:pageBreakBefore w:val="false"/>
        <w:rPr/>
      </w:pPr>
      <w:bookmarkStart w:id="2" w:name="__RefHeading___Toc59720_1927610595"/>
      <w:bookmarkEnd w:id="2"/>
      <w:r>
        <w:rPr>
          <w:color w:val="000000"/>
        </w:rPr>
        <w:t>Interface and localization</w:t>
      </w:r>
    </w:p>
    <w:p>
      <w:pPr>
        <w:pStyle w:val="Normal"/>
        <w:pageBreakBefore w:val="false"/>
        <w:rPr/>
      </w:pPr>
      <w:r>
        <w:rPr/>
        <w:t>The application remains a designer-owned FireMonkey form with no new StyleBook migration. TDATFMXLanguageManager loads locale packs and preserves control state. DAT.Runtime.FMX manages translation, text fitting and RTL layout; technical path, URL and email fields retain LTR handling. MainForm captures the report language for the worker. Converter.Core.Engine protects source evidence and identifiers while translating text/HTML report presentation; the JSON renderer remains canonical. HelpServer serves the installed manual over loopback HTTP. The parsing, rewriting, FMX generation and report-renderer modules were compared with the v6.0.0 baseline and are unchanged apart from version headers; file safety, session handling and encoding have additional changes.</w:t>
      </w:r>
    </w:p>
    <w:p>
      <w:pPr>
        <w:pStyle w:val="Heading2"/>
        <w:pageBreakBefore w:val="false"/>
        <w:rPr/>
      </w:pPr>
      <w:bookmarkStart w:id="3" w:name="__RefHeading___Toc59722_1927610595"/>
      <w:bookmarkEnd w:id="3"/>
      <w:r>
        <w:rPr>
          <w:color w:val="000000"/>
        </w:rPr>
        <w:t>Conversion and output</w:t>
      </w:r>
    </w:p>
    <w:p>
      <w:pPr>
        <w:pStyle w:val="Normal"/>
        <w:pageBreakBefore w:val="false"/>
        <w:rPr/>
      </w:pPr>
      <w:r>
        <w:rPr/>
        <w:t>Select one original VCL project and a separate output folder. V7 resolves paths before conversion, checks project selection before output cleanup, rejects ambiguous or mismatched DPR/DPROJ selections, and blocks empty input and unreadable source files. Scanned directory links and reparse points, and hard-linked output files, are rejected. Dry-run preview may write reports and create the output directory, but does not write converted source or remove existing build/history folders. Report actions use only paths produced by the current run. Input text detection supports UTF-8, UTF-16 and explicit supported Pascal code-page directives. Without a byte-order mark or directive, valid UTF-8 is preferred; other legacy bytes use Windows-1252. Convert other legacy encodings to UTF-8 in Delphi before conversion. Generated Pascal output is UTF-8, and active code-page directives are normalized to {$CODEPAGE UTF8}. This can change generated text without changing the intended conversion rule.</w:t>
      </w:r>
    </w:p>
    <w:p>
      <w:pPr>
        <w:pStyle w:val="Heading2"/>
        <w:pageBreakBefore w:val="false"/>
        <w:rPr/>
      </w:pPr>
      <w:bookmarkStart w:id="4" w:name="__RefHeading___Toc59724_1927610595"/>
      <w:bookmarkEnd w:id="4"/>
      <w:r>
        <w:rPr>
          <w:color w:val="000000"/>
        </w:rPr>
        <w:t>Reports and Help</w:t>
      </w:r>
    </w:p>
    <w:p>
      <w:pPr>
        <w:pStyle w:val="Normal"/>
        <w:pageBreakBefore w:val="false"/>
        <w:rPr/>
      </w:pPr>
      <w:r>
        <w:rPr/>
        <w:t>Choose a language in the header. The 35 bundled interface packs work offline and the preference is saved. On first use the language manager can select a matching system language. Missing packs fall back to English. Display messages and reference descriptions are translated; technical identifiers retain their spelling. The language selected when conversion starts is used for saved text and HTML reports. Existing reports are not rewritten when the interface language changes. Canonical JSON reports retain their English schema and data. Help opened from Atlas uses a local HTTP server and passes the selected language to the manual. Keep Atlas running while browsing that Help session. Automatic Help translation requires Internet access; English Help remains available offline. Help hosted as ordinary web pages uses its language selector and can inherit the website selection. Opening local HTML directly with file:// does not provide the same online translation behavior. PDF and DOCX guides are supplied in English.</w:t>
      </w:r>
    </w:p>
    <w:p>
      <w:pPr>
        <w:pStyle w:val="Heading1"/>
        <w:pageBreakBefore w:val="false"/>
        <w:rPr/>
      </w:pPr>
      <w:bookmarkStart w:id="5" w:name="__RefHeading___Toc59726_1927610595"/>
      <w:bookmarkEnd w:id="5"/>
      <w:r>
        <w:rPr>
          <w:color w:val="000000"/>
        </w:rPr>
        <w:t>Validation status</w:t>
      </w:r>
    </w:p>
    <w:p>
      <w:pPr>
        <w:pStyle w:val="Normal"/>
        <w:pageBreakBefore w:val="false"/>
        <w:rPr/>
      </w:pPr>
      <w:r>
        <w:rPr/>
        <w:t>On October 15, 2026, validation passed all 227 conversion contracts with generated-output compilation enabled, 49 safety checks, 35 saved-report language contracts, 84 local Help HTTP/component checks, 875 translated HTML-heading checks and 7,700 combined mapping-description checks. The language-pack audit passed all 35 packs. The form-language suite stopped at an Arabic Atlas-branding size assertion. This result remains unresolved; this document does not claim a fully passed release validation. These checks do not establish native-speaker translation accuracy.</w:t>
      </w:r>
    </w:p>
    <w:p>
      <w:pPr>
        <w:pStyle w:val="Heading1"/>
        <w:pageBreakBefore w:val="false"/>
        <w:rPr/>
      </w:pPr>
      <w:bookmarkStart w:id="6" w:name="__RefHeading___Toc59728_1927610595"/>
      <w:bookmarkEnd w:id="6"/>
      <w:r>
        <w:rPr>
          <w:color w:val="000000"/>
        </w:rPr>
        <w:t>Documentation and distribution</w:t>
      </w:r>
    </w:p>
    <w:p>
      <w:pPr>
        <w:pStyle w:val="Normal"/>
        <w:pageBreakBefore w:val="false"/>
        <w:spacing w:before="0" w:after="200"/>
        <w:rPr/>
      </w:pPr>
      <w:r>
        <w:rPr/>
        <w:t>Current manuals use the v7.0 Atlas identity. Editable DOCX guides have companion PDFs. HTML Help supports online translation separately from interface packs. Older release records are historical evidence, not V7 release instructions. A release ZIP must include the executable, Localization/Languages, mapping_packs and docs/Help; source packages also include translation catalogs and the bundled translation dependency. No release is published by this documentation update.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08" w:right="1008" w:gutter="0" w:header="432" w:top="1008" w:footer="432" w:bottom="936"/>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40"/>
      <w:jc w:val="end"/>
      <w:rPr/>
    </w:pP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40"/>
      <w:jc w:val="start"/>
      <w:rPr/>
    </w:pPr>
    <w:r>
      <w:rPr>
        <w:sz w:val="18"/>
      </w:rPr>
      <w:t>VCL2FMXConverter v7.0 Atlas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59" w:before="0" w:after="140"/>
      <w:jc w:val="start"/>
    </w:pPr>
    <w:rPr>
      <w:rFonts w:ascii="Calibri" w:hAnsi="Calibri" w:eastAsia="" w:cs="" w:cstheme="minorBidi" w:eastAsiaTheme="minorEastAsia"/>
      <w:color w:val="00000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pageBreakBefore w:val="false"/>
      <w:spacing w:before="300" w:after="120"/>
      <w:outlineLvl w:val="0"/>
    </w:pPr>
    <w:rPr>
      <w:rFonts w:ascii="Calibri" w:hAnsi="Calibri" w:eastAsia="" w:cs="" w:asciiTheme="majorHAnsi" w:cstheme="majorBidi" w:eastAsiaTheme="majorEastAsia" w:hAnsiTheme="majorHAnsi"/>
      <w:b/>
      <w:bCs/>
      <w:color w:val="000000"/>
      <w:sz w:val="34"/>
      <w:szCs w:val="28"/>
    </w:rPr>
  </w:style>
  <w:style w:type="paragraph" w:styleId="Heading2">
    <w:name w:val="heading 2"/>
    <w:basedOn w:val="Normal"/>
    <w:next w:val="Normal"/>
    <w:link w:val="Heading2Char"/>
    <w:uiPriority w:val="9"/>
    <w:unhideWhenUsed/>
    <w:qFormat/>
    <w:rsid w:val="00fc693f"/>
    <w:pPr>
      <w:keepNext w:val="true"/>
      <w:keepLines/>
      <w:pageBreakBefore w:val="false"/>
      <w:spacing w:before="300" w:after="120"/>
      <w:outlineLvl w:val="1"/>
    </w:pPr>
    <w:rPr>
      <w:rFonts w:ascii="Calibri" w:hAnsi="Calibri" w:eastAsia=""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pageBreakBefore w:val="false"/>
      <w:spacing w:before="300" w:after="120"/>
      <w:outlineLvl w:val="2"/>
    </w:pPr>
    <w:rPr>
      <w:rFonts w:ascii="Calibri" w:hAnsi="Calibri" w:eastAsia="" w:cs="" w:asciiTheme="majorHAnsi" w:cstheme="majorBidi" w:eastAsiaTheme="majorEastAsia" w:hAnsiTheme="majorHAns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val="00000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val="00000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val="00000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val="00000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val="00000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Calibri" w:hAnsi="Calibri" w:eastAsia="Microsoft YaHei" w:cs="Lucida Sans"/>
      <w:color w:val="000000"/>
      <w:sz w:val="28"/>
      <w:szCs w:val="28"/>
    </w:rPr>
  </w:style>
  <w:style w:type="paragraph" w:styleId="BodyText">
    <w:name w:val="Body Text"/>
    <w:basedOn w:val="Normal"/>
    <w:link w:val="BodyTextChar"/>
    <w:uiPriority w:val="99"/>
    <w:unhideWhenUsed/>
    <w:rsid w:val="00aa1d8d"/>
    <w:pPr>
      <w:spacing w:before="0" w:after="120"/>
    </w:pPr>
    <w:rPr>
      <w:rFonts w:ascii="Calibri" w:hAnsi="Calibri"/>
      <w:color w:val="000000"/>
    </w:rPr>
  </w:style>
  <w:style w:type="paragraph" w:styleId="List">
    <w:name w:val="List"/>
    <w:basedOn w:val="Normal"/>
    <w:uiPriority w:val="99"/>
    <w:unhideWhenUsed/>
    <w:rsid w:val="00aa1d8d"/>
    <w:pPr>
      <w:spacing w:before="0" w:after="200"/>
      <w:ind w:hanging="360" w:start="360"/>
      <w:contextualSpacing/>
    </w:pPr>
    <w:rPr>
      <w:rFonts w:ascii="Calibri" w:hAnsi="Calibri"/>
      <w:color w:val="000000"/>
    </w:rPr>
  </w:style>
  <w:style w:type="paragraph" w:styleId="Caption">
    <w:name w:val="caption"/>
    <w:basedOn w:val="Normal"/>
    <w:next w:val="Normal"/>
    <w:uiPriority w:val="35"/>
    <w:semiHidden/>
    <w:unhideWhenUsed/>
    <w:qFormat/>
    <w:rsid w:val="00fc693f"/>
    <w:pPr>
      <w:spacing w:lineRule="auto" w:line="240"/>
    </w:pPr>
    <w:rPr>
      <w:rFonts w:ascii="Calibri" w:hAnsi="Calibri"/>
      <w:b/>
      <w:bCs/>
      <w:color w:val="000000"/>
      <w:sz w:val="18"/>
      <w:szCs w:val="18"/>
    </w:rPr>
  </w:style>
  <w:style w:type="paragraph" w:styleId="Index">
    <w:name w:val="Index"/>
    <w:basedOn w:val="Normal"/>
    <w:qFormat/>
    <w:pPr>
      <w:suppressLineNumbers/>
    </w:pPr>
    <w:rPr>
      <w:rFonts w:ascii="Calibri" w:hAnsi="Calibri" w:cs="Lucida Sans"/>
      <w:color w:val="000000"/>
    </w:rPr>
  </w:style>
  <w:style w:type="paragraph" w:styleId="HeaderandFooter">
    <w:name w:val="Header and Footer"/>
    <w:basedOn w:val="Normal"/>
    <w:qFormat/>
    <w:pPr/>
    <w:rPr>
      <w:rFonts w:ascii="Calibri" w:hAnsi="Calibri"/>
      <w:color w:val="000000"/>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rFonts w:ascii="Calibri" w:hAnsi="Calibri"/>
      <w:color w:val="000000"/>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rFonts w:ascii="Calibri" w:hAnsi="Calibri"/>
      <w:color w:val="000000"/>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000000"/>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0" w:after="300"/>
      <w:contextualSpacing/>
    </w:pPr>
    <w:rPr>
      <w:rFonts w:ascii="Calibri" w:hAnsi="Calibri" w:eastAsia="" w:cs="" w:asciiTheme="majorHAnsi" w:cstheme="majorBidi" w:eastAsiaTheme="majorEastAsia" w:hAnsiTheme="majorHAnsi"/>
      <w:b w:val="false"/>
      <w:color w:val="000000"/>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val="000000"/>
      <w:spacing w:val="15"/>
      <w:sz w:val="24"/>
      <w:szCs w:val="24"/>
    </w:rPr>
  </w:style>
  <w:style w:type="paragraph" w:styleId="ListParagraph">
    <w:name w:val="List Paragraph"/>
    <w:basedOn w:val="Normal"/>
    <w:uiPriority w:val="34"/>
    <w:qFormat/>
    <w:rsid w:val="00fc693f"/>
    <w:pPr>
      <w:spacing w:before="0" w:after="200"/>
      <w:ind w:start="720"/>
      <w:contextualSpacing/>
    </w:pPr>
    <w:rPr>
      <w:rFonts w:ascii="Calibri" w:hAnsi="Calibri"/>
      <w:color w:val="000000"/>
    </w:rPr>
  </w:style>
  <w:style w:type="paragraph" w:styleId="BodyText2">
    <w:name w:val="Body Text 2"/>
    <w:basedOn w:val="Normal"/>
    <w:link w:val="BodyText2Char"/>
    <w:uiPriority w:val="99"/>
    <w:unhideWhenUsed/>
    <w:qFormat/>
    <w:rsid w:val="00aa1d8d"/>
    <w:pPr>
      <w:spacing w:lineRule="auto" w:line="480" w:before="0" w:after="120"/>
    </w:pPr>
    <w:rPr>
      <w:rFonts w:ascii="Calibri" w:hAnsi="Calibri"/>
      <w:color w:val="000000"/>
    </w:rPr>
  </w:style>
  <w:style w:type="paragraph" w:styleId="BodyText3">
    <w:name w:val="Body Text 3"/>
    <w:basedOn w:val="Normal"/>
    <w:link w:val="BodyText3Char"/>
    <w:uiPriority w:val="99"/>
    <w:unhideWhenUsed/>
    <w:qFormat/>
    <w:rsid w:val="00aa1d8d"/>
    <w:pPr>
      <w:spacing w:before="0" w:after="120"/>
    </w:pPr>
    <w:rPr>
      <w:rFonts w:ascii="Calibri" w:hAnsi="Calibri"/>
      <w:color w:val="000000"/>
      <w:sz w:val="16"/>
      <w:szCs w:val="16"/>
    </w:rPr>
  </w:style>
  <w:style w:type="paragraph" w:styleId="List2">
    <w:name w:val="List 2"/>
    <w:basedOn w:val="Normal"/>
    <w:uiPriority w:val="99"/>
    <w:unhideWhenUsed/>
    <w:qFormat/>
    <w:rsid w:val="00326f90"/>
    <w:pPr>
      <w:spacing w:before="0" w:after="200"/>
      <w:ind w:hanging="360" w:start="720"/>
      <w:contextualSpacing/>
    </w:pPr>
    <w:rPr>
      <w:rFonts w:ascii="Calibri" w:hAnsi="Calibri"/>
      <w:color w:val="000000"/>
    </w:rPr>
  </w:style>
  <w:style w:type="paragraph" w:styleId="List3">
    <w:name w:val="List 3"/>
    <w:basedOn w:val="Normal"/>
    <w:uiPriority w:val="99"/>
    <w:unhideWhenUsed/>
    <w:qFormat/>
    <w:rsid w:val="00326f90"/>
    <w:pPr>
      <w:spacing w:before="0" w:after="200"/>
      <w:ind w:hanging="360" w:start="1080"/>
      <w:contextualSpacing/>
    </w:pPr>
    <w:rPr>
      <w:rFonts w:ascii="Calibri" w:hAnsi="Calibri"/>
      <w:color w:val="000000"/>
    </w:rPr>
  </w:style>
  <w:style w:type="paragraph" w:styleId="ListBullet">
    <w:name w:val="List Bullet"/>
    <w:basedOn w:val="Normal"/>
    <w:uiPriority w:val="99"/>
    <w:unhideWhenUsed/>
    <w:rsid w:val="00326f90"/>
    <w:pPr>
      <w:numPr>
        <w:ilvl w:val="0"/>
        <w:numId w:val="1"/>
      </w:numPr>
      <w:spacing w:before="0" w:after="200"/>
      <w:contextualSpacing/>
    </w:pPr>
    <w:rPr>
      <w:rFonts w:ascii="Calibri" w:hAnsi="Calibri"/>
      <w:color w:val="000000"/>
    </w:rPr>
  </w:style>
  <w:style w:type="paragraph" w:styleId="ListBullet2">
    <w:name w:val="List Bullet 2"/>
    <w:basedOn w:val="Normal"/>
    <w:uiPriority w:val="99"/>
    <w:unhideWhenUsed/>
    <w:rsid w:val="00326f90"/>
    <w:pPr>
      <w:numPr>
        <w:ilvl w:val="0"/>
        <w:numId w:val="2"/>
      </w:numPr>
      <w:spacing w:before="0" w:after="200"/>
      <w:contextualSpacing/>
    </w:pPr>
    <w:rPr>
      <w:rFonts w:ascii="Calibri" w:hAnsi="Calibri"/>
      <w:color w:val="000000"/>
    </w:rPr>
  </w:style>
  <w:style w:type="paragraph" w:styleId="ListBullet3">
    <w:name w:val="List Bullet 3"/>
    <w:basedOn w:val="Normal"/>
    <w:uiPriority w:val="99"/>
    <w:unhideWhenUsed/>
    <w:rsid w:val="00326f90"/>
    <w:pPr>
      <w:numPr>
        <w:ilvl w:val="0"/>
        <w:numId w:val="3"/>
      </w:numPr>
      <w:spacing w:before="0" w:after="200"/>
      <w:contextualSpacing/>
    </w:pPr>
    <w:rPr>
      <w:rFonts w:ascii="Calibri" w:hAnsi="Calibri"/>
      <w:color w:val="000000"/>
    </w:rPr>
  </w:style>
  <w:style w:type="paragraph" w:styleId="ListNumber">
    <w:name w:val="List Number"/>
    <w:basedOn w:val="Normal"/>
    <w:uiPriority w:val="99"/>
    <w:unhideWhenUsed/>
    <w:rsid w:val="00326f90"/>
    <w:pPr>
      <w:numPr>
        <w:ilvl w:val="0"/>
        <w:numId w:val="4"/>
      </w:numPr>
      <w:spacing w:before="0" w:after="200"/>
      <w:contextualSpacing/>
    </w:pPr>
    <w:rPr>
      <w:rFonts w:ascii="Calibri" w:hAnsi="Calibri"/>
      <w:color w:val="000000"/>
    </w:rPr>
  </w:style>
  <w:style w:type="paragraph" w:styleId="ListNumber2">
    <w:name w:val="List Number 2"/>
    <w:basedOn w:val="Normal"/>
    <w:uiPriority w:val="99"/>
    <w:unhideWhenUsed/>
    <w:rsid w:val="0029639d"/>
    <w:pPr>
      <w:numPr>
        <w:ilvl w:val="0"/>
        <w:numId w:val="5"/>
      </w:numPr>
      <w:spacing w:before="0" w:after="200"/>
      <w:contextualSpacing/>
    </w:pPr>
    <w:rPr>
      <w:rFonts w:ascii="Calibri" w:hAnsi="Calibri"/>
      <w:color w:val="000000"/>
    </w:rPr>
  </w:style>
  <w:style w:type="paragraph" w:styleId="ListNumber3">
    <w:name w:val="List Number 3"/>
    <w:basedOn w:val="Normal"/>
    <w:uiPriority w:val="99"/>
    <w:unhideWhenUsed/>
    <w:rsid w:val="0029639d"/>
    <w:pPr>
      <w:numPr>
        <w:ilvl w:val="0"/>
        <w:numId w:val="6"/>
      </w:numPr>
      <w:spacing w:before="0" w:after="200"/>
      <w:contextualSpacing/>
    </w:pPr>
    <w:rPr>
      <w:rFonts w:ascii="Calibri" w:hAnsi="Calibri"/>
      <w:color w:val="000000"/>
    </w:rPr>
  </w:style>
  <w:style w:type="paragraph" w:styleId="ListContinue">
    <w:name w:val="List Continue"/>
    <w:basedOn w:val="Normal"/>
    <w:uiPriority w:val="99"/>
    <w:unhideWhenUsed/>
    <w:rsid w:val="0029639d"/>
    <w:pPr>
      <w:spacing w:before="0" w:after="120"/>
      <w:ind w:start="360"/>
      <w:contextualSpacing/>
    </w:pPr>
    <w:rPr>
      <w:rFonts w:ascii="Calibri" w:hAnsi="Calibri"/>
      <w:color w:val="000000"/>
    </w:rPr>
  </w:style>
  <w:style w:type="paragraph" w:styleId="ListContinue2">
    <w:name w:val="List Continue 2"/>
    <w:basedOn w:val="Normal"/>
    <w:uiPriority w:val="99"/>
    <w:unhideWhenUsed/>
    <w:rsid w:val="0029639d"/>
    <w:pPr>
      <w:spacing w:before="0" w:after="120"/>
      <w:ind w:start="720"/>
      <w:contextualSpacing/>
    </w:pPr>
    <w:rPr>
      <w:rFonts w:ascii="Calibri" w:hAnsi="Calibri"/>
      <w:color w:val="000000"/>
    </w:rPr>
  </w:style>
  <w:style w:type="paragraph" w:styleId="ListContinue3">
    <w:name w:val="List Continue 3"/>
    <w:basedOn w:val="Normal"/>
    <w:uiPriority w:val="99"/>
    <w:unhideWhenUsed/>
    <w:rsid w:val="0029639d"/>
    <w:pPr>
      <w:spacing w:before="0" w:after="120"/>
      <w:ind w:start="1080"/>
      <w:contextualSpacing/>
    </w:pPr>
    <w:rPr>
      <w:rFonts w:ascii="Calibri" w:hAnsi="Calibri"/>
      <w:color w:val="000000"/>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alibri" w:hAnsi="Calibri" w:eastAsia="" w:cs="" w:cstheme="minorBidi" w:eastAsiaTheme="minorEastAsia"/>
      <w:color w:val="000000"/>
      <w:kern w:val="0"/>
      <w:sz w:val="20"/>
      <w:szCs w:val="20"/>
      <w:lang w:val="en-US" w:eastAsia="en-US" w:bidi="ar-SA"/>
    </w:rPr>
  </w:style>
  <w:style w:type="paragraph" w:styleId="Quote">
    <w:name w:val="Quote"/>
    <w:basedOn w:val="Normal"/>
    <w:next w:val="Normal"/>
    <w:link w:val="QuoteChar"/>
    <w:uiPriority w:val="29"/>
    <w:qFormat/>
    <w:rsid w:val="00fc693f"/>
    <w:pPr/>
    <w:rPr>
      <w:rFonts w:ascii="Calibri" w:hAnsi="Calibri"/>
      <w:i/>
      <w:iCs/>
      <w:color w:val="000000"/>
    </w:rPr>
  </w:style>
  <w:style w:type="paragraph" w:styleId="IntenseQuote">
    <w:name w:val="Intense Quote"/>
    <w:basedOn w:val="Normal"/>
    <w:next w:val="Normal"/>
    <w:link w:val="IntenseQuoteChar"/>
    <w:uiPriority w:val="30"/>
    <w:qFormat/>
    <w:rsid w:val="00fc693f"/>
    <w:pPr>
      <w:spacing w:before="200" w:after="280"/>
      <w:ind w:start="936" w:end="936"/>
    </w:pPr>
    <w:rPr>
      <w:rFonts w:ascii="Calibri" w:hAnsi="Calibri"/>
      <w:b/>
      <w:bCs/>
      <w:i/>
      <w:iCs/>
      <w:color w:val="000000"/>
    </w:rPr>
  </w:style>
  <w:style w:type="paragraph" w:styleId="IndexHeading">
    <w:name w:val="index heading"/>
    <w:basedOn w:val="Heading"/>
    <w:pPr/>
    <w:rPr>
      <w:rFonts w:ascii="Calibri" w:hAnsi="Calibri"/>
      <w:color w:val="000000"/>
    </w:rPr>
  </w:style>
  <w:style w:type="paragraph" w:styleId="TOCHeading">
    <w:name w:val="TOC Heading"/>
    <w:basedOn w:val="Heading1"/>
    <w:next w:val="Normal"/>
    <w:uiPriority w:val="39"/>
    <w:semiHidden/>
    <w:unhideWhenUsed/>
    <w:qFormat/>
    <w:rsid w:val="00fc693f"/>
    <w:pPr>
      <w:outlineLvl w:val="9"/>
    </w:pPr>
    <w:rPr>
      <w:rFonts w:ascii="Calibri" w:hAnsi="Calibri"/>
      <w:color w:val="000000"/>
    </w:rPr>
  </w:style>
  <w:style w:type="paragraph" w:styleId="TOC1" w:customStyle="1">
    <w:name w:val="toc 1"/>
    <w:pPr>
      <w:widowControl/>
      <w:tabs>
        <w:tab w:val="clear" w:pos="720"/>
        <w:tab w:val="right" w:pos="10224" w:leader="dot"/>
      </w:tabs>
      <w:suppressAutoHyphens w:val="true"/>
      <w:bidi w:val="0"/>
      <w:spacing w:before="0" w:after="79"/>
      <w:ind w:start="0" w:end="0"/>
      <w:jc w:val="start"/>
    </w:pPr>
    <w:rPr>
      <w:rFonts w:ascii="Calibri" w:hAnsi="Calibri" w:eastAsia="" w:cs=""/>
      <w:color w:val="000000"/>
      <w:kern w:val="0"/>
      <w:sz w:val="22"/>
      <w:szCs w:val="22"/>
      <w:lang w:val="en-US" w:eastAsia="en-US" w:bidi="ar-SA"/>
    </w:rPr>
  </w:style>
  <w:style w:type="paragraph" w:styleId="TOC2" w:customStyle="1">
    <w:name w:val="toc 2"/>
    <w:pPr>
      <w:widowControl/>
      <w:tabs>
        <w:tab w:val="clear" w:pos="720"/>
        <w:tab w:val="right" w:pos="10224" w:leader="dot"/>
      </w:tabs>
      <w:suppressAutoHyphens w:val="true"/>
      <w:bidi w:val="0"/>
      <w:spacing w:before="0" w:after="79"/>
      <w:ind w:start="227" w:end="0"/>
      <w:jc w:val="start"/>
    </w:pPr>
    <w:rPr>
      <w:rFonts w:ascii="Calibri" w:hAnsi="Calibri" w:eastAsia="" w:cs=""/>
      <w:color w:val="000000"/>
      <w:kern w:val="0"/>
      <w:sz w:val="22"/>
      <w:szCs w:val="22"/>
      <w:lang w:val="en-US" w:eastAsia="en-US" w:bidi="ar-SA"/>
    </w:rPr>
  </w:style>
  <w:style w:type="paragraph" w:styleId="TOC3" w:customStyle="1">
    <w:name w:val="toc 3"/>
    <w:pPr>
      <w:widowControl/>
      <w:tabs>
        <w:tab w:val="clear" w:pos="720"/>
        <w:tab w:val="right" w:pos="10224" w:leader="dot"/>
      </w:tabs>
      <w:suppressAutoHyphens w:val="true"/>
      <w:bidi w:val="0"/>
      <w:spacing w:before="0" w:after="100"/>
      <w:jc w:val="start"/>
    </w:pPr>
    <w:rPr>
      <w:rFonts w:ascii="Calibri" w:hAnsi="Calibri" w:eastAsia="" w:cs=""/>
      <w:color w:val="000000"/>
      <w:kern w:val="0"/>
      <w:sz w:val="22"/>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2026-10-18T16:42:25Z</dcterms:modified>
  <cp:revision>6</cp:revision>
  <dc:subject/>
  <dc:title>VCL2FMXConverter v7.0 Atlas Application Inventory</dc:title>
</cp:coreProperties>
</file>

<file path=docProps/custom.xml><?xml version="1.0" encoding="utf-8"?>
<Properties xmlns="http://schemas.openxmlformats.org/officeDocument/2006/custom-properties" xmlns:vt="http://schemas.openxmlformats.org/officeDocument/2006/docPropsVTypes"/>
</file>