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rFonts w:ascii="Calibri" w:hAnsi="Calibri"/>
          <w:b w:val="false"/>
          <w:color w:val="000000"/>
          <w:sz w:val="60"/>
        </w:rPr>
        <w:t>Engineering Guide</w:t>
      </w:r>
    </w:p>
    <w:p>
      <w:pPr>
        <w:pStyle w:val="Normal"/>
        <w:keepNext w:val="false"/>
        <w:spacing w:before="0" w:after="400"/>
        <w:rPr/>
      </w:pPr>
      <w:r>
        <w:rPr>
          <w:color w:val="000000"/>
          <w:sz w:val="28"/>
        </w:rPr>
        <w:t>Architecture, conversion behavior and maintenance procedures</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rFonts w:ascii="Calibri" w:hAnsi="Calibri"/>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6419_239329132" w:tooltip="1. Introduction and Engineering Intent">
            <w:r>
              <w:rPr>
                <w:rStyle w:val="IndexLink"/>
              </w:rPr>
              <w:t>1. Introduction and Engineering Intent</w:t>
              <w:tab/>
              <w:t>5</w:t>
            </w:r>
          </w:hyperlink>
        </w:p>
        <w:p>
          <w:pPr>
            <w:pStyle w:val="TOC2"/>
            <w:tabs>
              <w:tab w:val="clear" w:pos="10224"/>
              <w:tab w:val="right" w:pos="10223" w:leader="dot"/>
            </w:tabs>
            <w:rPr/>
          </w:pPr>
          <w:hyperlink w:anchor="__RefHeading___Toc6421_239329132" w:tooltip="1.1 Primary Engineering Goals">
            <w:r>
              <w:rPr>
                <w:rStyle w:val="IndexLink"/>
              </w:rPr>
              <w:t>1.1 Primary Engineering Goals</w:t>
              <w:tab/>
              <w:t>5</w:t>
            </w:r>
          </w:hyperlink>
        </w:p>
        <w:p>
          <w:pPr>
            <w:pStyle w:val="TOC2"/>
            <w:tabs>
              <w:tab w:val="clear" w:pos="10224"/>
              <w:tab w:val="right" w:pos="10223" w:leader="dot"/>
            </w:tabs>
            <w:rPr/>
          </w:pPr>
          <w:hyperlink w:anchor="__RefHeading___Toc6423_239329132" w:tooltip="1.2 Practical Meaning of a Successful Conversion">
            <w:r>
              <w:rPr>
                <w:rStyle w:val="IndexLink"/>
              </w:rPr>
              <w:t>1.2 Practical Meaning of a Successful Conversion</w:t>
              <w:tab/>
              <w:t>5</w:t>
            </w:r>
          </w:hyperlink>
        </w:p>
        <w:p>
          <w:pPr>
            <w:pStyle w:val="TOC1"/>
            <w:tabs>
              <w:tab w:val="clear" w:pos="10224"/>
              <w:tab w:val="right" w:pos="10223" w:leader="dot"/>
            </w:tabs>
            <w:rPr/>
          </w:pPr>
          <w:hyperlink w:anchor="__RefHeading___Toc6425_239329132" w:tooltip="2. Product Scope and Design Principles">
            <w:r>
              <w:rPr>
                <w:rStyle w:val="IndexLink"/>
              </w:rPr>
              <w:t>2. Product Scope and Design Principles</w:t>
              <w:tab/>
              <w:t>5</w:t>
            </w:r>
          </w:hyperlink>
        </w:p>
        <w:p>
          <w:pPr>
            <w:pStyle w:val="TOC2"/>
            <w:tabs>
              <w:tab w:val="clear" w:pos="10224"/>
              <w:tab w:val="right" w:pos="10223" w:leader="dot"/>
            </w:tabs>
            <w:rPr/>
          </w:pPr>
          <w:hyperlink w:anchor="__RefHeading___Toc6427_239329132" w:tooltip="2.1 Scope">
            <w:r>
              <w:rPr>
                <w:rStyle w:val="IndexLink"/>
              </w:rPr>
              <w:t>2.1 Scope</w:t>
              <w:tab/>
              <w:t>5</w:t>
            </w:r>
          </w:hyperlink>
        </w:p>
        <w:p>
          <w:pPr>
            <w:pStyle w:val="TOC2"/>
            <w:tabs>
              <w:tab w:val="clear" w:pos="10224"/>
              <w:tab w:val="right" w:pos="10223" w:leader="dot"/>
            </w:tabs>
            <w:rPr/>
          </w:pPr>
          <w:hyperlink w:anchor="__RefHeading___Toc6429_239329132" w:tooltip="2.2 Design Principles">
            <w:r>
              <w:rPr>
                <w:rStyle w:val="IndexLink"/>
              </w:rPr>
              <w:t>2.2 Design Principles</w:t>
              <w:tab/>
              <w:t>6</w:t>
            </w:r>
          </w:hyperlink>
        </w:p>
        <w:p>
          <w:pPr>
            <w:pStyle w:val="TOC1"/>
            <w:tabs>
              <w:tab w:val="clear" w:pos="10224"/>
              <w:tab w:val="right" w:pos="10223" w:leader="dot"/>
            </w:tabs>
            <w:rPr/>
          </w:pPr>
          <w:hyperlink w:anchor="__RefHeading___Toc4515_1908171846" w:tooltip="Installing the complete Windows package">
            <w:r>
              <w:rPr>
                <w:rStyle w:val="IndexLink"/>
              </w:rPr>
              <w:t>Installing the complete Windows package</w:t>
              <w:tab/>
              <w:t>6</w:t>
            </w:r>
          </w:hyperlink>
        </w:p>
        <w:p>
          <w:pPr>
            <w:pStyle w:val="TOC1"/>
            <w:tabs>
              <w:tab w:val="clear" w:pos="10224"/>
              <w:tab w:val="right" w:pos="10223" w:leader="dot"/>
            </w:tabs>
            <w:rPr/>
          </w:pPr>
          <w:hyperlink w:anchor="__RefHeading___Toc6431_239329132" w:tooltip="3. System Architecture Overview">
            <w:r>
              <w:rPr>
                <w:rStyle w:val="IndexLink"/>
              </w:rPr>
              <w:t>3. System Architecture Overview</w:t>
              <w:tab/>
              <w:t>7</w:t>
            </w:r>
          </w:hyperlink>
        </w:p>
        <w:p>
          <w:pPr>
            <w:pStyle w:val="TOC2"/>
            <w:tabs>
              <w:tab w:val="clear" w:pos="10224"/>
              <w:tab w:val="right" w:pos="10223" w:leader="dot"/>
            </w:tabs>
            <w:rPr/>
          </w:pPr>
          <w:hyperlink w:anchor="__RefHeading___Toc6433_239329132" w:tooltip="3.1 Layer Diagram">
            <w:r>
              <w:rPr>
                <w:rStyle w:val="IndexLink"/>
              </w:rPr>
              <w:t>3.1 Layer Diagram</w:t>
              <w:tab/>
              <w:t>7</w:t>
            </w:r>
          </w:hyperlink>
        </w:p>
        <w:p>
          <w:pPr>
            <w:pStyle w:val="TOC2"/>
            <w:tabs>
              <w:tab w:val="clear" w:pos="10224"/>
              <w:tab w:val="right" w:pos="10223" w:leader="dot"/>
            </w:tabs>
            <w:rPr/>
          </w:pPr>
          <w:hyperlink w:anchor="__RefHeading___Toc6435_239329132" w:tooltip="3.2 Responsibility Matrix">
            <w:r>
              <w:rPr>
                <w:rStyle w:val="IndexLink"/>
              </w:rPr>
              <w:t>3.2 Responsibility Matrix</w:t>
              <w:tab/>
              <w:t>7</w:t>
            </w:r>
          </w:hyperlink>
        </w:p>
        <w:p>
          <w:pPr>
            <w:pStyle w:val="TOC1"/>
            <w:tabs>
              <w:tab w:val="clear" w:pos="10224"/>
              <w:tab w:val="right" w:pos="10223" w:leader="dot"/>
            </w:tabs>
            <w:rPr/>
          </w:pPr>
          <w:hyperlink w:anchor="__RefHeading___Toc6437_239329132" w:tooltip="4. End-to-End Conversion Workflow">
            <w:r>
              <w:rPr>
                <w:rStyle w:val="IndexLink"/>
              </w:rPr>
              <w:t>4. End-to-End Conversion Workflow</w:t>
              <w:tab/>
              <w:t>8</w:t>
            </w:r>
          </w:hyperlink>
        </w:p>
        <w:p>
          <w:pPr>
            <w:pStyle w:val="TOC2"/>
            <w:tabs>
              <w:tab w:val="clear" w:pos="10224"/>
              <w:tab w:val="right" w:pos="10223" w:leader="dot"/>
            </w:tabs>
            <w:rPr/>
          </w:pPr>
          <w:hyperlink w:anchor="__RefHeading___Toc6439_239329132" w:tooltip="4.1 Workflow Diagram">
            <w:r>
              <w:rPr>
                <w:rStyle w:val="IndexLink"/>
              </w:rPr>
              <w:t>4.1 Workflow Diagram</w:t>
              <w:tab/>
              <w:t>8</w:t>
            </w:r>
          </w:hyperlink>
        </w:p>
        <w:p>
          <w:pPr>
            <w:pStyle w:val="TOC2"/>
            <w:tabs>
              <w:tab w:val="clear" w:pos="10224"/>
              <w:tab w:val="right" w:pos="10223" w:leader="dot"/>
            </w:tabs>
            <w:rPr/>
          </w:pPr>
          <w:hyperlink w:anchor="__RefHeading___Toc6441_239329132" w:tooltip="4.2 Step-by-Step Narrative">
            <w:r>
              <w:rPr>
                <w:rStyle w:val="IndexLink"/>
              </w:rPr>
              <w:t>4.2 Step-by-Step Narrative</w:t>
              <w:tab/>
              <w:t>8</w:t>
            </w:r>
          </w:hyperlink>
        </w:p>
        <w:p>
          <w:pPr>
            <w:pStyle w:val="TOC1"/>
            <w:tabs>
              <w:tab w:val="clear" w:pos="10224"/>
              <w:tab w:val="right" w:pos="10223" w:leader="dot"/>
            </w:tabs>
            <w:rPr/>
          </w:pPr>
          <w:hyperlink w:anchor="__RefHeading___Toc6443_239329132" w:tooltip="5. User Interface and Operator Flow">
            <w:r>
              <w:rPr>
                <w:rStyle w:val="IndexLink"/>
              </w:rPr>
              <w:t>5. User Interface and Operator Flow</w:t>
              <w:tab/>
              <w:t>8</w:t>
            </w:r>
          </w:hyperlink>
        </w:p>
        <w:p>
          <w:pPr>
            <w:pStyle w:val="TOC2"/>
            <w:tabs>
              <w:tab w:val="clear" w:pos="10224"/>
              <w:tab w:val="right" w:pos="10223" w:leader="dot"/>
            </w:tabs>
            <w:rPr/>
          </w:pPr>
          <w:hyperlink w:anchor="__RefHeading___Toc6445_239329132" w:tooltip="5.1 Main Operator Tasks">
            <w:r>
              <w:rPr>
                <w:rStyle w:val="IndexLink"/>
              </w:rPr>
              <w:t>5.1 Main Operator Tasks</w:t>
              <w:tab/>
              <w:t>8</w:t>
            </w:r>
          </w:hyperlink>
        </w:p>
        <w:p>
          <w:pPr>
            <w:pStyle w:val="TOC2"/>
            <w:tabs>
              <w:tab w:val="clear" w:pos="10224"/>
              <w:tab w:val="right" w:pos="10223" w:leader="dot"/>
            </w:tabs>
            <w:rPr/>
          </w:pPr>
          <w:hyperlink w:anchor="__RefHeading___Toc6447_239329132" w:tooltip="5.2 UI Responsibilities">
            <w:r>
              <w:rPr>
                <w:rStyle w:val="IndexLink"/>
              </w:rPr>
              <w:t>5.2 UI Responsibilities</w:t>
              <w:tab/>
              <w:t>9</w:t>
            </w:r>
          </w:hyperlink>
        </w:p>
        <w:p>
          <w:pPr>
            <w:pStyle w:val="TOC1"/>
            <w:tabs>
              <w:tab w:val="clear" w:pos="10224"/>
              <w:tab w:val="right" w:pos="10223" w:leader="dot"/>
            </w:tabs>
            <w:rPr/>
          </w:pPr>
          <w:hyperlink w:anchor="__RefHeading___Toc6449_239329132" w:tooltip="6. Core Engine, File Management, and Orchestration">
            <w:r>
              <w:rPr>
                <w:rStyle w:val="IndexLink"/>
              </w:rPr>
              <w:t>6. Core Engine, File Management, and Orchestration</w:t>
              <w:tab/>
              <w:t>9</w:t>
            </w:r>
          </w:hyperlink>
        </w:p>
        <w:p>
          <w:pPr>
            <w:pStyle w:val="TOC2"/>
            <w:tabs>
              <w:tab w:val="clear" w:pos="10224"/>
              <w:tab w:val="right" w:pos="10223" w:leader="dot"/>
            </w:tabs>
            <w:rPr/>
          </w:pPr>
          <w:hyperlink w:anchor="__RefHeading___Toc6451_239329132" w:tooltip="6.1 Core Types">
            <w:r>
              <w:rPr>
                <w:rStyle w:val="IndexLink"/>
              </w:rPr>
              <w:t>6.1 Core Types</w:t>
              <w:tab/>
              <w:t>9</w:t>
            </w:r>
          </w:hyperlink>
        </w:p>
        <w:p>
          <w:pPr>
            <w:pStyle w:val="TOC2"/>
            <w:tabs>
              <w:tab w:val="clear" w:pos="10224"/>
              <w:tab w:val="right" w:pos="10223" w:leader="dot"/>
            </w:tabs>
            <w:rPr/>
          </w:pPr>
          <w:hyperlink w:anchor="__RefHeading___Toc6453_239329132" w:tooltip="6.2 Engine">
            <w:r>
              <w:rPr>
                <w:rStyle w:val="IndexLink"/>
              </w:rPr>
              <w:t>6.2 Engine</w:t>
              <w:tab/>
              <w:t>9</w:t>
            </w:r>
          </w:hyperlink>
        </w:p>
        <w:p>
          <w:pPr>
            <w:pStyle w:val="TOC1"/>
            <w:tabs>
              <w:tab w:val="clear" w:pos="10224"/>
              <w:tab w:val="right" w:pos="10223" w:leader="dot"/>
            </w:tabs>
            <w:rPr/>
          </w:pPr>
          <w:hyperlink w:anchor="__RefHeading___Toc6455_239329132" w:tooltip="7. DFM Parsing and FMX Form Generation">
            <w:r>
              <w:rPr>
                <w:rStyle w:val="IndexLink"/>
              </w:rPr>
              <w:t>7. DFM Parsing and FMX Form Generation</w:t>
              <w:tab/>
              <w:t>9</w:t>
            </w:r>
          </w:hyperlink>
        </w:p>
        <w:p>
          <w:pPr>
            <w:pStyle w:val="TOC2"/>
            <w:tabs>
              <w:tab w:val="clear" w:pos="10224"/>
              <w:tab w:val="right" w:pos="10223" w:leader="dot"/>
            </w:tabs>
            <w:rPr/>
          </w:pPr>
          <w:hyperlink w:anchor="__RefHeading___Toc6457_239329132" w:tooltip="7.1 Internal Model">
            <w:r>
              <w:rPr>
                <w:rStyle w:val="IndexLink"/>
              </w:rPr>
              <w:t>7.1 Internal Model</w:t>
              <w:tab/>
              <w:t>9</w:t>
            </w:r>
          </w:hyperlink>
        </w:p>
        <w:p>
          <w:pPr>
            <w:pStyle w:val="TOC2"/>
            <w:tabs>
              <w:tab w:val="clear" w:pos="10224"/>
              <w:tab w:val="right" w:pos="10223" w:leader="dot"/>
            </w:tabs>
            <w:rPr/>
          </w:pPr>
          <w:hyperlink w:anchor="__RefHeading___Toc6459_239329132" w:tooltip="7.2 Parsing Responsibilities">
            <w:r>
              <w:rPr>
                <w:rStyle w:val="IndexLink"/>
              </w:rPr>
              <w:t>7.2 Parsing Responsibilities</w:t>
              <w:tab/>
              <w:t>10</w:t>
            </w:r>
          </w:hyperlink>
        </w:p>
        <w:p>
          <w:pPr>
            <w:pStyle w:val="TOC2"/>
            <w:tabs>
              <w:tab w:val="clear" w:pos="10224"/>
              <w:tab w:val="right" w:pos="10223" w:leader="dot"/>
            </w:tabs>
            <w:rPr/>
          </w:pPr>
          <w:hyperlink w:anchor="__RefHeading___Toc6461_239329132" w:tooltip="7.3 Generation Responsibilities">
            <w:r>
              <w:rPr>
                <w:rStyle w:val="IndexLink"/>
              </w:rPr>
              <w:t>7.3 Generation Responsibilities</w:t>
              <w:tab/>
              <w:t>10</w:t>
            </w:r>
          </w:hyperlink>
        </w:p>
        <w:p>
          <w:pPr>
            <w:pStyle w:val="TOC1"/>
            <w:tabs>
              <w:tab w:val="clear" w:pos="10224"/>
              <w:tab w:val="right" w:pos="10223" w:leader="dot"/>
            </w:tabs>
            <w:rPr/>
          </w:pPr>
          <w:hyperlink w:anchor="__RefHeading___Toc6463_239329132" w:tooltip="8. Pascal Parsing and Source Rewriting">
            <w:r>
              <w:rPr>
                <w:rStyle w:val="IndexLink"/>
              </w:rPr>
              <w:t>8. Pascal Parsing and Source Rewriting</w:t>
              <w:tab/>
              <w:t>10</w:t>
            </w:r>
          </w:hyperlink>
        </w:p>
        <w:p>
          <w:pPr>
            <w:pStyle w:val="TOC2"/>
            <w:tabs>
              <w:tab w:val="clear" w:pos="10224"/>
              <w:tab w:val="right" w:pos="10223" w:leader="dot"/>
            </w:tabs>
            <w:rPr/>
          </w:pPr>
          <w:hyperlink w:anchor="__RefHeading___Toc6465_239329132" w:tooltip="8.1 Parser Responsibilities">
            <w:r>
              <w:rPr>
                <w:rStyle w:val="IndexLink"/>
              </w:rPr>
              <w:t>8.1 Parser Responsibilities</w:t>
              <w:tab/>
              <w:t>10</w:t>
            </w:r>
          </w:hyperlink>
        </w:p>
        <w:p>
          <w:pPr>
            <w:pStyle w:val="TOC2"/>
            <w:tabs>
              <w:tab w:val="clear" w:pos="10224"/>
              <w:tab w:val="right" w:pos="10223" w:leader="dot"/>
            </w:tabs>
            <w:rPr/>
          </w:pPr>
          <w:hyperlink w:anchor="__RefHeading___Toc6467_239329132" w:tooltip="8.2 Rewrite Objectives">
            <w:r>
              <w:rPr>
                <w:rStyle w:val="IndexLink"/>
              </w:rPr>
              <w:t>8.2 Rewrite Objectives</w:t>
              <w:tab/>
              <w:t>10</w:t>
            </w:r>
          </w:hyperlink>
        </w:p>
        <w:p>
          <w:pPr>
            <w:pStyle w:val="TOC1"/>
            <w:tabs>
              <w:tab w:val="clear" w:pos="10224"/>
              <w:tab w:val="right" w:pos="10223" w:leader="dot"/>
            </w:tabs>
            <w:rPr/>
          </w:pPr>
          <w:hyperlink w:anchor="__RefHeading___Toc6469_239329132" w:tooltip="9. Component Mapping and Property Transformation">
            <w:r>
              <w:rPr>
                <w:rStyle w:val="IndexLink"/>
              </w:rPr>
              <w:t>9. Component Mapping and Property Transformation</w:t>
              <w:tab/>
              <w:t>11</w:t>
            </w:r>
          </w:hyperlink>
        </w:p>
        <w:p>
          <w:pPr>
            <w:pStyle w:val="TOC2"/>
            <w:tabs>
              <w:tab w:val="clear" w:pos="10224"/>
              <w:tab w:val="right" w:pos="10223" w:leader="dot"/>
            </w:tabs>
            <w:rPr/>
          </w:pPr>
          <w:hyperlink w:anchor="__RefHeading___Toc6471_239329132" w:tooltip="9.1 Mapping-Pack Architecture and JSON Files">
            <w:r>
              <w:rPr>
                <w:rStyle w:val="IndexLink"/>
              </w:rPr>
              <w:t>9.1 Mapping-Pack Architecture and JSON Files</w:t>
              <w:tab/>
              <w:t>11</w:t>
            </w:r>
          </w:hyperlink>
        </w:p>
        <w:p>
          <w:pPr>
            <w:pStyle w:val="TOC1"/>
            <w:tabs>
              <w:tab w:val="clear" w:pos="10224"/>
              <w:tab w:val="right" w:pos="10223" w:leader="dot"/>
            </w:tabs>
            <w:rPr/>
          </w:pPr>
          <w:hyperlink w:anchor="__RefHeading___Toc6477_239329132" w:tooltip="10. Data-Aware Conversion and LiveBindings">
            <w:r>
              <w:rPr>
                <w:rStyle w:val="IndexLink"/>
              </w:rPr>
              <w:t>10. Data-Aware Conversion and LiveBindings</w:t>
              <w:tab/>
              <w:t>14</w:t>
            </w:r>
          </w:hyperlink>
        </w:p>
        <w:p>
          <w:pPr>
            <w:pStyle w:val="TOC2"/>
            <w:tabs>
              <w:tab w:val="clear" w:pos="10224"/>
              <w:tab w:val="right" w:pos="10223" w:leader="dot"/>
            </w:tabs>
            <w:rPr/>
          </w:pPr>
          <w:hyperlink w:anchor="__RefHeading___Toc6479_239329132" w:tooltip="10.1 Current Binding Relationship">
            <w:r>
              <w:rPr>
                <w:rStyle w:val="IndexLink"/>
              </w:rPr>
              <w:t>10.1 Current Binding Relationship</w:t>
              <w:tab/>
              <w:t>14</w:t>
            </w:r>
          </w:hyperlink>
        </w:p>
        <w:p>
          <w:pPr>
            <w:pStyle w:val="TOC2"/>
            <w:tabs>
              <w:tab w:val="clear" w:pos="10224"/>
              <w:tab w:val="right" w:pos="10223" w:leader="dot"/>
            </w:tabs>
            <w:rPr/>
          </w:pPr>
          <w:hyperlink w:anchor="__RefHeading___Toc6481_239329132" w:tooltip="10.2 Current Preferred Binding Model">
            <w:r>
              <w:rPr>
                <w:rStyle w:val="IndexLink"/>
              </w:rPr>
              <w:t>10.2 Current Preferred Binding Model</w:t>
              <w:tab/>
              <w:t>14</w:t>
            </w:r>
          </w:hyperlink>
        </w:p>
        <w:p>
          <w:pPr>
            <w:pStyle w:val="TOC2"/>
            <w:tabs>
              <w:tab w:val="clear" w:pos="10224"/>
              <w:tab w:val="right" w:pos="10223" w:leader="dot"/>
            </w:tabs>
            <w:rPr/>
          </w:pPr>
          <w:hyperlink w:anchor="__RefHeading___Toc6483_239329132" w:tooltip="10.3 Why the Grid Needed Special Handling">
            <w:r>
              <w:rPr>
                <w:rStyle w:val="IndexLink"/>
              </w:rPr>
              <w:t>10.3 Why the Grid Needed Special Handling</w:t>
              <w:tab/>
              <w:t>14</w:t>
            </w:r>
          </w:hyperlink>
        </w:p>
        <w:p>
          <w:pPr>
            <w:pStyle w:val="TOC2"/>
            <w:tabs>
              <w:tab w:val="clear" w:pos="10224"/>
              <w:tab w:val="right" w:pos="10223" w:leader="dot"/>
            </w:tabs>
            <w:rPr/>
          </w:pPr>
          <w:hyperlink w:anchor="__RefHeading___Toc6485_239329132" w:tooltip="10.4 Column Preservation">
            <w:r>
              <w:rPr>
                <w:rStyle w:val="IndexLink"/>
              </w:rPr>
              <w:t>10.4 Column Preservation</w:t>
              <w:tab/>
              <w:t>14</w:t>
            </w:r>
          </w:hyperlink>
        </w:p>
        <w:p>
          <w:pPr>
            <w:pStyle w:val="TOC1"/>
            <w:tabs>
              <w:tab w:val="clear" w:pos="10224"/>
              <w:tab w:val="right" w:pos="10223" w:leader="dot"/>
            </w:tabs>
            <w:rPr/>
          </w:pPr>
          <w:hyperlink w:anchor="__RefHeading___Toc6487_239329132" w:tooltip="11. Special-Case Conversion Modules">
            <w:r>
              <w:rPr>
                <w:rStyle w:val="IndexLink"/>
              </w:rPr>
              <w:t>11. Special-Case Conversion Modules</w:t>
              <w:tab/>
              <w:t>14</w:t>
            </w:r>
          </w:hyperlink>
        </w:p>
        <w:p>
          <w:pPr>
            <w:pStyle w:val="TOC1"/>
            <w:tabs>
              <w:tab w:val="clear" w:pos="10224"/>
              <w:tab w:val="right" w:pos="10223" w:leader="dot"/>
            </w:tabs>
            <w:rPr/>
          </w:pPr>
          <w:hyperlink w:anchor="__RefHeading___Toc6489_239329132" w:tooltip="12. Project Generation and Output Artifacts">
            <w:r>
              <w:rPr>
                <w:rStyle w:val="IndexLink"/>
              </w:rPr>
              <w:t>12. Project Generation and Output Artifacts</w:t>
              <w:tab/>
              <w:t>15</w:t>
            </w:r>
          </w:hyperlink>
        </w:p>
        <w:p>
          <w:pPr>
            <w:pStyle w:val="TOC1"/>
            <w:tabs>
              <w:tab w:val="clear" w:pos="10224"/>
              <w:tab w:val="right" w:pos="10223" w:leader="dot"/>
            </w:tabs>
            <w:rPr/>
          </w:pPr>
          <w:hyperlink w:anchor="__RefHeading___Toc6491_239329132" w:tooltip="13. Validation, Maintenance, and Enhancement Guidance">
            <w:r>
              <w:rPr>
                <w:rStyle w:val="IndexLink"/>
              </w:rPr>
              <w:t>13. Validation, Maintenance, and Enhancement Guidance</w:t>
              <w:tab/>
              <w:t>15</w:t>
            </w:r>
          </w:hyperlink>
        </w:p>
        <w:p>
          <w:pPr>
            <w:pStyle w:val="TOC2"/>
            <w:tabs>
              <w:tab w:val="clear" w:pos="10224"/>
              <w:tab w:val="right" w:pos="10223" w:leader="dot"/>
            </w:tabs>
            <w:rPr/>
          </w:pPr>
          <w:hyperlink w:anchor="__RefHeading___Toc6493_239329132" w:tooltip="13.1 Conversion Contract System for v7.0">
            <w:r>
              <w:rPr>
                <w:rStyle w:val="IndexLink"/>
              </w:rPr>
              <w:t>13.1 Conversion Contract System for v7.0</w:t>
              <w:tab/>
              <w:t>16</w:t>
            </w:r>
          </w:hyperlink>
        </w:p>
        <w:p>
          <w:pPr>
            <w:pStyle w:val="TOC1"/>
            <w:tabs>
              <w:tab w:val="clear" w:pos="10224"/>
              <w:tab w:val="right" w:pos="10223" w:leader="dot"/>
            </w:tabs>
            <w:rPr/>
          </w:pPr>
          <w:hyperlink w:anchor="__RefHeading___Toc6495_239329132" w:tooltip="14. Unit-by-Unit Technical Reference">
            <w:r>
              <w:rPr>
                <w:rStyle w:val="IndexLink"/>
              </w:rPr>
              <w:t>14. Unit-by-Unit Technical Reference</w:t>
              <w:tab/>
              <w:t>16</w:t>
            </w:r>
          </w:hyperlink>
        </w:p>
        <w:p>
          <w:pPr>
            <w:pStyle w:val="TOC2"/>
            <w:tabs>
              <w:tab w:val="clear" w:pos="10224"/>
              <w:tab w:val="right" w:pos="10223" w:leader="dot"/>
            </w:tabs>
            <w:rPr/>
          </w:pPr>
          <w:hyperlink w:anchor="__RefHeading___Toc6497_239329132" w:tooltip="14.1 Converter.Core.Types.pas">
            <w:r>
              <w:rPr>
                <w:rStyle w:val="IndexLink"/>
              </w:rPr>
              <w:t>14.1 Converter.Core.Types.pas</w:t>
              <w:tab/>
              <w:t>17</w:t>
            </w:r>
          </w:hyperlink>
        </w:p>
        <w:p>
          <w:pPr>
            <w:pStyle w:val="TOC2"/>
            <w:tabs>
              <w:tab w:val="clear" w:pos="10224"/>
              <w:tab w:val="right" w:pos="10223" w:leader="dot"/>
            </w:tabs>
            <w:rPr/>
          </w:pPr>
          <w:hyperlink w:anchor="__RefHeading___Toc6499_239329132" w:tooltip="14.2 Converter.Core.Engine.pas">
            <w:r>
              <w:rPr>
                <w:rStyle w:val="IndexLink"/>
              </w:rPr>
              <w:t>14.2 Converter.Core.Engine.pas</w:t>
              <w:tab/>
              <w:t>17</w:t>
            </w:r>
          </w:hyperlink>
        </w:p>
        <w:p>
          <w:pPr>
            <w:pStyle w:val="TOC2"/>
            <w:tabs>
              <w:tab w:val="clear" w:pos="10224"/>
              <w:tab w:val="right" w:pos="10223" w:leader="dot"/>
            </w:tabs>
            <w:rPr/>
          </w:pPr>
          <w:hyperlink w:anchor="__RefHeading___Toc6501_239329132" w:tooltip="14.3 Converter.Core.FileManager.pas">
            <w:r>
              <w:rPr>
                <w:rStyle w:val="IndexLink"/>
              </w:rPr>
              <w:t>14.3 Converter.Core.FileManager.pas</w:t>
              <w:tab/>
              <w:t>18</w:t>
            </w:r>
          </w:hyperlink>
        </w:p>
        <w:p>
          <w:pPr>
            <w:pStyle w:val="TOC2"/>
            <w:tabs>
              <w:tab w:val="clear" w:pos="10224"/>
              <w:tab w:val="right" w:pos="10223" w:leader="dot"/>
            </w:tabs>
            <w:rPr/>
          </w:pPr>
          <w:hyperlink w:anchor="__RefHeading___Toc6503_239329132" w:tooltip="14.4 Converter.Parser.Pascal.pas">
            <w:r>
              <w:rPr>
                <w:rStyle w:val="IndexLink"/>
              </w:rPr>
              <w:t>14.4 Converter.Parser.Pascal.pas</w:t>
              <w:tab/>
              <w:t>18</w:t>
            </w:r>
          </w:hyperlink>
        </w:p>
        <w:p>
          <w:pPr>
            <w:pStyle w:val="TOC2"/>
            <w:tabs>
              <w:tab w:val="clear" w:pos="10224"/>
              <w:tab w:val="right" w:pos="10223" w:leader="dot"/>
            </w:tabs>
            <w:rPr/>
          </w:pPr>
          <w:hyperlink w:anchor="__RefHeading___Toc6505_239329132" w:tooltip="14.5 Converter.Parser.DFM.pas">
            <w:r>
              <w:rPr>
                <w:rStyle w:val="IndexLink"/>
              </w:rPr>
              <w:t>14.5 Converter.Parser.DFM.pas</w:t>
              <w:tab/>
              <w:t>18</w:t>
            </w:r>
          </w:hyperlink>
        </w:p>
        <w:p>
          <w:pPr>
            <w:pStyle w:val="TOC2"/>
            <w:tabs>
              <w:tab w:val="clear" w:pos="10224"/>
              <w:tab w:val="right" w:pos="10223" w:leader="dot"/>
            </w:tabs>
            <w:rPr/>
          </w:pPr>
          <w:hyperlink w:anchor="__RefHeading___Toc6507_239329132" w:tooltip="14.6 Converter.Mapper.Component.pas">
            <w:r>
              <w:rPr>
                <w:rStyle w:val="IndexLink"/>
              </w:rPr>
              <w:t>14.6 Converter.Mapper.Component.pas</w:t>
              <w:tab/>
              <w:t>19</w:t>
            </w:r>
          </w:hyperlink>
        </w:p>
        <w:p>
          <w:pPr>
            <w:pStyle w:val="TOC2"/>
            <w:tabs>
              <w:tab w:val="clear" w:pos="10224"/>
              <w:tab w:val="right" w:pos="10223" w:leader="dot"/>
            </w:tabs>
            <w:rPr/>
          </w:pPr>
          <w:hyperlink w:anchor="__RefHeading___Toc6509_239329132" w:tooltip="14.7 Converter.Core.Integration.pas">
            <w:r>
              <w:rPr>
                <w:rStyle w:val="IndexLink"/>
              </w:rPr>
              <w:t>14.7 Converter.Core.Integration.pas</w:t>
              <w:tab/>
              <w:t>20</w:t>
            </w:r>
          </w:hyperlink>
        </w:p>
        <w:p>
          <w:pPr>
            <w:pStyle w:val="TOC2"/>
            <w:tabs>
              <w:tab w:val="clear" w:pos="10224"/>
              <w:tab w:val="right" w:pos="10223" w:leader="dot"/>
            </w:tabs>
            <w:rPr/>
          </w:pPr>
          <w:hyperlink w:anchor="__RefHeading___Toc6511_239329132" w:tooltip="14.8 Converter.Advanced.DataAware.pas">
            <w:r>
              <w:rPr>
                <w:rStyle w:val="IndexLink"/>
              </w:rPr>
              <w:t>14.8 Converter.Advanced.DataAware.pas</w:t>
              <w:tab/>
              <w:t>20</w:t>
            </w:r>
          </w:hyperlink>
        </w:p>
        <w:p>
          <w:pPr>
            <w:pStyle w:val="TOC2"/>
            <w:tabs>
              <w:tab w:val="clear" w:pos="10224"/>
              <w:tab w:val="right" w:pos="10223" w:leader="dot"/>
            </w:tabs>
            <w:rPr/>
          </w:pPr>
          <w:hyperlink w:anchor="__RefHeading___Toc6513_239329132" w:tooltip="14.9 Converter.Advanced.WinAPI.pas">
            <w:r>
              <w:rPr>
                <w:rStyle w:val="IndexLink"/>
              </w:rPr>
              <w:t>14.9 Converter.Advanced.WinAPI.pas</w:t>
              <w:tab/>
              <w:t>21</w:t>
            </w:r>
          </w:hyperlink>
        </w:p>
        <w:p>
          <w:pPr>
            <w:pStyle w:val="TOC2"/>
            <w:tabs>
              <w:tab w:val="clear" w:pos="10224"/>
              <w:tab w:val="right" w:pos="10223" w:leader="dot"/>
            </w:tabs>
            <w:rPr/>
          </w:pPr>
          <w:hyperlink w:anchor="__RefHeading___Toc6515_239329132" w:tooltip="14.10 Converter.Advanced.CriticalAreas.pas">
            <w:r>
              <w:rPr>
                <w:rStyle w:val="IndexLink"/>
              </w:rPr>
              <w:t>14.10 Converter.Advanced.CriticalAreas.pas</w:t>
              <w:tab/>
              <w:t>21</w:t>
            </w:r>
          </w:hyperlink>
        </w:p>
        <w:p>
          <w:pPr>
            <w:pStyle w:val="TOC2"/>
            <w:tabs>
              <w:tab w:val="clear" w:pos="10224"/>
              <w:tab w:val="right" w:pos="10223" w:leader="dot"/>
            </w:tabs>
            <w:rPr/>
          </w:pPr>
          <w:hyperlink w:anchor="__RefHeading___Toc6517_239329132" w:tooltip="14.11 Converter.Advanced.ThirdParty.pas">
            <w:r>
              <w:rPr>
                <w:rStyle w:val="IndexLink"/>
              </w:rPr>
              <w:t>14.11 Converter.Advanced.ThirdParty.pas</w:t>
              <w:tab/>
              <w:t>22</w:t>
            </w:r>
          </w:hyperlink>
        </w:p>
        <w:p>
          <w:pPr>
            <w:pStyle w:val="TOC2"/>
            <w:tabs>
              <w:tab w:val="clear" w:pos="10224"/>
              <w:tab w:val="right" w:pos="10223" w:leader="dot"/>
            </w:tabs>
            <w:rPr/>
          </w:pPr>
          <w:hyperlink w:anchor="__RefHeading___Toc6519_239329132" w:tooltip="14.12 Converter.Project.Generator.pas">
            <w:r>
              <w:rPr>
                <w:rStyle w:val="IndexLink"/>
              </w:rPr>
              <w:t>14.12 Converter.Project.Generator.pas</w:t>
              <w:tab/>
              <w:t>22</w:t>
            </w:r>
          </w:hyperlink>
        </w:p>
        <w:p>
          <w:pPr>
            <w:pStyle w:val="TOC1"/>
            <w:tabs>
              <w:tab w:val="clear" w:pos="10224"/>
              <w:tab w:val="right" w:pos="10223" w:leader="dot"/>
            </w:tabs>
            <w:rPr/>
          </w:pPr>
          <w:hyperlink w:anchor="__RefHeading___Toc6521_239329132" w:tooltip="15. Windows Messaging: Architecture and Implementation">
            <w:r>
              <w:rPr>
                <w:rStyle w:val="IndexLink"/>
              </w:rPr>
              <w:t>15. Windows Messaging: Architecture and Implementation</w:t>
              <w:tab/>
              <w:t>23</w:t>
            </w:r>
          </w:hyperlink>
        </w:p>
        <w:p>
          <w:pPr>
            <w:pStyle w:val="TOC2"/>
            <w:tabs>
              <w:tab w:val="clear" w:pos="10224"/>
              <w:tab w:val="right" w:pos="10223" w:leader="dot"/>
            </w:tabs>
            <w:rPr/>
          </w:pPr>
          <w:hyperlink w:anchor="__RefHeading___Toc6523_239329132" w:tooltip="15.1 Background: Why VCL Messaging Cannot Be Ported Directly">
            <w:r>
              <w:rPr>
                <w:rStyle w:val="IndexLink"/>
              </w:rPr>
              <w:t>15.1 Background: Why VCL Messaging Cannot Be Ported Directly</w:t>
              <w:tab/>
              <w:t>23</w:t>
            </w:r>
          </w:hyperlink>
        </w:p>
        <w:p>
          <w:pPr>
            <w:pStyle w:val="TOC2"/>
            <w:tabs>
              <w:tab w:val="clear" w:pos="10224"/>
              <w:tab w:val="right" w:pos="10223" w:leader="dot"/>
            </w:tabs>
            <w:rPr/>
          </w:pPr>
          <w:hyperlink w:anchor="__RefHeading___Toc6525_239329132" w:tooltip="15.2 Detection Model: Three Tiers">
            <w:r>
              <w:rPr>
                <w:rStyle w:val="IndexLink"/>
              </w:rPr>
              <w:t>15.2 Detection Model: Three Tiers</w:t>
              <w:tab/>
              <w:t>23</w:t>
            </w:r>
          </w:hyperlink>
        </w:p>
        <w:p>
          <w:pPr>
            <w:pStyle w:val="TOC2"/>
            <w:tabs>
              <w:tab w:val="clear" w:pos="10224"/>
              <w:tab w:val="right" w:pos="10223" w:leader="dot"/>
            </w:tabs>
            <w:rPr/>
          </w:pPr>
          <w:hyperlink w:anchor="__RefHeading___Toc6533_239329132" w:tooltip="15.3 ConvertMessageAPI — WinAPI Layer (Converter.Advanced.WinAPI)">
            <w:r>
              <w:rPr>
                <w:rStyle w:val="IndexLink"/>
              </w:rPr>
              <w:t>15.3 ConvertMessageAPI — WinAPI Layer (Converter.Advanced.WinAPI)</w:t>
              <w:tab/>
              <w:t>24</w:t>
            </w:r>
          </w:hyperlink>
        </w:p>
        <w:p>
          <w:pPr>
            <w:pStyle w:val="TOC2"/>
            <w:tabs>
              <w:tab w:val="clear" w:pos="10224"/>
              <w:tab w:val="right" w:pos="10223" w:leader="dot"/>
            </w:tabs>
            <w:rPr/>
          </w:pPr>
          <w:hyperlink w:anchor="__RefHeading___Toc6535_239329132" w:tooltip="15.4 System.Messaging Uses Clause Injection (Converter.Rewrite.UsesClause)">
            <w:r>
              <w:rPr>
                <w:rStyle w:val="IndexLink"/>
              </w:rPr>
              <w:t>15.4 System.Messaging Uses Clause Injection (Converter.Rewrite.UsesClause)</w:t>
              <w:tab/>
              <w:t>25</w:t>
            </w:r>
          </w:hyperlink>
        </w:p>
        <w:p>
          <w:pPr>
            <w:pStyle w:val="TOC2"/>
            <w:tabs>
              <w:tab w:val="clear" w:pos="10224"/>
              <w:tab w:val="right" w:pos="10223" w:leader="dot"/>
            </w:tabs>
            <w:rPr/>
          </w:pPr>
          <w:hyperlink w:anchor="__RefHeading___Toc6537_239329132" w:tooltip="15.5 FMXMessageBridge Infrastructure (Converter.Project.Generator)">
            <w:r>
              <w:rPr>
                <w:rStyle w:val="IndexLink"/>
              </w:rPr>
              <w:t>15.5 FMXMessageBridge Infrastructure (Converter.Project.Generator)</w:t>
              <w:tab/>
              <w:t>25</w:t>
            </w:r>
          </w:hyperlink>
        </w:p>
        <w:p>
          <w:pPr>
            <w:pStyle w:val="TOC2"/>
            <w:tabs>
              <w:tab w:val="clear" w:pos="10224"/>
              <w:tab w:val="right" w:pos="10223" w:leader="dot"/>
            </w:tabs>
            <w:rPr/>
          </w:pPr>
          <w:hyperlink w:anchor="__RefHeading___Toc6545_239329132" w:tooltip="15.6 Files Modified in v7.0">
            <w:r>
              <w:rPr>
                <w:rStyle w:val="IndexLink"/>
              </w:rPr>
              <w:t>15.6 Files Modified in v7.0</w:t>
              <w:tab/>
              <w:t>26</w:t>
            </w:r>
          </w:hyperlink>
        </w:p>
        <w:p>
          <w:pPr>
            <w:pStyle w:val="TOC2"/>
            <w:tabs>
              <w:tab w:val="clear" w:pos="10224"/>
              <w:tab w:val="right" w:pos="10223" w:leader="dot"/>
            </w:tabs>
            <w:rPr/>
          </w:pPr>
          <w:hyperlink w:anchor="__RefHeading___Toc6547_239329132" w:tooltip="15.7 Regression-Protected Areas">
            <w:r>
              <w:rPr>
                <w:rStyle w:val="IndexLink"/>
              </w:rPr>
              <w:t>15.7 Regression-Protected Areas</w:t>
              <w:tab/>
              <w:t>27</w:t>
            </w:r>
          </w:hyperlink>
        </w:p>
        <w:p>
          <w:pPr>
            <w:pStyle w:val="TOC2"/>
            <w:tabs>
              <w:tab w:val="clear" w:pos="10224"/>
              <w:tab w:val="right" w:pos="10223" w:leader="dot"/>
            </w:tabs>
            <w:rPr/>
          </w:pPr>
          <w:hyperlink w:anchor="__RefHeading___Toc6549_239329132" w:tooltip="15.8 Known Limitations and Future Work">
            <w:r>
              <w:rPr>
                <w:rStyle w:val="IndexLink"/>
              </w:rPr>
              <w:t>15.8 Known Limitations and Future Work</w:t>
              <w:tab/>
              <w:t>27</w:t>
            </w:r>
          </w:hyperlink>
        </w:p>
        <w:p>
          <w:pPr>
            <w:pStyle w:val="TOC1"/>
            <w:tabs>
              <w:tab w:val="clear" w:pos="10224"/>
              <w:tab w:val="right" w:pos="10223" w:leader="dot"/>
            </w:tabs>
            <w:rPr/>
          </w:pPr>
          <w:hyperlink w:anchor="__RefHeading___Toc6555_239329132" w:tooltip="Appendix A. File Inventory">
            <w:r>
              <w:rPr>
                <w:rStyle w:val="IndexLink"/>
              </w:rPr>
              <w:t>Appendix A. File Inventory</w:t>
              <w:tab/>
              <w:t>28</w:t>
            </w:r>
          </w:hyperlink>
        </w:p>
        <w:p>
          <w:pPr>
            <w:pStyle w:val="TOC1"/>
            <w:tabs>
              <w:tab w:val="clear" w:pos="10224"/>
              <w:tab w:val="right" w:pos="10223" w:leader="dot"/>
            </w:tabs>
            <w:rPr/>
          </w:pPr>
          <w:hyperlink w:anchor="__RefHeading___Toc6557_239329132" w:tooltip="Appendix B. Operational Checklists">
            <w:r>
              <w:rPr>
                <w:rStyle w:val="IndexLink"/>
              </w:rPr>
              <w:t>Appendix B. Operational Checklists</w:t>
              <w:tab/>
              <w:t>28</w:t>
            </w:r>
          </w:hyperlink>
        </w:p>
        <w:p>
          <w:pPr>
            <w:pStyle w:val="TOC2"/>
            <w:tabs>
              <w:tab w:val="clear" w:pos="10224"/>
              <w:tab w:val="right" w:pos="10223" w:leader="dot"/>
            </w:tabs>
            <w:rPr/>
          </w:pPr>
          <w:hyperlink w:anchor="__RefHeading___Toc6559_239329132" w:tooltip="Before Editing Converter Logic">
            <w:r>
              <w:rPr>
                <w:rStyle w:val="IndexLink"/>
              </w:rPr>
              <w:t>Before Editing Converter Logic</w:t>
              <w:tab/>
              <w:t>28</w:t>
            </w:r>
          </w:hyperlink>
        </w:p>
        <w:p>
          <w:pPr>
            <w:pStyle w:val="TOC2"/>
            <w:tabs>
              <w:tab w:val="clear" w:pos="10224"/>
              <w:tab w:val="right" w:pos="10223" w:leader="dot"/>
            </w:tabs>
            <w:rPr/>
          </w:pPr>
          <w:hyperlink w:anchor="__RefHeading___Toc6561_239329132" w:tooltip="Before Declaring a Fix Complete">
            <w:r>
              <w:rPr>
                <w:rStyle w:val="IndexLink"/>
              </w:rPr>
              <w:t>Before Declaring a Fix Complete</w:t>
              <w:tab/>
              <w:t>28</w:t>
            </w:r>
          </w:hyperlink>
        </w:p>
        <w:p>
          <w:pPr>
            <w:pStyle w:val="TOC1"/>
            <w:tabs>
              <w:tab w:val="clear" w:pos="10224"/>
              <w:tab w:val="right" w:pos="10223" w:leader="dot"/>
            </w:tabs>
            <w:rPr/>
          </w:pPr>
          <w:hyperlink w:anchor="__RefHeading___Toc6563_239329132" w:tooltip="Appendix C. Current Limitations and Forward Work">
            <w:r>
              <w:rPr>
                <w:rStyle w:val="IndexLink"/>
              </w:rPr>
              <w:t>Appendix C. Current Limitations and Forward Work</w:t>
              <w:tab/>
              <w:t>29</w:t>
            </w:r>
          </w:hyperlink>
        </w:p>
        <w:p>
          <w:pPr>
            <w:pStyle w:val="TOC1"/>
            <w:tabs>
              <w:tab w:val="clear" w:pos="10224"/>
              <w:tab w:val="right" w:pos="10223" w:leader="dot"/>
            </w:tabs>
            <w:rPr/>
          </w:pPr>
          <w:hyperlink w:anchor="__RefHeading___Toc6565_239329132" w:tooltip="Appendix D. Making Code Changes Using Codex">
            <w:r>
              <w:rPr>
                <w:rStyle w:val="IndexLink"/>
              </w:rPr>
              <w:t>Appendix D. Making Code Changes Using Codex</w:t>
              <w:tab/>
              <w:t>29</w:t>
            </w:r>
          </w:hyperlink>
        </w:p>
        <w:p>
          <w:pPr>
            <w:pStyle w:val="TOC2"/>
            <w:tabs>
              <w:tab w:val="clear" w:pos="10224"/>
              <w:tab w:val="right" w:pos="10223" w:leader="dot"/>
            </w:tabs>
            <w:rPr/>
          </w:pPr>
          <w:hyperlink w:anchor="__RefHeading___Toc6567_239329132" w:tooltip="Overview">
            <w:r>
              <w:rPr>
                <w:rStyle w:val="IndexLink"/>
              </w:rPr>
              <w:t>Overview</w:t>
              <w:tab/>
              <w:t>29</w:t>
            </w:r>
          </w:hyperlink>
        </w:p>
        <w:p>
          <w:pPr>
            <w:pStyle w:val="TOC2"/>
            <w:tabs>
              <w:tab w:val="clear" w:pos="10224"/>
              <w:tab w:val="right" w:pos="10223" w:leader="dot"/>
            </w:tabs>
            <w:rPr/>
          </w:pPr>
          <w:hyperlink w:anchor="__RefHeading___Toc6569_239329132" w:tooltip="Operational Model">
            <w:r>
              <w:rPr>
                <w:rStyle w:val="IndexLink"/>
              </w:rPr>
              <w:t>Operational Model</w:t>
              <w:tab/>
              <w:t>29</w:t>
            </w:r>
          </w:hyperlink>
        </w:p>
        <w:p>
          <w:pPr>
            <w:pStyle w:val="TOC2"/>
            <w:tabs>
              <w:tab w:val="clear" w:pos="10224"/>
              <w:tab w:val="right" w:pos="10223" w:leader="dot"/>
            </w:tabs>
            <w:rPr/>
          </w:pPr>
          <w:hyperlink w:anchor="__RefHeading___Toc6571_239329132" w:tooltip="Connection To The Developer Environment">
            <w:r>
              <w:rPr>
                <w:rStyle w:val="IndexLink"/>
              </w:rPr>
              <w:t>Connection To The Developer Environment</w:t>
              <w:tab/>
              <w:t>30</w:t>
            </w:r>
          </w:hyperlink>
        </w:p>
        <w:p>
          <w:pPr>
            <w:pStyle w:val="TOC2"/>
            <w:tabs>
              <w:tab w:val="clear" w:pos="10224"/>
              <w:tab w:val="right" w:pos="10223" w:leader="dot"/>
            </w:tabs>
            <w:rPr/>
          </w:pPr>
          <w:hyperlink w:anchor="__RefHeading___Toc6573_239329132" w:tooltip="What Codex Can Place On The Computer">
            <w:r>
              <w:rPr>
                <w:rStyle w:val="IndexLink"/>
              </w:rPr>
              <w:t>What Codex Can Place On The Computer</w:t>
              <w:tab/>
              <w:t>30</w:t>
            </w:r>
          </w:hyperlink>
        </w:p>
        <w:p>
          <w:pPr>
            <w:pStyle w:val="TOC2"/>
            <w:tabs>
              <w:tab w:val="clear" w:pos="10224"/>
              <w:tab w:val="right" w:pos="10223" w:leader="dot"/>
            </w:tabs>
            <w:rPr/>
          </w:pPr>
          <w:hyperlink w:anchor="__RefHeading___Toc6575_239329132" w:tooltip="What Codex May Store Or Rely On">
            <w:r>
              <w:rPr>
                <w:rStyle w:val="IndexLink"/>
              </w:rPr>
              <w:t>What Codex May Store Or Rely On</w:t>
              <w:tab/>
              <w:t>30</w:t>
            </w:r>
          </w:hyperlink>
        </w:p>
        <w:p>
          <w:pPr>
            <w:pStyle w:val="TOC2"/>
            <w:tabs>
              <w:tab w:val="clear" w:pos="10224"/>
              <w:tab w:val="right" w:pos="10223" w:leader="dot"/>
            </w:tabs>
            <w:rPr/>
          </w:pPr>
          <w:hyperlink w:anchor="__RefHeading___Toc6579_239329132" w:tooltip="Effective Prompting Guidance">
            <w:r>
              <w:rPr>
                <w:rStyle w:val="IndexLink"/>
              </w:rPr>
              <w:t>Effective Prompting Guidance</w:t>
              <w:tab/>
              <w:t>31</w:t>
            </w:r>
          </w:hyperlink>
        </w:p>
        <w:p>
          <w:pPr>
            <w:pStyle w:val="TOC2"/>
            <w:tabs>
              <w:tab w:val="clear" w:pos="10224"/>
              <w:tab w:val="right" w:pos="10223" w:leader="dot"/>
            </w:tabs>
            <w:rPr/>
          </w:pPr>
          <w:hyperlink w:anchor="__RefHeading___Toc6581_239329132" w:tooltip="What Developers Should Tell Codex">
            <w:r>
              <w:rPr>
                <w:rStyle w:val="IndexLink"/>
              </w:rPr>
              <w:t>What Developers Should Tell Codex</w:t>
              <w:tab/>
              <w:t>31</w:t>
            </w:r>
          </w:hyperlink>
        </w:p>
        <w:p>
          <w:pPr>
            <w:pStyle w:val="TOC2"/>
            <w:tabs>
              <w:tab w:val="clear" w:pos="10224"/>
              <w:tab w:val="right" w:pos="10223" w:leader="dot"/>
            </w:tabs>
            <w:rPr/>
          </w:pPr>
          <w:hyperlink w:anchor="__RefHeading___Toc6583_239329132" w:tooltip="Capabilities">
            <w:r>
              <w:rPr>
                <w:rStyle w:val="IndexLink"/>
              </w:rPr>
              <w:t>Capabilities</w:t>
              <w:tab/>
              <w:t>32</w:t>
            </w:r>
          </w:hyperlink>
        </w:p>
        <w:p>
          <w:pPr>
            <w:pStyle w:val="TOC2"/>
            <w:tabs>
              <w:tab w:val="clear" w:pos="10224"/>
              <w:tab w:val="right" w:pos="10223" w:leader="dot"/>
            </w:tabs>
            <w:rPr/>
          </w:pPr>
          <w:hyperlink w:anchor="__RefHeading___Toc6585_239329132" w:tooltip="Limitations">
            <w:r>
              <w:rPr>
                <w:rStyle w:val="IndexLink"/>
              </w:rPr>
              <w:t>Limitations</w:t>
              <w:tab/>
              <w:t>32</w:t>
            </w:r>
          </w:hyperlink>
        </w:p>
        <w:p>
          <w:pPr>
            <w:pStyle w:val="TOC2"/>
            <w:tabs>
              <w:tab w:val="clear" w:pos="10224"/>
              <w:tab w:val="right" w:pos="10223" w:leader="dot"/>
            </w:tabs>
            <w:rPr/>
          </w:pPr>
          <w:hyperlink w:anchor="__RefHeading___Toc6587_239329132" w:tooltip="Risk Management Guidance">
            <w:r>
              <w:rPr>
                <w:rStyle w:val="IndexLink"/>
              </w:rPr>
              <w:t>Risk Management Guidance</w:t>
              <w:tab/>
              <w:t>32</w:t>
            </w:r>
          </w:hyperlink>
        </w:p>
        <w:p>
          <w:pPr>
            <w:pStyle w:val="TOC2"/>
            <w:tabs>
              <w:tab w:val="clear" w:pos="10224"/>
              <w:tab w:val="right" w:pos="10223" w:leader="dot"/>
            </w:tabs>
            <w:rPr/>
          </w:pPr>
          <w:hyperlink w:anchor="__RefHeading___Toc6589_239329132" w:tooltip="Security And Privacy Considerations">
            <w:r>
              <w:rPr>
                <w:rStyle w:val="IndexLink"/>
              </w:rPr>
              <w:t>Security And Privacy Considerations</w:t>
              <w:tab/>
              <w:t>33</w:t>
            </w:r>
          </w:hyperlink>
        </w:p>
        <w:p>
          <w:pPr>
            <w:pStyle w:val="TOC2"/>
            <w:tabs>
              <w:tab w:val="clear" w:pos="10224"/>
              <w:tab w:val="right" w:pos="10223" w:leader="dot"/>
            </w:tabs>
            <w:rPr/>
          </w:pPr>
          <w:hyperlink w:anchor="__RefHeading___Toc6591_239329132" w:tooltip="Bottom Line">
            <w:r>
              <w:rPr>
                <w:rStyle w:val="IndexLink"/>
              </w:rPr>
              <w:t>Bottom Line</w:t>
              <w:tab/>
              <w:t>33</w:t>
            </w:r>
          </w:hyperlink>
        </w:p>
        <w:p>
          <w:pPr>
            <w:pStyle w:val="TOC1"/>
            <w:tabs>
              <w:tab w:val="clear" w:pos="10224"/>
              <w:tab w:val="right" w:pos="10223" w:leader="dot"/>
            </w:tabs>
            <w:rPr/>
          </w:pPr>
          <w:hyperlink w:anchor="__RefHeading___Toc6593_239329132" w:tooltip="Index">
            <w:r>
              <w:rPr>
                <w:rStyle w:val="IndexLink"/>
              </w:rPr>
              <w:t>Index</w:t>
              <w:tab/>
              <w:t>33</w:t>
            </w:r>
          </w:hyperlink>
        </w:p>
        <w:p>
          <w:pPr>
            <w:pStyle w:val="TOC1"/>
            <w:tabs>
              <w:tab w:val="clear" w:pos="10224"/>
              <w:tab w:val="right" w:pos="10223" w:leader="dot"/>
            </w:tabs>
            <w:rPr/>
          </w:pPr>
          <w:hyperlink w:anchor="__RefHeading___Toc6717_1927610595" w:tooltip="Inherited maintenance changes">
            <w:r>
              <w:rPr>
                <w:rStyle w:val="IndexLink"/>
              </w:rPr>
              <w:t>Inherited maintenance changes</w:t>
              <w:tab/>
              <w:t>34</w:t>
            </w:r>
          </w:hyperlink>
        </w:p>
        <w:p>
          <w:pPr>
            <w:pStyle w:val="TOC1"/>
            <w:tabs>
              <w:tab w:val="clear" w:pos="10224"/>
              <w:tab w:val="right" w:pos="10223" w:leader="dot"/>
            </w:tabs>
            <w:rPr/>
          </w:pPr>
          <w:hyperlink w:anchor="__RefHeading___Toc6597_239329132" w:tooltip="Atlas V7.0">
            <w:r>
              <w:rPr>
                <w:rStyle w:val="IndexLink"/>
              </w:rPr>
              <w:t>Atlas V7.0</w:t>
              <w:tab/>
              <w:t>34</w:t>
            </w:r>
          </w:hyperlink>
        </w:p>
        <w:p>
          <w:pPr>
            <w:pStyle w:val="TOC2"/>
            <w:tabs>
              <w:tab w:val="clear" w:pos="10224"/>
              <w:tab w:val="right" w:pos="10223" w:leader="dot"/>
            </w:tabs>
            <w:rPr/>
          </w:pPr>
          <w:hyperlink w:anchor="__RefHeading___Toc6599_239329132" w:tooltip="Architecture completed through V7.0">
            <w:r>
              <w:rPr>
                <w:rStyle w:val="IndexLink"/>
              </w:rPr>
              <w:t>Architecture completed through V7.0</w:t>
              <w:tab/>
              <w:t>34</w:t>
            </w:r>
          </w:hyperlink>
        </w:p>
        <w:p>
          <w:pPr>
            <w:pStyle w:val="TOC2"/>
            <w:tabs>
              <w:tab w:val="clear" w:pos="10224"/>
              <w:tab w:val="right" w:pos="10223" w:leader="dot"/>
            </w:tabs>
            <w:rPr/>
          </w:pPr>
          <w:hyperlink w:anchor="__RefHeading___Toc6601_239329132" w:tooltip="Mapping-pack discipline">
            <w:r>
              <w:rPr>
                <w:rStyle w:val="IndexLink"/>
              </w:rPr>
              <w:t>Mapping-pack discipline</w:t>
              <w:tab/>
              <w:t>34</w:t>
            </w:r>
          </w:hyperlink>
        </w:p>
        <w:p>
          <w:pPr>
            <w:pStyle w:val="TOC2"/>
            <w:tabs>
              <w:tab w:val="clear" w:pos="10224"/>
              <w:tab w:val="right" w:pos="10223" w:leader="dot"/>
            </w:tabs>
            <w:rPr/>
          </w:pPr>
          <w:hyperlink w:anchor="__RefHeading___Toc6603_239329132" w:tooltip="Validation baseline">
            <w:r>
              <w:rPr>
                <w:rStyle w:val="IndexLink"/>
              </w:rPr>
              <w:t>Validation baseline</w:t>
              <w:tab/>
              <w:t>34</w:t>
            </w:r>
          </w:hyperlink>
        </w:p>
        <w:p>
          <w:pPr>
            <w:pStyle w:val="TOC2"/>
            <w:tabs>
              <w:tab w:val="clear" w:pos="10224"/>
              <w:tab w:val="right" w:pos="10223" w:leader="dot"/>
            </w:tabs>
            <w:rPr/>
          </w:pPr>
          <w:hyperlink w:anchor="__RefHeading___Toc6605_239329132" w:tooltip="V7.0 conversion corrections">
            <w:r>
              <w:rPr>
                <w:rStyle w:val="IndexLink"/>
              </w:rPr>
              <w:t>V7.0 conversion corrections</w:t>
              <w:tab/>
              <w:t>35</w:t>
            </w:r>
          </w:hyperlink>
        </w:p>
        <w:p>
          <w:pPr>
            <w:pStyle w:val="TOC1"/>
            <w:tabs>
              <w:tab w:val="clear" w:pos="10224"/>
              <w:tab w:val="right" w:pos="10223" w:leader="dot"/>
            </w:tabs>
            <w:rPr/>
          </w:pPr>
          <w:hyperlink w:anchor="__RefHeading___Toc6607_239329132" w:tooltip="V7 Atlas language support and operating safeguards">
            <w:r>
              <w:rPr>
                <w:rStyle w:val="IndexLink"/>
              </w:rPr>
              <w:t>V7 Atlas language support and operating safeguards</w:t>
              <w:tab/>
              <w:t>35</w:t>
            </w:r>
          </w:hyperlink>
        </w:p>
        <w:p>
          <w:pPr>
            <w:pStyle w:val="TOC2"/>
            <w:tabs>
              <w:tab w:val="clear" w:pos="10224"/>
              <w:tab w:val="right" w:pos="10223" w:leader="dot"/>
            </w:tabs>
            <w:rPr/>
          </w:pPr>
          <w:hyperlink w:anchor="__RefHeading___Toc6609_239329132" w:tooltip="Choosing a language">
            <w:r>
              <w:rPr>
                <w:rStyle w:val="IndexLink"/>
              </w:rPr>
              <w:t>Choosing a language</w:t>
              <w:tab/>
              <w:t>35</w:t>
            </w:r>
          </w:hyperlink>
        </w:p>
        <w:p>
          <w:pPr>
            <w:pStyle w:val="TOC2"/>
            <w:tabs>
              <w:tab w:val="clear" w:pos="10224"/>
              <w:tab w:val="right" w:pos="10223" w:leader="dot"/>
            </w:tabs>
            <w:rPr/>
          </w:pPr>
          <w:hyperlink w:anchor="__RefHeading___Toc6611_239329132" w:tooltip="Reading translated Help">
            <w:r>
              <w:rPr>
                <w:rStyle w:val="IndexLink"/>
              </w:rPr>
              <w:t>Reading translated Help</w:t>
              <w:tab/>
              <w:t>35</w:t>
            </w:r>
          </w:hyperlink>
        </w:p>
        <w:p>
          <w:pPr>
            <w:pStyle w:val="TOC2"/>
            <w:tabs>
              <w:tab w:val="clear" w:pos="10224"/>
              <w:tab w:val="right" w:pos="10223" w:leader="dot"/>
            </w:tabs>
            <w:rPr/>
          </w:pPr>
          <w:hyperlink w:anchor="__RefHeading___Toc6613_239329132" w:tooltip="Editing and adding translations">
            <w:r>
              <w:rPr>
                <w:rStyle w:val="IndexLink"/>
              </w:rPr>
              <w:t>Editing and adding translations</w:t>
              <w:tab/>
              <w:t>35</w:t>
            </w:r>
          </w:hyperlink>
        </w:p>
        <w:p>
          <w:pPr>
            <w:pStyle w:val="TOC2"/>
            <w:tabs>
              <w:tab w:val="clear" w:pos="10224"/>
              <w:tab w:val="right" w:pos="10223" w:leader="dot"/>
            </w:tabs>
            <w:rPr/>
          </w:pPr>
          <w:hyperlink w:anchor="__RefHeading___Toc6615_239329132" w:tooltip="Translation review">
            <w:r>
              <w:rPr>
                <w:rStyle w:val="IndexLink"/>
              </w:rPr>
              <w:t>Translation review</w:t>
              <w:tab/>
              <w:t>35</w:t>
            </w:r>
          </w:hyperlink>
        </w:p>
        <w:p>
          <w:pPr>
            <w:pStyle w:val="TOC2"/>
            <w:tabs>
              <w:tab w:val="clear" w:pos="10224"/>
              <w:tab w:val="right" w:pos="10223" w:leader="dot"/>
            </w:tabs>
            <w:rPr/>
          </w:pPr>
          <w:hyperlink w:anchor="__RefHeading___Toc6617_239329132" w:tooltip="Source and output checks">
            <w:r>
              <w:rPr>
                <w:rStyle w:val="IndexLink"/>
              </w:rPr>
              <w:t>Source and output checks</w:t>
              <w:tab/>
              <w:t>36</w:t>
            </w:r>
          </w:hyperlink>
        </w:p>
        <w:p>
          <w:pPr>
            <w:pStyle w:val="TOC2"/>
            <w:tabs>
              <w:tab w:val="clear" w:pos="10224"/>
              <w:tab w:val="right" w:pos="10223" w:leader="dot"/>
            </w:tabs>
            <w:rPr/>
          </w:pPr>
          <w:hyperlink w:anchor="__RefHeading___Toc6619_239329132" w:tooltip="Text encoding">
            <w:r>
              <w:rPr>
                <w:rStyle w:val="IndexLink"/>
              </w:rPr>
              <w:t>Text encoding</w:t>
              <w:tab/>
              <w:t>36</w:t>
            </w:r>
          </w:hyperlink>
        </w:p>
        <w:p>
          <w:pPr>
            <w:pStyle w:val="TOC2"/>
            <w:tabs>
              <w:tab w:val="clear" w:pos="10224"/>
              <w:tab w:val="right" w:pos="10223" w:leader="dot"/>
            </w:tabs>
            <w:rPr/>
          </w:pPr>
          <w:hyperlink w:anchor="__RefHeading___Toc6621_239329132" w:tooltip="Implementation responsibilities">
            <w:r>
              <w:rPr>
                <w:rStyle w:val="IndexLink"/>
              </w:rPr>
              <w:t>Implementation responsibilities</w:t>
              <w:tab/>
              <w:t>36</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Heading1"/>
        <w:spacing w:before="0" w:after="120"/>
        <w:rPr>
          <w:b w:val="false"/>
        </w:rPr>
      </w:pPr>
      <w:bookmarkStart w:id="0" w:name="__RefHeading___Toc6419_239329132"/>
      <w:bookmarkStart w:id="1" w:name="_Toc236592906"/>
      <w:bookmarkStart w:id="2" w:name="_Toc225758755"/>
      <w:bookmarkEnd w:id="0"/>
      <w:r>
        <w:rPr>
          <w:b w:val="false"/>
          <w:color w:val="000000"/>
        </w:rPr>
        <w:t>1. Introduction and Engineering Intent</w:t>
      </w:r>
      <w:bookmarkEnd w:id="1"/>
      <w:bookmarkEnd w:id="2"/>
    </w:p>
    <w:p>
      <w:pPr>
        <w:pStyle w:val="Normal"/>
        <w:pageBreakBefore w:val="false"/>
        <w:rPr/>
      </w:pPr>
      <w:r>
        <w:rPr/>
        <w:t>The VCL2FMXConverter is a migration tool for Delphi applications. Its purpose is to read an existing VCL-oriented codebase and emit a first-pass FireMonkey version that is as structurally valid, compilable, and reviewable as possible.</w:t>
      </w:r>
    </w:p>
    <w:p>
      <w:pPr>
        <w:pStyle w:val="Normal"/>
        <w:pageBreakBefore w:val="false"/>
        <w:rPr/>
      </w:pPr>
      <w:r>
        <w:rPr/>
        <w:t>The converter is not intended to behave like a blind search-and-replace utility. It operates more like a staged migration compiler. It discovers files and companion files, parses forms and source units, builds intermediate models, applies mapping and rewrite logic, injects compatibility behavior where needed, and emits a new FMX-oriented project structure.</w:t>
      </w:r>
    </w:p>
    <w:p>
      <w:pPr>
        <w:pStyle w:val="Normal"/>
        <w:pageBreakBefore w:val="false"/>
        <w:rPr/>
      </w:pPr>
      <w:r>
        <w:rPr/>
        <w:t>The engineering intent behind the current implementation is strongly global. Improvements should be always be expressed as reusable converter rules so that each fix benefits future projects as well as the one currently under review.</w:t>
      </w:r>
    </w:p>
    <w:p>
      <w:pPr>
        <w:pStyle w:val="Heading2"/>
        <w:pageBreakBefore w:val="false"/>
        <w:rPr>
          <w:b w:val="false"/>
        </w:rPr>
      </w:pPr>
      <w:bookmarkStart w:id="3" w:name="__RefHeading___Toc6421_239329132"/>
      <w:bookmarkStart w:id="4" w:name="_Toc236592907"/>
      <w:bookmarkStart w:id="5" w:name="_Toc225758756"/>
      <w:bookmarkEnd w:id="3"/>
      <w:r>
        <w:rPr>
          <w:b w:val="false"/>
          <w:color w:val="000000"/>
        </w:rPr>
        <w:t>1.1 Primary Engineering Goals</w:t>
      </w:r>
      <w:bookmarkEnd w:id="4"/>
      <w:bookmarkEnd w:id="5"/>
    </w:p>
    <w:p>
      <w:pPr>
        <w:pStyle w:val="ListParagraph"/>
        <w:pageBreakBefore w:val="false"/>
        <w:numPr>
          <w:ilvl w:val="0"/>
          <w:numId w:val="1"/>
        </w:numPr>
        <w:rPr/>
      </w:pPr>
      <w:r>
        <w:rPr/>
        <w:t>Preserve user intent so the converted application still represents the same business behavior, model and recognizable user experience as the source project.</w:t>
      </w:r>
    </w:p>
    <w:p>
      <w:pPr>
        <w:pStyle w:val="ListParagraph"/>
        <w:pageBreakBefore w:val="false"/>
        <w:numPr>
          <w:ilvl w:val="0"/>
          <w:numId w:val="1"/>
        </w:numPr>
        <w:rPr/>
      </w:pPr>
      <w:r>
        <w:rPr/>
        <w:t>Prefer valid FMX output over risky mimicry so unsupported VCL constructs do not become invalid FMX artifacts or fail to function as originally intended.</w:t>
      </w:r>
    </w:p>
    <w:p>
      <w:pPr>
        <w:pStyle w:val="ListParagraph"/>
        <w:pageBreakBefore w:val="false"/>
        <w:numPr>
          <w:ilvl w:val="0"/>
          <w:numId w:val="1"/>
        </w:numPr>
        <w:rPr/>
      </w:pPr>
      <w:r>
        <w:rPr/>
        <w:t>Always improve the converter globally so fixes that are introduced are captured in the converter itself rather than being repeated manually in each converted project.</w:t>
      </w:r>
    </w:p>
    <w:p>
      <w:pPr>
        <w:pStyle w:val="Heading2"/>
        <w:pageBreakBefore w:val="false"/>
        <w:rPr>
          <w:b w:val="false"/>
        </w:rPr>
      </w:pPr>
      <w:bookmarkStart w:id="6" w:name="__RefHeading___Toc6423_239329132"/>
      <w:bookmarkStart w:id="7" w:name="_Toc236592908"/>
      <w:bookmarkStart w:id="8" w:name="_Toc225758757"/>
      <w:bookmarkEnd w:id="6"/>
      <w:r>
        <w:rPr>
          <w:b w:val="false"/>
          <w:color w:val="000000"/>
        </w:rPr>
        <w:t>1.2 Practical Meaning of a Successful Conversion</w:t>
      </w:r>
      <w:bookmarkEnd w:id="7"/>
      <w:bookmarkEnd w:id="8"/>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Layer</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Description</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Typical Evidence</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Structural</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Generated forms load and units compile.</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Delphi opens the project and the code builds.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Runtime</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Startup, timers, queries, dialogs, and events behave acceptably.</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converted application launches and performs real workflows.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Visual</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Layout, captions, colors, and images remain usable and recognizable.</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Side-by-side comparison with the VCL original is reasonable.</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Maintainability</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Generated code and converter logic remain understandable enough to extend.</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A future maintainer can diagnose and improve the system.</w:t>
            </w:r>
          </w:p>
        </w:tc>
      </w:tr>
    </w:tbl>
    <w:p>
      <w:pPr>
        <w:pStyle w:val="Heading1"/>
        <w:pageBreakBefore w:val="false"/>
        <w:spacing w:before="0" w:after="240"/>
        <w:rPr>
          <w:b w:val="false"/>
        </w:rPr>
      </w:pPr>
      <w:bookmarkStart w:id="9" w:name="__RefHeading___Toc6425_239329132"/>
      <w:bookmarkStart w:id="10" w:name="_Toc236592909"/>
      <w:bookmarkEnd w:id="9"/>
      <w:r>
        <w:rPr>
          <w:b w:val="false"/>
          <w:color w:val="000000"/>
        </w:rPr>
        <w:t>2. Product Scope and Design Principles</w:t>
      </w:r>
      <w:bookmarkEnd w:id="10"/>
    </w:p>
    <w:p>
      <w:pPr>
        <w:pStyle w:val="Heading2"/>
        <w:pageBreakBefore w:val="false"/>
        <w:rPr>
          <w:b w:val="false"/>
        </w:rPr>
      </w:pPr>
      <w:bookmarkStart w:id="11" w:name="__RefHeading___Toc6427_239329132"/>
      <w:bookmarkStart w:id="12" w:name="_Toc236592910"/>
      <w:bookmarkStart w:id="13" w:name="_Toc225758759"/>
      <w:bookmarkEnd w:id="11"/>
      <w:r>
        <w:rPr>
          <w:b w:val="false"/>
          <w:color w:val="000000"/>
        </w:rPr>
        <w:t>2.1 Scope</w:t>
      </w:r>
      <w:bookmarkEnd w:id="12"/>
      <w:bookmarkEnd w:id="13"/>
    </w:p>
    <w:p>
      <w:pPr>
        <w:pStyle w:val="ListParagraph"/>
        <w:pageBreakBefore w:val="false"/>
        <w:numPr>
          <w:ilvl w:val="0"/>
          <w:numId w:val="2"/>
        </w:numPr>
        <w:rPr/>
      </w:pPr>
      <w:r>
        <w:rPr/>
        <w:t>Delphi Pascal source files (.pas)</w:t>
      </w:r>
    </w:p>
    <w:p>
      <w:pPr>
        <w:pStyle w:val="ListParagraph"/>
        <w:pageBreakBefore w:val="false"/>
        <w:numPr>
          <w:ilvl w:val="0"/>
          <w:numId w:val="2"/>
        </w:numPr>
        <w:rPr/>
      </w:pPr>
      <w:r>
        <w:rPr/>
        <w:t>VCL form definitions (.dfm), including binary forms normalized to text</w:t>
      </w:r>
    </w:p>
    <w:p>
      <w:pPr>
        <w:pStyle w:val="ListParagraph"/>
        <w:pageBreakBefore w:val="false"/>
        <w:numPr>
          <w:ilvl w:val="0"/>
          <w:numId w:val="2"/>
        </w:numPr>
        <w:rPr/>
      </w:pPr>
      <w:r>
        <w:rPr/>
        <w:t>Delphi startup and project metadata (.dpr, .dproj, and related artifacts)</w:t>
      </w:r>
    </w:p>
    <w:p>
      <w:pPr>
        <w:pStyle w:val="ListParagraph"/>
        <w:pageBreakBefore w:val="false"/>
        <w:numPr>
          <w:ilvl w:val="0"/>
          <w:numId w:val="2"/>
        </w:numPr>
        <w:rPr/>
      </w:pPr>
      <w:r>
        <w:rPr/>
        <w:t>Reports and operational status output</w:t>
      </w:r>
    </w:p>
    <w:p>
      <w:pPr>
        <w:pStyle w:val="Normal"/>
        <w:pageBreakBefore w:val="false"/>
        <w:rPr/>
      </w:pPr>
      <w:r>
        <w:rPr/>
        <w:t>The converter also includes special handling for color translation, images, data-aware controls, grid behavior, WinAPI compatibility, media controls, and unsupported third-party patterns. Version 7.0 Atlas retains optional mapping packs so third-party conversion assumptions can live outside the core and remain transparent to the operator.</w:t>
      </w:r>
    </w:p>
    <w:p>
      <w:pPr>
        <w:pStyle w:val="Heading2"/>
        <w:pageBreakBefore w:val="false"/>
        <w:rPr>
          <w:b w:val="false"/>
        </w:rPr>
      </w:pPr>
      <w:bookmarkStart w:id="14" w:name="__RefHeading___Toc6429_239329132"/>
      <w:bookmarkStart w:id="15" w:name="_Toc236592911"/>
      <w:bookmarkStart w:id="16" w:name="_Toc225758760"/>
      <w:bookmarkEnd w:id="14"/>
      <w:r>
        <w:rPr>
          <w:b w:val="false"/>
          <w:color w:val="000000"/>
        </w:rPr>
        <w:t>2.2 Design Principles</w:t>
      </w:r>
      <w:bookmarkEnd w:id="15"/>
      <w:bookmarkEnd w:id="16"/>
    </w:p>
    <w:p>
      <w:pPr>
        <w:pStyle w:val="ListParagraph"/>
        <w:pageBreakBefore w:val="false"/>
        <w:numPr>
          <w:ilvl w:val="0"/>
          <w:numId w:val="3"/>
        </w:numPr>
        <w:rPr/>
      </w:pPr>
      <w:r>
        <w:rPr/>
        <w:t>Use Embarcadero FMX behavior as the reference model wherever the answer is documented or visible in Delphi source code.</w:t>
      </w:r>
    </w:p>
    <w:p>
      <w:pPr>
        <w:pStyle w:val="ListParagraph"/>
        <w:pageBreakBefore w:val="false"/>
        <w:numPr>
          <w:ilvl w:val="0"/>
          <w:numId w:val="3"/>
        </w:numPr>
        <w:rPr/>
      </w:pPr>
      <w:r>
        <w:rPr/>
        <w:t>Preserve semantic meaning before preserving literal syntax.</w:t>
      </w:r>
    </w:p>
    <w:p>
      <w:pPr>
        <w:pStyle w:val="ListParagraph"/>
        <w:pageBreakBefore w:val="false"/>
        <w:numPr>
          <w:ilvl w:val="0"/>
          <w:numId w:val="3"/>
        </w:numPr>
        <w:rPr/>
      </w:pPr>
      <w:r>
        <w:rPr/>
        <w:t>Prefer readable output over opaque generated code.</w:t>
      </w:r>
    </w:p>
    <w:p>
      <w:pPr>
        <w:pStyle w:val="ListParagraph"/>
        <w:pageBreakBefore w:val="false"/>
        <w:numPr>
          <w:ilvl w:val="0"/>
          <w:numId w:val="3"/>
        </w:numPr>
        <w:rPr/>
      </w:pPr>
      <w:r>
        <w:rPr/>
        <w:t>Keep risky fixes centralized and global rather than improvising project-specific patches.</w:t>
      </w:r>
    </w:p>
    <w:p>
      <w:pPr>
        <w:pStyle w:val="ListParagraph"/>
        <w:pageBreakBefore w:val="false"/>
        <w:numPr>
          <w:ilvl w:val="0"/>
          <w:numId w:val="3"/>
        </w:numPr>
        <w:rPr/>
      </w:pPr>
      <w:r>
        <w:rPr/>
        <w:t>Treat data-aware conversion, custom drawing, and WinAPI migration as high-risk engineering areas.</w:t>
      </w:r>
    </w:p>
    <w:p>
      <w:pPr>
        <w:pStyle w:val="Heading1"/>
        <w:rPr/>
      </w:pPr>
      <w:bookmarkStart w:id="17" w:name="__RefHeading___Toc4515_1908171846"/>
      <w:bookmarkEnd w:id="17"/>
      <w:r>
        <w:rPr/>
        <w:t>Installing the complete Windows package</w:t>
      </w:r>
    </w:p>
    <w:p>
      <w:pPr>
        <w:pStyle w:val="Normal"/>
        <w:rPr/>
      </w:pPr>
      <w:r>
        <w:rPr/>
        <w:t>Download the Win32 or Win64 application ZIP and extract the entire ZIP into its own writable folder before starting VCL2FMXConverter.exe. Win64 needs 64-bit Windows. Keep the Win32 and Win64 editions in separate folders. Do not run from inside the ZIP or copy only the executable. RAD Studio is needed to build Delphi projects, not to run the downloaded converter.</w:t>
      </w:r>
    </w:p>
    <w:p>
      <w:pPr>
        <w:pStyle w:val="Normal"/>
        <w:rPr/>
      </w:pPr>
      <w:r>
        <w:rPr/>
        <w:t>Keep this layout together: VCL2FMXConverter.exe and WebView2Loader.dll in the same folder; Localization\Languages containing all 35 JSON language packs; mapping_packs containing the 22 supplied JSON packs; docs\Help containing the complete Help tree and guides; and the supplied licenses and README.txt. These are relative paths beneath the executable folder, not folders beside the ZIP.</w:t>
      </w:r>
    </w:p>
    <w:p>
      <w:pPr>
        <w:pStyle w:val="Normal"/>
        <w:rPr/>
      </w:pPr>
      <w:r>
        <w:rPr/>
        <w:t>Localization\Languages is required for interface and report translations. Preserve the English en-US.json pack as well as the other supplied languages. A missing or unreadable selected report language pack can stop a conversion with "The selected report language pack could not be loaded." Restore the complete folder from the same release ZIP and restart the converter.</w:t>
      </w:r>
    </w:p>
    <w:p>
      <w:pPr>
        <w:pStyle w:val="Normal"/>
        <w:rPr/>
      </w:pPr>
      <w:r>
        <w:rPr/>
        <w:t>WebView2Loader.dll must be directly beside VCL2FMXConverter.exe and match the executable architecture: x86 for Win32, x64 for Win64, even when running Win32 on 64-bit Windows. Use the DLL supplied in that edition of the release ZIP. The loader supports the embedded mapping browsers; it is not the WebView2 Runtime.</w:t>
      </w:r>
    </w:p>
    <w:p>
      <w:pPr>
        <w:pStyle w:val="Normal"/>
        <w:rPr/>
      </w:pPr>
      <w:r>
        <w:rPr/>
        <w:t>Install or update Microsoft Edge WebView2 Evergreen Runtime if it is absent. Obtain it from https://developer.microsoft.com/microsoft-edge/webview2/ under Download the WebView2 Runtime. The Evergreen Bootstrapper needs Internet access; use the appropriate Evergreen Standalone Installer for an offline computer. Having the Microsoft Edge browser installed is not a substitute for the Runtime. Do not download replacement DLLs from third-party DLL sites.</w:t>
      </w:r>
    </w:p>
    <w:p>
      <w:pPr>
        <w:pStyle w:val="Normal"/>
        <w:rPr/>
      </w:pPr>
      <w:r>
        <w:rPr/>
        <w:t>The embedded browsers use Edge when available and may fall back to an older browser engine if WebView2 is unavailable. A window that opens is therefore not proof of correct WebView2 deployment. If mapping views are blank or render incorrectly, check the loader location and architecture, then the Runtime installation. Close and reopen the converter after correcting the installation.</w:t>
      </w:r>
    </w:p>
    <w:p>
      <w:pPr>
        <w:pStyle w:val="Normal"/>
        <w:rPr/>
      </w:pPr>
      <w:r>
        <w:rPr/>
        <w:t>Keep mapping_packs with the application even when mapping-pack support is not currently enabled. Missing packs remove that optional conversion coverage. Preserve docs\Help and all its subfolders; missing Help files prevent Help from opening. Help opens in your default browser. Keep the converter running while using its local Help URL; English Help is available offline, while automatic Help translation needs Internet access.</w:t>
      </w:r>
    </w:p>
    <w:p>
      <w:pPr>
        <w:pStyle w:val="Normal"/>
        <w:rPr/>
      </w:pPr>
      <w:r>
        <w:rPr/>
        <w:t>Use a writable output folder separate from both the original VCL project and the converter installation. Keep an independent backup of the original project. The signed-in Windows account also needs access to its local application-data folder for language settings and browser data. Before replacing an installation, close the converter and back up customized language or mapping packs. Extract a fresh complete release rather than mixing files from different releases.</w:t>
      </w:r>
    </w:p>
    <w:p>
      <w:pPr>
        <w:pStyle w:val="Normal"/>
        <w:rPr/>
      </w:pPr>
      <w:r>
        <w:rPr/>
        <w:t>Before the first conversion, verify that the Language selector lists the supplied languages, the mapping views display, and Help opens. Review the conversion report, then compile and test the generated project in Delphi. Successful conversion does not remove the need to review unsupported components and manual changes.</w:t>
      </w:r>
    </w:p>
    <w:p>
      <w:pPr>
        <w:pStyle w:val="Normal"/>
        <w:rPr/>
      </w:pPr>
      <w:r>
        <w:rPr/>
        <w:t>Source builds use RAD Studio 13 (37.0). The project build target copies the matching loader from dependencies\WebView2\Win32 or Win64, its license files, language packs, mapping packs and Help into the selected build output folder. Keep those dependency files in the source workspace. The release packager validates executable/loader architecture and includes these files in both application editions and the source package.</w:t>
      </w:r>
    </w:p>
    <w:p>
      <w:pPr>
        <w:pStyle w:val="Heading1"/>
        <w:pageBreakBefore w:val="false"/>
        <w:spacing w:before="0" w:after="240"/>
        <w:rPr>
          <w:b w:val="false"/>
        </w:rPr>
      </w:pPr>
      <w:bookmarkStart w:id="18" w:name="__RefHeading___Toc6431_239329132"/>
      <w:bookmarkStart w:id="19" w:name="_Toc236592912"/>
      <w:bookmarkEnd w:id="18"/>
      <w:r>
        <w:rPr>
          <w:b w:val="false"/>
          <w:color w:val="000000"/>
        </w:rPr>
        <w:t>3. System Architecture Overview</w:t>
      </w:r>
      <w:bookmarkEnd w:id="19"/>
    </w:p>
    <w:p>
      <w:pPr>
        <w:pStyle w:val="Normal"/>
        <w:pageBreakBefore w:val="false"/>
        <w:rPr/>
      </w:pPr>
      <w:r>
        <w:rPr/>
        <w:t>The converter is organized as a layered system. Each layer has a specific responsibility, and most files belong naturally to one of these roles.</w:t>
      </w:r>
    </w:p>
    <w:p>
      <w:pPr>
        <w:pStyle w:val="Heading2"/>
        <w:pageBreakBefore w:val="false"/>
        <w:rPr>
          <w:b w:val="false"/>
        </w:rPr>
      </w:pPr>
      <w:bookmarkStart w:id="20" w:name="__RefHeading___Toc6433_239329132"/>
      <w:bookmarkStart w:id="21" w:name="_Toc236592913"/>
      <w:bookmarkStart w:id="22" w:name="_Toc225758762"/>
      <w:bookmarkEnd w:id="20"/>
      <w:r>
        <w:rPr>
          <w:b w:val="false"/>
          <w:color w:val="000000"/>
        </w:rPr>
        <w:t>3.1 Layer Diagram</w:t>
      </w:r>
      <w:bookmarkEnd w:id="21"/>
      <w:bookmarkEnd w:id="22"/>
    </w:p>
    <w:p>
      <w:pPr>
        <w:pStyle w:val="Normal"/>
        <w:pageBreakBefore w:val="false"/>
        <w:rPr/>
      </w:pPr>
      <w:r>
        <w:rPr/>
        <w:t>The diagram below illustrates the layering.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236"/>
        <w:gridCol w:w="1248"/>
        <w:gridCol w:w="1867"/>
        <w:gridCol w:w="1240"/>
        <w:gridCol w:w="2119"/>
        <w:gridCol w:w="1248"/>
        <w:gridCol w:w="1266"/>
      </w:tblGrid>
      <w:tr>
        <w:trPr>
          <w:tblHeader w:val="true"/>
          <w:cantSplit/>
        </w:trPr>
        <w:tc>
          <w:tcPr>
            <w:tcW w:w="123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User Interface</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MainForm</w:t>
            </w:r>
          </w:p>
        </w:tc>
        <w:tc>
          <w:tcPr>
            <w:tcW w:w="124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Cs w:val="21"/>
              </w:rPr>
            </w:pPr>
            <w:r>
              <w:rPr>
                <w:b/>
                <w:szCs w:val="21"/>
              </w:rPr>
            </w:r>
          </w:p>
          <w:p>
            <w:pPr>
              <w:pStyle w:val="Normal"/>
              <w:keepNext w:val="false"/>
              <w:keepLines w:val="false"/>
              <w:widowControl/>
              <w:suppressAutoHyphens w:val="true"/>
              <w:spacing w:lineRule="auto" w:line="240" w:before="40" w:after="40"/>
              <w:jc w:val="center"/>
              <w:rPr>
                <w:b/>
                <w:szCs w:val="21"/>
              </w:rPr>
            </w:pPr>
            <w:r>
              <w:rPr>
                <w:b/>
                <w:szCs w:val="21"/>
              </w:rPr>
            </w:r>
          </w:p>
          <w:p>
            <w:pPr>
              <w:pStyle w:val="Normal"/>
              <w:keepNext w:val="false"/>
              <w:keepLines w:val="false"/>
              <w:widowControl/>
              <w:suppressAutoHyphens w:val="true"/>
              <w:spacing w:lineRule="auto" w:line="240" w:before="40" w:after="40"/>
              <w:jc w:val="center"/>
              <w:rPr>
                <w:b/>
                <w:sz w:val="44"/>
                <w:szCs w:val="44"/>
              </w:rPr>
            </w:pPr>
            <w:r>
              <w:rPr>
                <w:rFonts w:eastAsia="Calibri" w:cs="Segoe UI Symbol"/>
                <w:b/>
                <w:color w:val="FFFFFF"/>
                <w:kern w:val="2"/>
                <w:sz w:val="19"/>
                <w:szCs w:val="44"/>
                <w:lang w:val="en-US" w:eastAsia="en-US" w:bidi="ar-SA"/>
              </w:rPr>
              <w:t>➜</w:t>
            </w:r>
          </w:p>
        </w:tc>
        <w:tc>
          <w:tcPr>
            <w:tcW w:w="186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Engine and Orchestration</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Core.Engine</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Core.FileManager</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Core.Integration</w:t>
            </w:r>
          </w:p>
        </w:tc>
        <w:tc>
          <w:tcPr>
            <w:tcW w:w="124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Cs w:val="21"/>
              </w:rPr>
            </w:pPr>
            <w:r>
              <w:rPr>
                <w:b/>
                <w:szCs w:val="21"/>
              </w:rPr>
            </w:r>
          </w:p>
          <w:p>
            <w:pPr>
              <w:pStyle w:val="Normal"/>
              <w:keepNext w:val="false"/>
              <w:keepLines w:val="false"/>
              <w:widowControl/>
              <w:suppressAutoHyphens w:val="true"/>
              <w:spacing w:lineRule="auto" w:line="240" w:before="40" w:after="40"/>
              <w:jc w:val="center"/>
              <w:rPr>
                <w:b/>
                <w:szCs w:val="21"/>
              </w:rPr>
            </w:pPr>
            <w:r>
              <w:rPr>
                <w:b/>
                <w:szCs w:val="21"/>
              </w:rPr>
            </w:r>
          </w:p>
          <w:p>
            <w:pPr>
              <w:pStyle w:val="Normal"/>
              <w:keepNext w:val="false"/>
              <w:keepLines w:val="false"/>
              <w:widowControl/>
              <w:suppressAutoHyphens w:val="true"/>
              <w:spacing w:lineRule="auto" w:line="240" w:before="40" w:after="40"/>
              <w:jc w:val="center"/>
              <w:rPr>
                <w:b/>
                <w:szCs w:val="21"/>
              </w:rPr>
            </w:pPr>
            <w:r>
              <w:rPr>
                <w:rFonts w:eastAsia="Calibri" w:cs="Segoe UI Symbol"/>
                <w:b/>
                <w:color w:val="FFFFFF"/>
                <w:kern w:val="2"/>
                <w:sz w:val="19"/>
                <w:szCs w:val="44"/>
                <w:lang w:val="en-US" w:eastAsia="en-US" w:bidi="ar-SA"/>
              </w:rPr>
              <w:t>➜</w:t>
            </w:r>
          </w:p>
        </w:tc>
        <w:tc>
          <w:tcPr>
            <w:tcW w:w="211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Parsers and Mappers</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Parser.DFM</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Parser.Pascal</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Mapper.Component</w:t>
            </w:r>
          </w:p>
        </w:tc>
        <w:tc>
          <w:tcPr>
            <w:tcW w:w="124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Cs w:val="21"/>
              </w:rPr>
            </w:pPr>
            <w:r>
              <w:rPr>
                <w:b/>
                <w:szCs w:val="21"/>
              </w:rPr>
            </w:r>
          </w:p>
          <w:p>
            <w:pPr>
              <w:pStyle w:val="Normal"/>
              <w:keepNext w:val="false"/>
              <w:keepLines w:val="false"/>
              <w:widowControl/>
              <w:suppressAutoHyphens w:val="true"/>
              <w:spacing w:lineRule="auto" w:line="240" w:before="40" w:after="40"/>
              <w:jc w:val="center"/>
              <w:rPr>
                <w:b/>
                <w:szCs w:val="21"/>
              </w:rPr>
            </w:pPr>
            <w:r>
              <w:rPr>
                <w:b/>
                <w:szCs w:val="21"/>
              </w:rPr>
            </w:r>
          </w:p>
          <w:p>
            <w:pPr>
              <w:pStyle w:val="Normal"/>
              <w:keepNext w:val="false"/>
              <w:keepLines w:val="false"/>
              <w:widowControl/>
              <w:suppressAutoHyphens w:val="true"/>
              <w:spacing w:lineRule="auto" w:line="240" w:before="40" w:after="40"/>
              <w:jc w:val="center"/>
              <w:rPr>
                <w:b/>
                <w:szCs w:val="21"/>
              </w:rPr>
            </w:pPr>
            <w:r>
              <w:rPr>
                <w:rFonts w:eastAsia="Calibri" w:cs="Segoe UI Symbol"/>
                <w:b/>
                <w:color w:val="FFFFFF"/>
                <w:kern w:val="2"/>
                <w:sz w:val="19"/>
                <w:szCs w:val="44"/>
                <w:lang w:val="en-US" w:eastAsia="en-US" w:bidi="ar-SA"/>
              </w:rPr>
              <w:t>➜</w:t>
            </w:r>
          </w:p>
        </w:tc>
        <w:tc>
          <w:tcPr>
            <w:tcW w:w="126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Output Generation</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FMX source</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Project files</w:t>
            </w:r>
          </w:p>
          <w:p>
            <w:pPr>
              <w:pStyle w:val="Normal"/>
              <w:keepNext w:val="false"/>
              <w:keepLines w:val="false"/>
              <w:widowControl/>
              <w:suppressAutoHyphens w:val="true"/>
              <w:spacing w:lineRule="auto" w:line="240" w:before="40" w:after="40"/>
              <w:jc w:val="center"/>
              <w:rPr>
                <w:szCs w:val="21"/>
              </w:rPr>
            </w:pPr>
            <w:r>
              <w:rPr>
                <w:rFonts w:eastAsia="Calibri" w:cs=""/>
                <w:b/>
                <w:color w:val="FFFFFF"/>
                <w:kern w:val="2"/>
                <w:sz w:val="19"/>
                <w:szCs w:val="21"/>
                <w:lang w:val="en-US" w:eastAsia="en-US" w:bidi="ar-SA"/>
              </w:rPr>
              <w:t>Reports</w:t>
            </w:r>
          </w:p>
        </w:tc>
      </w:tr>
    </w:tbl>
    <w:p>
      <w:pPr>
        <w:pStyle w:val="Normal"/>
        <w:pageBreakBefore w:val="false"/>
        <w:rPr/>
      </w:pPr>
      <w:r>
        <w:rPr/>
        <w:t>The Advanced modules sit beside the orchestration layer and intervene when specialized rewriting is needed. This includes WinAPI compatibility, data-aware conversion, custom drawing, and unsupported component scenarios.</w:t>
      </w:r>
    </w:p>
    <w:p>
      <w:pPr>
        <w:pStyle w:val="Heading2"/>
        <w:pageBreakBefore w:val="false"/>
        <w:rPr>
          <w:b w:val="false"/>
        </w:rPr>
      </w:pPr>
      <w:bookmarkStart w:id="23" w:name="__RefHeading___Toc6435_239329132"/>
      <w:bookmarkStart w:id="24" w:name="_Toc236592914"/>
      <w:bookmarkStart w:id="25" w:name="_Toc225758763"/>
      <w:bookmarkEnd w:id="23"/>
      <w:r>
        <w:rPr>
          <w:b w:val="false"/>
          <w:color w:val="000000"/>
        </w:rPr>
        <w:t>3.2 Responsibility Matrix</w:t>
      </w:r>
      <w:bookmarkEnd w:id="24"/>
      <w:bookmarkEnd w:id="25"/>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236"/>
        <w:gridCol w:w="3234"/>
        <w:gridCol w:w="3754"/>
      </w:tblGrid>
      <w:tr>
        <w:trPr>
          <w:tblHeader w:val="true"/>
          <w:cantSplit/>
        </w:trPr>
        <w:tc>
          <w:tcPr>
            <w:tcW w:w="323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Unit Group</w:t>
            </w:r>
          </w:p>
        </w:tc>
        <w:tc>
          <w:tcPr>
            <w:tcW w:w="323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Primary Responsibility</w:t>
            </w:r>
          </w:p>
        </w:tc>
        <w:tc>
          <w:tcPr>
            <w:tcW w:w="375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Main Files</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User interface</w:t>
            </w:r>
          </w:p>
        </w:tc>
        <w:tc>
          <w:tcPr>
            <w:tcW w:w="32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Collect options, launch conversion, and report progress without containing core conversion logic.</w:t>
            </w:r>
          </w:p>
        </w:tc>
        <w:tc>
          <w:tcPr>
            <w:tcW w:w="37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MainForm.pas, MainForm.fmx</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Engine core</w:t>
            </w:r>
          </w:p>
        </w:tc>
        <w:tc>
          <w:tcPr>
            <w:tcW w:w="323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Coordinate file scanning, conversion sequencing, issue aggregation, and lifecycle control.</w:t>
            </w:r>
          </w:p>
        </w:tc>
        <w:tc>
          <w:tcPr>
            <w:tcW w:w="375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Converter.Core.Engine.pas, Converter.Core.FileManager.pas, Converter.Core.Types.pas</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Integration</w:t>
            </w:r>
          </w:p>
        </w:tc>
        <w:tc>
          <w:tcPr>
            <w:tcW w:w="32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Apply global Pascal rewrites, rebuild uses clauses, inject LiveBindings, and normalize FMX behavior.</w:t>
            </w:r>
          </w:p>
        </w:tc>
        <w:tc>
          <w:tcPr>
            <w:tcW w:w="37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Converter.Core.Integration.pas</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DFM processing</w:t>
            </w:r>
          </w:p>
        </w:tc>
        <w:tc>
          <w:tcPr>
            <w:tcW w:w="323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Parse VCL forms, preserve collections and field objects, and regenerate FMX text.</w:t>
            </w:r>
          </w:p>
        </w:tc>
        <w:tc>
          <w:tcPr>
            <w:tcW w:w="375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Converter.Parser.DFM.pas</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Pascal processing</w:t>
            </w:r>
          </w:p>
        </w:tc>
        <w:tc>
          <w:tcPr>
            <w:tcW w:w="32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Parse unit structure and support source-safe rewrites.</w:t>
            </w:r>
          </w:p>
        </w:tc>
        <w:tc>
          <w:tcPr>
            <w:tcW w:w="37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Converter.Parser.Pascal.pas</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Mapping layer</w:t>
            </w:r>
          </w:p>
        </w:tc>
        <w:tc>
          <w:tcPr>
            <w:tcW w:w="323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Decide FMX class and property equivalents, including fallbacks and confidence rules.</w:t>
            </w:r>
          </w:p>
        </w:tc>
        <w:tc>
          <w:tcPr>
            <w:tcW w:w="375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Converter.Mapper.Component.pas</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Specialized conversion</w:t>
            </w:r>
          </w:p>
        </w:tc>
        <w:tc>
          <w:tcPr>
            <w:tcW w:w="323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Rewrite high-risk patterns such as WinAPI, DB controls, custom drawing, and unsupported components.</w:t>
            </w:r>
          </w:p>
        </w:tc>
        <w:tc>
          <w:tcPr>
            <w:tcW w:w="375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Converter.Advanced.DataAware.pas, Converter.Advanced.WinAPI.pas, Converter.Advanced.CriticalAreas.pas, Converter.Advanced.ThirdParty.pas</w:t>
            </w:r>
          </w:p>
        </w:tc>
      </w:tr>
      <w:tr>
        <w:trPr>
          <w:cantSplit/>
        </w:trPr>
        <w:tc>
          <w:tcPr>
            <w:tcW w:w="323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Project generation</w:t>
            </w:r>
          </w:p>
        </w:tc>
        <w:tc>
          <w:tcPr>
            <w:tcW w:w="323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Produce FMX-aware startup and project metadata.</w:t>
            </w:r>
          </w:p>
        </w:tc>
        <w:tc>
          <w:tcPr>
            <w:tcW w:w="3754"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Converter.Project.Generator.pas</w:t>
            </w:r>
          </w:p>
        </w:tc>
      </w:tr>
    </w:tbl>
    <w:p>
      <w:pPr>
        <w:pStyle w:val="Heading1"/>
        <w:pageBreakBefore w:val="false"/>
        <w:spacing w:before="0" w:after="240"/>
        <w:rPr>
          <w:b w:val="false"/>
        </w:rPr>
      </w:pPr>
      <w:bookmarkStart w:id="26" w:name="__RefHeading___Toc6437_239329132"/>
      <w:bookmarkStart w:id="27" w:name="_Toc236592915"/>
      <w:bookmarkEnd w:id="26"/>
      <w:r>
        <w:rPr>
          <w:b w:val="false"/>
          <w:color w:val="000000"/>
        </w:rPr>
        <w:t>4. End-to-End Conversion Workflow</w:t>
      </w:r>
      <w:bookmarkEnd w:id="27"/>
    </w:p>
    <w:p>
      <w:pPr>
        <w:pStyle w:val="Normal"/>
        <w:pageBreakBefore w:val="false"/>
        <w:rPr/>
      </w:pPr>
      <w:r>
        <w:rPr/>
        <w:t>A single conversion request proceeds through a predictable sequence. Understanding this pipeline is essential when diagnosing why an output artifact is wrong.</w:t>
      </w:r>
    </w:p>
    <w:p>
      <w:pPr>
        <w:pStyle w:val="Heading2"/>
        <w:pageBreakBefore w:val="false"/>
        <w:rPr>
          <w:b w:val="false"/>
        </w:rPr>
      </w:pPr>
      <w:bookmarkStart w:id="28" w:name="__RefHeading___Toc6439_239329132"/>
      <w:bookmarkStart w:id="29" w:name="_Toc236592916"/>
      <w:bookmarkStart w:id="30" w:name="_Toc225758765"/>
      <w:bookmarkEnd w:id="28"/>
      <w:r>
        <w:rPr>
          <w:b w:val="false"/>
          <w:color w:val="000000"/>
        </w:rPr>
        <w:t>4.1 Workflow Diagram</w:t>
      </w:r>
      <w:bookmarkEnd w:id="29"/>
      <w:bookmarkEnd w:id="30"/>
    </w:p>
    <w:p>
      <w:pPr>
        <w:pStyle w:val="Normal"/>
        <w:pageBreakBefore w:val="false"/>
        <w:rPr/>
      </w:pPr>
      <w:r>
        <w:rPr/>
        <w:t>This flow shows the major transformation stages from discovery through output emission.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460"/>
        <w:gridCol w:w="1452"/>
        <w:gridCol w:w="1469"/>
        <w:gridCol w:w="1452"/>
        <w:gridCol w:w="1465"/>
        <w:gridCol w:w="1454"/>
        <w:gridCol w:w="1472"/>
      </w:tblGrid>
      <w:tr>
        <w:trPr>
          <w:tblHeader w:val="true"/>
          <w:cantSplit/>
        </w:trPr>
        <w:tc>
          <w:tcPr>
            <w:tcW w:w="146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Discover</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File scan</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option filter</w:t>
            </w:r>
          </w:p>
        </w:tc>
        <w:tc>
          <w:tcPr>
            <w:tcW w:w="145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rFonts w:eastAsia="Calibri" w:cs="Segoe UI Symbol"/>
                <w:b/>
                <w:color w:val="FFFFFF"/>
                <w:kern w:val="2"/>
                <w:sz w:val="19"/>
                <w:szCs w:val="44"/>
                <w:lang w:val="en-US" w:eastAsia="en-US" w:bidi="ar-SA"/>
              </w:rPr>
              <w:t>➜</w:t>
            </w:r>
          </w:p>
        </w:tc>
        <w:tc>
          <w:tcPr>
            <w:tcW w:w="146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Parse and Analyze</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DFM model</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Pascal structure</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mapping lookup</w:t>
            </w:r>
          </w:p>
        </w:tc>
        <w:tc>
          <w:tcPr>
            <w:tcW w:w="145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rFonts w:eastAsia="Calibri" w:cs="Segoe UI Symbol"/>
                <w:b/>
                <w:color w:val="FFFFFF"/>
                <w:kern w:val="2"/>
                <w:sz w:val="19"/>
                <w:szCs w:val="44"/>
                <w:lang w:val="en-US" w:eastAsia="en-US" w:bidi="ar-SA"/>
              </w:rPr>
              <w:t>➜</w:t>
            </w:r>
          </w:p>
        </w:tc>
        <w:tc>
          <w:tcPr>
            <w:tcW w:w="146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Transform and Normalize</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FMX conversion</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source rewrites</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binding injection</w:t>
            </w:r>
          </w:p>
        </w:tc>
        <w:tc>
          <w:tcPr>
            <w:tcW w:w="1454"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rFonts w:eastAsia="Calibri" w:cs="Segoe UI Symbol"/>
                <w:b/>
                <w:color w:val="FFFFFF"/>
                <w:kern w:val="2"/>
                <w:sz w:val="19"/>
                <w:szCs w:val="44"/>
                <w:lang w:val="en-US" w:eastAsia="en-US" w:bidi="ar-SA"/>
              </w:rPr>
              <w:t>➜</w:t>
            </w:r>
          </w:p>
        </w:tc>
        <w:tc>
          <w:tcPr>
            <w:tcW w:w="147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Emit and Report</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Output files</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reports</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status log</w:t>
            </w:r>
          </w:p>
        </w:tc>
      </w:tr>
    </w:tbl>
    <w:p>
      <w:pPr>
        <w:pStyle w:val="Heading2"/>
        <w:pageBreakBefore w:val="false"/>
        <w:rPr>
          <w:b w:val="false"/>
        </w:rPr>
      </w:pPr>
      <w:bookmarkStart w:id="31" w:name="__RefHeading___Toc6441_239329132"/>
      <w:bookmarkStart w:id="32" w:name="_Toc236592917"/>
      <w:bookmarkStart w:id="33" w:name="_Toc225758766"/>
      <w:bookmarkEnd w:id="31"/>
      <w:r>
        <w:rPr>
          <w:b w:val="false"/>
          <w:color w:val="000000"/>
        </w:rPr>
        <w:t>4.2 Step-by-Step Narrative</w:t>
      </w:r>
      <w:bookmarkEnd w:id="32"/>
      <w:bookmarkEnd w:id="33"/>
    </w:p>
    <w:p>
      <w:pPr>
        <w:pStyle w:val="ListParagraph"/>
        <w:pageBreakBefore w:val="false"/>
        <w:numPr>
          <w:ilvl w:val="0"/>
          <w:numId w:val="4"/>
        </w:numPr>
        <w:rPr/>
      </w:pPr>
      <w:r>
        <w:rPr/>
        <w:t>The file manager discovers candidate files according to the selected source path, recursion setting, and file-type options.</w:t>
      </w:r>
    </w:p>
    <w:p>
      <w:pPr>
        <w:pStyle w:val="ListParagraph"/>
        <w:pageBreakBefore w:val="false"/>
        <w:numPr>
          <w:ilvl w:val="0"/>
          <w:numId w:val="4"/>
        </w:numPr>
        <w:rPr/>
      </w:pPr>
      <w:r>
        <w:rPr/>
        <w:t>Each artifact is routed to the correct processing branch. DFM files become component trees; Pascal files become structured source units.</w:t>
      </w:r>
    </w:p>
    <w:p>
      <w:pPr>
        <w:pStyle w:val="ListParagraph"/>
        <w:pageBreakBefore w:val="false"/>
        <w:numPr>
          <w:ilvl w:val="0"/>
          <w:numId w:val="4"/>
        </w:numPr>
        <w:rPr/>
      </w:pPr>
      <w:r>
        <w:rPr/>
        <w:t>The integration layer applies global normalization, including unit inference, VCL-to-FMX substitutions, resource rewrites, and compatibility injection.</w:t>
      </w:r>
    </w:p>
    <w:p>
      <w:pPr>
        <w:pStyle w:val="ListParagraph"/>
        <w:pageBreakBefore w:val="false"/>
        <w:numPr>
          <w:ilvl w:val="0"/>
          <w:numId w:val="4"/>
        </w:numPr>
        <w:rPr/>
      </w:pPr>
      <w:r>
        <w:rPr/>
        <w:t>Specialized modules rewrite higher-risk patterns such as WinAPI, custom drawing, media behavior, and data-aware controls.</w:t>
      </w:r>
    </w:p>
    <w:p>
      <w:pPr>
        <w:pStyle w:val="ListParagraph"/>
        <w:pageBreakBefore w:val="false"/>
        <w:numPr>
          <w:ilvl w:val="0"/>
          <w:numId w:val="4"/>
        </w:numPr>
        <w:rPr/>
      </w:pPr>
      <w:r>
        <w:rPr/>
        <w:t>Output files and reports are written, and the converted project is then validated in Delphi.</w:t>
      </w:r>
    </w:p>
    <w:p>
      <w:pPr>
        <w:pStyle w:val="Heading1"/>
        <w:pageBreakBefore w:val="false"/>
        <w:rPr>
          <w:b w:val="false"/>
        </w:rPr>
      </w:pPr>
      <w:bookmarkStart w:id="34" w:name="__RefHeading___Toc6443_239329132"/>
      <w:bookmarkStart w:id="35" w:name="_Toc236592918"/>
      <w:bookmarkEnd w:id="34"/>
      <w:r>
        <w:rPr>
          <w:b w:val="false"/>
          <w:color w:val="000000"/>
        </w:rPr>
        <w:t>5. User Interface and Operator Flow</w:t>
      </w:r>
      <w:bookmarkEnd w:id="35"/>
    </w:p>
    <w:p>
      <w:pPr>
        <w:pStyle w:val="Normal"/>
        <w:pageBreakBefore w:val="false"/>
        <w:rPr/>
      </w:pPr>
      <w:r>
        <w:rPr/>
        <w:t>The operator-facing layer is intentionally simple. Its job is to collect options, start conversion work, and show progress. It should not become the home for core rewrite logic.</w:t>
      </w:r>
    </w:p>
    <w:p>
      <w:pPr>
        <w:pStyle w:val="Heading2"/>
        <w:pageBreakBefore w:val="false"/>
        <w:rPr>
          <w:b w:val="false"/>
        </w:rPr>
      </w:pPr>
      <w:bookmarkStart w:id="36" w:name="__RefHeading___Toc6445_239329132"/>
      <w:bookmarkStart w:id="37" w:name="_Toc236592919"/>
      <w:bookmarkStart w:id="38" w:name="_Toc225758768"/>
      <w:bookmarkEnd w:id="36"/>
      <w:r>
        <w:rPr>
          <w:b w:val="false"/>
          <w:color w:val="000000"/>
        </w:rPr>
        <w:t>5.1 Main Operator Tasks</w:t>
      </w:r>
      <w:bookmarkEnd w:id="37"/>
      <w:bookmarkEnd w:id="38"/>
    </w:p>
    <w:p>
      <w:pPr>
        <w:pStyle w:val="ListParagraph"/>
        <w:pageBreakBefore w:val="false"/>
        <w:numPr>
          <w:ilvl w:val="0"/>
          <w:numId w:val="5"/>
        </w:numPr>
        <w:rPr/>
      </w:pPr>
      <w:r>
        <w:rPr/>
        <w:t>Select the source project or root folder.</w:t>
      </w:r>
    </w:p>
    <w:p>
      <w:pPr>
        <w:pStyle w:val="ListParagraph"/>
        <w:pageBreakBefore w:val="false"/>
        <w:numPr>
          <w:ilvl w:val="0"/>
          <w:numId w:val="5"/>
        </w:numPr>
        <w:rPr/>
      </w:pPr>
      <w:r>
        <w:rPr/>
        <w:t>Select the output directory.</w:t>
      </w:r>
    </w:p>
    <w:p>
      <w:pPr>
        <w:pStyle w:val="ListParagraph"/>
        <w:pageBreakBefore w:val="false"/>
        <w:numPr>
          <w:ilvl w:val="0"/>
          <w:numId w:val="5"/>
        </w:numPr>
        <w:rPr/>
      </w:pPr>
      <w:r>
        <w:rPr/>
        <w:t>Choose recursion and file-scope behavior.</w:t>
      </w:r>
    </w:p>
    <w:p>
      <w:pPr>
        <w:pStyle w:val="ListParagraph"/>
        <w:pageBreakBefore w:val="false"/>
        <w:numPr>
          <w:ilvl w:val="0"/>
          <w:numId w:val="5"/>
        </w:numPr>
        <w:rPr/>
      </w:pPr>
      <w:r>
        <w:rPr/>
        <w:t>Launch the conversion.</w:t>
      </w:r>
    </w:p>
    <w:p>
      <w:pPr>
        <w:pStyle w:val="ListParagraph"/>
        <w:pageBreakBefore w:val="false"/>
        <w:numPr>
          <w:ilvl w:val="0"/>
          <w:numId w:val="5"/>
        </w:numPr>
        <w:rPr/>
      </w:pPr>
      <w:r>
        <w:rPr/>
        <w:t>Review the log, open the converted project, and validate the output in Delphi.</w:t>
      </w:r>
    </w:p>
    <w:p>
      <w:pPr>
        <w:pStyle w:val="Heading2"/>
        <w:pageBreakBefore w:val="false"/>
        <w:rPr>
          <w:b w:val="false"/>
        </w:rPr>
      </w:pPr>
      <w:bookmarkStart w:id="39" w:name="__RefHeading___Toc6447_239329132"/>
      <w:bookmarkStart w:id="40" w:name="_Toc236592920"/>
      <w:bookmarkStart w:id="41" w:name="_Toc225758769"/>
      <w:bookmarkEnd w:id="39"/>
      <w:r>
        <w:rPr>
          <w:b w:val="false"/>
          <w:color w:val="000000"/>
        </w:rPr>
        <w:t>5.2 UI Responsibilities</w:t>
      </w:r>
      <w:bookmarkEnd w:id="40"/>
      <w:bookmarkEnd w:id="41"/>
    </w:p>
    <w:p>
      <w:pPr>
        <w:pStyle w:val="Normal"/>
        <w:pageBreakBefore w:val="false"/>
        <w:spacing w:lineRule="auto" w:line="278"/>
        <w:rPr/>
      </w:pPr>
      <w:r>
        <w:rPr/>
        <w:t>MainForm is responsible for operator workflow, progress output, and status visibility. Conversion logic should remain in the engine, parser, integration, and mapping units unless the user experience itself needs to change. The current v7.0 interface is a tabbed operator workspace with Dashboard, Project Scan, Component Map, Property Map, Event Map, Conversion Output, and Rules. Open Report, Print Report, and Open Output Folder remain UI shell actions, while the four rule toggles are passed into explicit engine options rather than treated as decorative markers.</w:t>
      </w:r>
    </w:p>
    <w:p>
      <w:pPr>
        <w:pStyle w:val="Heading1"/>
        <w:pageBreakBefore w:val="false"/>
        <w:spacing w:before="0" w:after="240"/>
        <w:rPr>
          <w:b w:val="false"/>
        </w:rPr>
      </w:pPr>
      <w:bookmarkStart w:id="42" w:name="__RefHeading___Toc6449_239329132"/>
      <w:bookmarkStart w:id="43" w:name="_Toc236592921"/>
      <w:bookmarkEnd w:id="42"/>
      <w:r>
        <w:rPr>
          <w:b w:val="false"/>
          <w:color w:val="000000"/>
        </w:rPr>
        <w:t>6. Core Engine, File Management, and Orchestration</w:t>
      </w:r>
      <w:bookmarkEnd w:id="43"/>
    </w:p>
    <w:p>
      <w:pPr>
        <w:pStyle w:val="Heading2"/>
        <w:pageBreakBefore w:val="false"/>
        <w:rPr>
          <w:b w:val="false"/>
        </w:rPr>
      </w:pPr>
      <w:bookmarkStart w:id="44" w:name="__RefHeading___Toc6451_239329132"/>
      <w:bookmarkStart w:id="45" w:name="_Toc236592922"/>
      <w:bookmarkStart w:id="46" w:name="_Toc225758771"/>
      <w:bookmarkEnd w:id="44"/>
      <w:r>
        <w:rPr>
          <w:b w:val="false"/>
          <w:color w:val="000000"/>
        </w:rPr>
        <w:t>6.1 Core Types</w:t>
      </w:r>
      <w:bookmarkEnd w:id="45"/>
      <w:bookmarkEnd w:id="46"/>
    </w:p>
    <w:p>
      <w:pPr>
        <w:pStyle w:val="Normal"/>
        <w:pageBreakBefore w:val="false"/>
        <w:rPr/>
      </w:pPr>
      <w:r>
        <w:rPr/>
        <w:t>Converter.Core.Types defines shared conversion types, issue tracking, options, and context state. It is the vocabulary layer the rest of the converter relies on.</w:t>
      </w:r>
    </w:p>
    <w:p>
      <w:pPr>
        <w:pStyle w:val="Heading2"/>
        <w:pageBreakBefore w:val="false"/>
        <w:rPr>
          <w:b w:val="false"/>
        </w:rPr>
      </w:pPr>
      <w:bookmarkStart w:id="47" w:name="__RefHeading___Toc6453_239329132"/>
      <w:bookmarkStart w:id="48" w:name="_Toc236592923"/>
      <w:bookmarkStart w:id="49" w:name="_Toc225758772"/>
      <w:bookmarkEnd w:id="47"/>
      <w:r>
        <w:rPr>
          <w:b w:val="false"/>
          <w:color w:val="000000"/>
        </w:rPr>
        <w:t>6.2 Engine</w:t>
      </w:r>
      <w:bookmarkEnd w:id="48"/>
      <w:bookmarkEnd w:id="49"/>
    </w:p>
    <w:p>
      <w:pPr>
        <w:pStyle w:val="Normal"/>
        <w:pageBreakBefore w:val="false"/>
        <w:rPr>
          <w:b/>
        </w:rPr>
      </w:pPr>
      <w:bookmarkStart w:id="50" w:name="_Toc225758773"/>
      <w:r>
        <w:rPr/>
        <w:t>Converter.Core.Engine coordinates top-level conversion sequencing, lifecycle control, and status accounting. It should remain focused on orchestration rather than file-format specifics. The current report path in this layer is also where the clearer v4 report wording is decided: Blocking issues present, Manual review required, Clean conversion, Distinct files needing attention, and the HTML-first report behavior exposed through the UI.</w:t>
      </w:r>
    </w:p>
    <w:p>
      <w:pPr>
        <w:pStyle w:val="Normal"/>
        <w:pageBreakBefore w:val="false"/>
        <w:rPr>
          <w:b/>
        </w:rPr>
      </w:pPr>
      <w:r>
        <w:rPr/>
        <w:t>6.3 File Management</w:t>
      </w:r>
      <w:bookmarkEnd w:id="50"/>
    </w:p>
    <w:p>
      <w:pPr>
        <w:pStyle w:val="Normal"/>
        <w:pageBreakBefore w:val="false"/>
        <w:rPr>
          <w:b/>
        </w:rPr>
      </w:pPr>
      <w:bookmarkStart w:id="51" w:name="_Toc225758774"/>
      <w:r>
        <w:rPr/>
        <w:t>Converter.Core.FileManager handles source discovery and output writing. It is responsible for honoring recursion options, preserving relative structure where practical, and preventing stale output from being mistaken for current output. In the current v7.0 path it also owns the practical output-reset behavior: the destination folder is created when conversion starts, and stale build subtrees such as Win32, Win64, Debug, Release, deploy, and __history are removed before regenerated files are written.</w:t>
      </w:r>
    </w:p>
    <w:p>
      <w:pPr>
        <w:pStyle w:val="Normal"/>
        <w:pageBreakBefore w:val="false"/>
        <w:rPr>
          <w:b/>
        </w:rPr>
      </w:pPr>
      <w:r>
        <w:rPr/>
        <w:t>6.4 Integration</w:t>
      </w:r>
      <w:bookmarkEnd w:id="51"/>
    </w:p>
    <w:p>
      <w:pPr>
        <w:pStyle w:val="Normal"/>
        <w:pageBreakBefore w:val="false"/>
        <w:spacing w:lineRule="auto" w:line="278"/>
        <w:rPr/>
      </w:pPr>
      <w:r>
        <w:rPr/>
        <w:t>Converter.Core.Integration is the highest-leverage engineering unit in the system. It applies cross-file FMX rewrites, uses-clause rebuilding, binding injection, runtime compatibility changes, and late-stage normalization. Recent v7.0 work in this layer is also where many stability fixes now live: combo popup suppression and preservation, data-aware cleanup restoration, DisplayText refresh helpers, runtime text-metric helpers, and the narrow float-division rewrite used for FMX size and position math.</w:t>
      </w:r>
    </w:p>
    <w:p>
      <w:pPr>
        <w:pStyle w:val="Heading1"/>
        <w:pageBreakBefore w:val="false"/>
        <w:spacing w:before="0" w:after="240"/>
        <w:rPr>
          <w:b w:val="false"/>
        </w:rPr>
      </w:pPr>
      <w:bookmarkStart w:id="52" w:name="__RefHeading___Toc6455_239329132"/>
      <w:bookmarkStart w:id="53" w:name="_Toc236592924"/>
      <w:bookmarkEnd w:id="52"/>
      <w:r>
        <w:rPr>
          <w:b w:val="false"/>
          <w:color w:val="000000"/>
        </w:rPr>
        <w:t>7. DFM Parsing and FMX Form Generation</w:t>
      </w:r>
      <w:bookmarkEnd w:id="53"/>
    </w:p>
    <w:p>
      <w:pPr>
        <w:pStyle w:val="Heading2"/>
        <w:pageBreakBefore w:val="false"/>
        <w:rPr>
          <w:b w:val="false"/>
        </w:rPr>
      </w:pPr>
      <w:bookmarkStart w:id="54" w:name="__RefHeading___Toc6457_239329132"/>
      <w:bookmarkStart w:id="55" w:name="_Toc236592925"/>
      <w:bookmarkStart w:id="56" w:name="_Toc225758776"/>
      <w:bookmarkEnd w:id="54"/>
      <w:r>
        <w:rPr>
          <w:b w:val="false"/>
          <w:color w:val="000000"/>
        </w:rPr>
        <w:t>7.1 Internal Model</w:t>
      </w:r>
      <w:bookmarkEnd w:id="55"/>
      <w:bookmarkEnd w:id="56"/>
    </w:p>
    <w:p>
      <w:pPr>
        <w:pStyle w:val="Normal"/>
        <w:pageBreakBefore w:val="false"/>
        <w:rPr/>
      </w:pPr>
      <w:r>
        <w:rPr/>
        <w:t>Converter.Parser.DFM builds an intermediate component tree that can retain names, classes, properties, events, child objects, collection items, and dataset field objects. This intermediate structure is what lets the converter preserve more than literal text.</w:t>
      </w:r>
    </w:p>
    <w:p>
      <w:pPr>
        <w:pStyle w:val="Heading2"/>
        <w:pageBreakBefore w:val="false"/>
        <w:rPr>
          <w:b w:val="false"/>
        </w:rPr>
      </w:pPr>
      <w:bookmarkStart w:id="57" w:name="__RefHeading___Toc6459_239329132"/>
      <w:bookmarkStart w:id="58" w:name="_Toc236592926"/>
      <w:bookmarkStart w:id="59" w:name="_Toc225758777"/>
      <w:bookmarkEnd w:id="57"/>
      <w:r>
        <w:rPr>
          <w:b w:val="false"/>
          <w:color w:val="000000"/>
        </w:rPr>
        <w:t>7.2 Parsing Responsibilities</w:t>
      </w:r>
      <w:bookmarkEnd w:id="58"/>
      <w:bookmarkEnd w:id="59"/>
    </w:p>
    <w:p>
      <w:pPr>
        <w:pStyle w:val="Normal"/>
        <w:pageBreakBefore w:val="false"/>
        <w:rPr/>
      </w:pPr>
      <w:r>
        <w:rPr/>
        <w:t>The parser must correctly handle text DFMs, binary form normalization, nested objects, multiline properties, image payloads, collection items such as DBGrid columns, and dataset field definitions.</w:t>
      </w:r>
    </w:p>
    <w:p>
      <w:pPr>
        <w:pStyle w:val="Heading2"/>
        <w:pageBreakBefore w:val="false"/>
        <w:rPr>
          <w:b w:val="false"/>
        </w:rPr>
      </w:pPr>
      <w:bookmarkStart w:id="60" w:name="__RefHeading___Toc6461_239329132"/>
      <w:bookmarkStart w:id="61" w:name="_Toc236592927"/>
      <w:bookmarkStart w:id="62" w:name="_Toc225758778"/>
      <w:bookmarkEnd w:id="60"/>
      <w:r>
        <w:rPr>
          <w:b w:val="false"/>
          <w:color w:val="000000"/>
        </w:rPr>
        <w:t>7.3 Generation Responsibilities</w:t>
      </w:r>
      <w:bookmarkEnd w:id="61"/>
      <w:bookmarkEnd w:id="62"/>
    </w:p>
    <w:p>
      <w:pPr>
        <w:pStyle w:val="Normal"/>
        <w:pageBreakBefore w:val="false"/>
        <w:rPr/>
      </w:pPr>
      <w:r>
        <w:rPr/>
        <w:t>The generator must emit FMX-safe form text while preserving class intent, parent-child structure, collection syntax, geometry, and field object definitions.</w:t>
      </w:r>
    </w:p>
    <w:p>
      <w:pPr>
        <w:pStyle w:val="Normal"/>
        <w:pageBreakBefore w:val="false"/>
        <w:rPr/>
      </w:pPr>
      <w:r>
        <w:rPr/>
        <w:t>Recent generic hardening in this layer focused on form-reader safety and FMX layout fidelity. The DFM generator now strips or remaps several common VCL-only streamed properties before emission, including KeyPreview on root forms, TMemo.ScrollBars, track and progress Position properties, root-form OnDblClick, and MaxLength on numeric FMX controls such as TNumberBox and TSpinBox. It also preserves more of the original label intent by emitting safer AutoSize, anchor, StyledSettings, and text-setting combinations so centered labels and runtime-sized labels survive FMX more faithfully. Root forms and datamodules are also kept out of unsupported-component matching so user-defined form classes do not become false blockers.</w:t>
        <w:br/>
        <w:t>Risk Area</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Area</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Failure Mode</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Mitigation Approach</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Collections</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Grid columns, menu items, or other nested items disappear.</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Preserve collection objects in the intermediate model and regenerate them explicitly.</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Images</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Binary payloads become invalid or disappear.</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Normalize image data and emit FMX-safe image payloads.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Property leaks</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FMX form reader rejects VCL-only properties.</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Filter or remap unsupported properties before emission.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Layout</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Controls appear stacked, hidden, or mis-parented.</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Preserve parent-child relationships and emit FMX-native geometry.</w:t>
            </w:r>
          </w:p>
        </w:tc>
      </w:tr>
    </w:tbl>
    <w:p>
      <w:pPr>
        <w:pStyle w:val="Heading1"/>
        <w:pageBreakBefore w:val="false"/>
        <w:rPr>
          <w:b w:val="false"/>
        </w:rPr>
      </w:pPr>
      <w:bookmarkStart w:id="63" w:name="__RefHeading___Toc6463_239329132"/>
      <w:bookmarkStart w:id="64" w:name="_Toc236592928"/>
      <w:bookmarkStart w:id="65" w:name="_Toc225758779"/>
      <w:bookmarkEnd w:id="63"/>
      <w:r>
        <w:rPr>
          <w:b w:val="false"/>
          <w:color w:val="000000"/>
        </w:rPr>
        <w:t>8. Pascal Parsing and Source Rewriting</w:t>
      </w:r>
      <w:bookmarkEnd w:id="64"/>
      <w:bookmarkEnd w:id="65"/>
    </w:p>
    <w:p>
      <w:pPr>
        <w:pStyle w:val="Heading2"/>
        <w:pageBreakBefore w:val="false"/>
        <w:rPr>
          <w:b w:val="false"/>
        </w:rPr>
      </w:pPr>
      <w:bookmarkStart w:id="66" w:name="__RefHeading___Toc6465_239329132"/>
      <w:bookmarkStart w:id="67" w:name="_Toc236592929"/>
      <w:bookmarkStart w:id="68" w:name="_Toc225758780"/>
      <w:bookmarkEnd w:id="66"/>
      <w:r>
        <w:rPr>
          <w:b w:val="false"/>
          <w:color w:val="000000"/>
        </w:rPr>
        <w:t>8.1 Parser Responsibilities</w:t>
      </w:r>
      <w:bookmarkEnd w:id="67"/>
      <w:bookmarkEnd w:id="68"/>
    </w:p>
    <w:p>
      <w:pPr>
        <w:pStyle w:val="Normal"/>
        <w:pageBreakBefore w:val="false"/>
        <w:rPr/>
      </w:pPr>
      <w:r>
        <w:rPr/>
        <w:t>Converter.Parser.Pascal identifies interface and implementation sections, class declarations, method declarations, resource directives, and other structural boundaries so that rewrites do not corrupt valid Delphi syntax.</w:t>
      </w:r>
    </w:p>
    <w:p>
      <w:pPr>
        <w:pStyle w:val="Heading2"/>
        <w:pageBreakBefore w:val="false"/>
        <w:rPr>
          <w:b w:val="false"/>
        </w:rPr>
      </w:pPr>
      <w:bookmarkStart w:id="69" w:name="__RefHeading___Toc6467_239329132"/>
      <w:bookmarkStart w:id="70" w:name="_Toc236592930"/>
      <w:bookmarkStart w:id="71" w:name="_Toc225758781"/>
      <w:bookmarkEnd w:id="69"/>
      <w:r>
        <w:rPr>
          <w:b w:val="false"/>
          <w:color w:val="000000"/>
        </w:rPr>
        <w:t>8.2 Rewrite Objectives</w:t>
      </w:r>
      <w:bookmarkEnd w:id="70"/>
      <w:bookmarkEnd w:id="71"/>
    </w:p>
    <w:p>
      <w:pPr>
        <w:pStyle w:val="ListParagraph"/>
        <w:pageBreakBefore w:val="false"/>
        <w:numPr>
          <w:ilvl w:val="0"/>
          <w:numId w:val="6"/>
        </w:numPr>
        <w:rPr/>
      </w:pPr>
      <w:r>
        <w:rPr/>
        <w:t>Remove or replace VCL-only unit references.</w:t>
      </w:r>
    </w:p>
    <w:p>
      <w:pPr>
        <w:pStyle w:val="ListParagraph"/>
        <w:pageBreakBefore w:val="false"/>
        <w:numPr>
          <w:ilvl w:val="0"/>
          <w:numId w:val="6"/>
        </w:numPr>
        <w:rPr/>
      </w:pPr>
      <w:r>
        <w:rPr/>
        <w:t>Add the FMX units required by the rewritten code.</w:t>
      </w:r>
    </w:p>
    <w:p>
      <w:pPr>
        <w:pStyle w:val="ListParagraph"/>
        <w:pageBreakBefore w:val="false"/>
        <w:numPr>
          <w:ilvl w:val="0"/>
          <w:numId w:val="6"/>
        </w:numPr>
        <w:rPr/>
      </w:pPr>
      <w:r>
        <w:rPr/>
        <w:t>Normalize resource directives from *.dfm to *.fmx.</w:t>
      </w:r>
    </w:p>
    <w:p>
      <w:pPr>
        <w:pStyle w:val="ListParagraph"/>
        <w:pageBreakBefore w:val="false"/>
        <w:numPr>
          <w:ilvl w:val="0"/>
          <w:numId w:val="6"/>
        </w:numPr>
        <w:rPr/>
      </w:pPr>
      <w:r>
        <w:rPr/>
        <w:t>Preserve valid declarations and method boundaries.</w:t>
      </w:r>
    </w:p>
    <w:p>
      <w:pPr>
        <w:pStyle w:val="ListParagraph"/>
        <w:pageBreakBefore w:val="false"/>
        <w:numPr>
          <w:ilvl w:val="0"/>
          <w:numId w:val="6"/>
        </w:numPr>
        <w:rPr/>
      </w:pPr>
      <w:r>
        <w:rPr/>
        <w:t>Emit FMX-safe replacements or manual-review comments for unsupported constructs.</w:t>
      </w:r>
    </w:p>
    <w:p>
      <w:pPr>
        <w:pStyle w:val="Normal"/>
        <w:pageBreakBefore w:val="false"/>
        <w:spacing w:lineRule="auto" w:line="278"/>
        <w:rPr/>
      </w:pPr>
      <w:r>
        <w:rPr/>
        <w:t>Current generic rewrites also normalize several high-friction code patterns discovered in real projects: TMemo.Clear is rewritten to Lines.Clear, numeric Position reads and writes are adapted to FMX Value semantics where appropriate, Windows multimedia code keeps Winapi.MMSystem when wave APIs are present, thread marshaling is normalized toward public TThread.Queue and TThread.Synchronize call shapes that the installed Delphi compiler accepts, folder-only browse logic is redirected toward SelectDirectory, and generated FMX MessageDlg calls now qualify button tokens through TMsgDlgBtn so they match the FMX and System.UITypes API surface.</w:t>
      </w:r>
    </w:p>
    <w:p>
      <w:pPr>
        <w:pStyle w:val="Heading1"/>
        <w:pageBreakBefore w:val="false"/>
        <w:spacing w:before="0" w:after="240"/>
        <w:rPr>
          <w:b w:val="false"/>
        </w:rPr>
      </w:pPr>
      <w:bookmarkStart w:id="72" w:name="__RefHeading___Toc6469_239329132"/>
      <w:bookmarkStart w:id="73" w:name="_Toc236592931"/>
      <w:bookmarkEnd w:id="72"/>
      <w:r>
        <w:rPr>
          <w:b w:val="false"/>
          <w:color w:val="000000"/>
        </w:rPr>
        <w:t>9. Component Mapping and Property Transformation</w:t>
      </w:r>
      <w:bookmarkEnd w:id="73"/>
    </w:p>
    <w:p>
      <w:pPr>
        <w:pStyle w:val="Normal"/>
        <w:pageBreakBefore w:val="false"/>
        <w:rPr/>
      </w:pPr>
      <w:r>
        <w:rPr/>
        <w:t>Converter.Mapper.Component acts as the mapping knowledge base. It determines class targets, property equivalents, and some heuristics for how a VCL control should be represented in FMX. In v7.0 it also loads deterministic JSON mapping packs, validates mapping actions, and records pack metadata such as vendor, pack name, version, confidence, and review guidance.</w:t>
      </w:r>
    </w:p>
    <w:p>
      <w:pPr>
        <w:pStyle w:val="Heading2"/>
        <w:pageBreakBefore w:val="false"/>
        <w:rPr/>
      </w:pPr>
      <w:bookmarkStart w:id="74" w:name="__RefHeading___Toc6471_239329132"/>
      <w:bookmarkStart w:id="75" w:name="_Toc236592932"/>
      <w:bookmarkEnd w:id="74"/>
      <w:r>
        <w:rPr>
          <w:color w:val="000000"/>
        </w:rPr>
        <w:t>9.1 Mapping-Pack Architecture and JSON Files</w:t>
      </w:r>
      <w:bookmarkEnd w:id="75"/>
    </w:p>
    <w:p>
      <w:pPr>
        <w:pStyle w:val="Normal"/>
        <w:pageBreakBefore w:val="false"/>
        <w:rPr/>
      </w:pPr>
      <w:r>
        <w:rPr/>
        <w:t>V4.1 mapping packs are external JSON files loaded from the mapping_packs folder before conversion. They extend the mapper without placing commercial-library assumptions directly in the converter core. This boundary is important: core code should provide the loader, schema validation, action semantics, property/event integration, and reporting, while individual vendor assumptions live in separate pack files.</w:t>
      </w:r>
    </w:p>
    <w:p>
      <w:pPr>
        <w:pStyle w:val="Normal"/>
        <w:pageBreakBefore w:val="false"/>
        <w:rPr/>
      </w:pPr>
      <w:r>
        <w:rPr/>
        <w:t>The schema file is docs\mapping-pack-schema-v1.json. The operator-facing guide is docs\guides\Mapping_Packs_v4.md. The V4.1 distribution includes starter JSON packs for DevExpress, TMS, Raize/Konopka, JVCL, EhLib, InfoPower, FastReport, TeeChart, VirtualTreeView, Devart, and IntraWeb/UniGUI.</w:t>
      </w:r>
    </w:p>
    <w:p>
      <w:pPr>
        <w:pStyle w:val="Normal"/>
        <w:pageBreakBefore w:val="false"/>
        <w:rPr/>
      </w:pPr>
      <w:r>
        <w:rPr/>
        <w:t>Each pack declares pack metadata plus a rules array. Pack metadata identifies pack_name, pack_id, vendor, version, description, and mode. Rules can specify vcl_class, fmx_class, action, confidence or probability, notes, property mappings, event mappings, manual_review_reason, vendor, and inherited pack metadata.</w:t>
      </w:r>
    </w:p>
    <w:p>
      <w:pPr>
        <w:pStyle w:val="Normal"/>
        <w:pageBreakBefore w:val="false"/>
        <w:rPr/>
      </w:pPr>
      <w:r>
        <w:rPr/>
        <w:t>The supported rule actions are convert, partial, manual_review, detect_only, and preserve. The generator must treat detect_only and manual_review as report-only decisions, partial as generated output with limitations reported, and preserve as an explicit decision that remains visible in the report.</w:t>
      </w:r>
    </w:p>
    <w:p>
      <w:pPr>
        <w:pStyle w:val="Heading3"/>
        <w:pageBreakBefore w:val="false"/>
        <w:rPr/>
      </w:pPr>
      <w:bookmarkStart w:id="76" w:name="__RefHeading___Toc6473_239329132"/>
      <w:bookmarkStart w:id="77" w:name="_Toc236592933"/>
      <w:bookmarkEnd w:id="76"/>
      <w:r>
        <w:rPr>
          <w:color w:val="000000"/>
        </w:rPr>
        <w:t>Action behavior contract</w:t>
      </w:r>
      <w:bookmarkEnd w:id="77"/>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8"/>
        <w:gridCol w:w="3408"/>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Action</w:t>
            </w:r>
          </w:p>
        </w:tc>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Generator Behavior</w:t>
            </w:r>
          </w:p>
        </w:tc>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Report requirement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Generate the declared FMX class.</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Record pack name, source class, target class, and confidence.</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partial</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Generate the declared FMX class when useful.</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Record limitations and require review.</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manual_review</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Do not generate an unsafe replacement.</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Record the reason and affected component.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detect_only</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Do not generate a replacement.</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Record the detected class/vendor and location.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preserve</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Keep the original reference only when preservation is intentional.</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Record what was preserved and why it needs review.</w:t>
            </w:r>
          </w:p>
        </w:tc>
      </w:tr>
    </w:tbl>
    <w:p>
      <w:pPr>
        <w:pStyle w:val="Normal"/>
        <w:pageBreakBefore w:val="false"/>
        <w:rPr/>
      </w:pPr>
      <w:r>
        <w:rPr/>
        <w:t>Loader guardrails matter. Pack files should load in deterministic filename order, unsupported actions must be rejected, malformed packs should not partially activate, and duplicate mappings should resolve predictably. Low-confidence or report-only rules must never silently generate replacement FMX components.</w:t>
      </w:r>
    </w:p>
    <w:p>
      <w:pPr>
        <w:pStyle w:val="Normal"/>
        <w:pageBreakBefore w:val="false"/>
        <w:rPr/>
      </w:pPr>
      <w:r>
        <w:rPr/>
        <w:t>At runtime, the mapper supplies pack metadata to the DFM conversion path so component, property, and event decisions can be reported. External pack property and event rules should flow through the same mapping paths used by built-in mappings so FindMappedProperty, FindMappedEvent, ResolvePropertyMapping, and ResolveEventMapping remain the integration points.</w:t>
      </w:r>
    </w:p>
    <w:p>
      <w:pPr>
        <w:pStyle w:val="Heading3"/>
        <w:pageBreakBefore w:val="false"/>
        <w:rPr/>
      </w:pPr>
      <w:bookmarkStart w:id="78" w:name="__RefHeading___Toc6475_239329132"/>
      <w:bookmarkStart w:id="79" w:name="_Toc236592934"/>
      <w:bookmarkEnd w:id="78"/>
      <w:r>
        <w:rPr>
          <w:color w:val="000000"/>
        </w:rPr>
        <w:t>Reporting and test expectations</w:t>
      </w:r>
      <w:bookmarkEnd w:id="79"/>
    </w:p>
    <w:p>
      <w:pPr>
        <w:pStyle w:val="Normal"/>
        <w:pageBreakBefore w:val="false"/>
        <w:rPr/>
      </w:pPr>
      <w:r>
        <w:rPr/>
        <w:t>The HTML report should remain the audit trail for loaded packs, converted third-party components, partial conversions, detect-only findings, preserved components, unknown third-party-looking classes, confidence values, and manual-review reasons.</w:t>
      </w:r>
    </w:p>
    <w:p>
      <w:pPr>
        <w:pStyle w:val="Normal"/>
        <w:pageBreakBefore w:val="false"/>
        <w:rPr/>
      </w:pPr>
      <w:r>
        <w:rPr/>
        <w:t>Engineering tests can use mock DFM classes to verify pack loading, rule matching, action behavior, property/event mapping, and report output without installing the vendor libraries. Those tests validate converter behavior; they do not certify vendor runtime equivalence.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VCL Class</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FMX Target</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Engineering Note</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TForm</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TForm</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Root forms now participate in the explicit class matrix while still flowing through dedicated parser and generator rules.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TFrame</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TFrame</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Frames are treated as first-class FMX targets rather than falling into a generic form-only path.</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TPanel</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TPanel</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Preserves visible container behavior better than TLayout.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TGroupBox</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TGroupBox</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Keeps captioned frame semantics visible to the user.</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TMaskEdit</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TEdit</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an FMX edit target and leaves mask-specific behavior as explicit manual review.</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TStaticText</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TLabel</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Converts cleanly to an FMX label with caption-to-text normalization.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TFlowPanel</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TFlowLayout</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the closest stock FMX flowing container.</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TGridPanel</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TGridPanelLayout</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the closest stock FMX grid-layout container.</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TCheckListBox</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TListBox</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Maps to an FMX list box and flags checked-item behavior for review.</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TDBGrid</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TStringGrid</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Requires FMX DB-aware binding support, not just a renamed class.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TDBCtrlGrid</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TStringGrid</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Requires structural redesign and is kept as a low-confidence substitute with manual review expectations.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TDBEdit</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TEdit</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Usually paired with TLinkControlToField.</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TDBListBox</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TListBox</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LiveBindings plus list/lookup review rather than pretending FMX has a direct DB-aware twin.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TDBComboBox</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TComboEdit</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Generated combo/data bridge is safer than a blind class rename.</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TNumberBox</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TNumberBox</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Supported directly with numeric property remaps and FMX.NumberBox unit injection.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TSpinEdit</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TSpinBox</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Converted through numeric-property and value-semantics normalization.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TColorBox</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TColorComboBox</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Mapped to the FMX color-picker style control.</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TPaintBox</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TPaintBox</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Supported directly when the FMX.Objects unit is present.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TRadioGroup</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TRadioGroup</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Handled through a reusable compatibility path that rebuilds internal FMX radio buttons safely.</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TRichEdit</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TMemo</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TMemo as the closest stock FMX text surface and leaves rich-text behavior for review.</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TDrawGrid</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TStringGrid</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an FMX string grid and marks custom drawing semantics as a follow-up concern.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TFileSaveDialog</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TSaveDialog</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Normalizes the Vista-style dialog to the closest stock FMX save dialog.</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TLinkLabel</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TLabel</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Preserves visible text while leaving hyperlink behavior for review.</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TFontDialog</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TFontDialog</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the generated FMX compatibility dialog with Execute and Font semantics.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TTaskDialog</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Manual review</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No stock FMX task dialog exists, so this remains an explicit manual-review row.</w:t>
            </w:r>
          </w:p>
        </w:tc>
      </w:tr>
    </w:tbl>
    <w:p>
      <w:pPr>
        <w:pStyle w:val="Normal"/>
        <w:pageBreakBefore w:val="false"/>
        <w:rPr/>
      </w:pPr>
      <w:r>
        <w:rPr/>
        <w:t>A class rename alone is rarely enough. Mapping also depends on property filtering, event translation, runtime compatibility rewrites, and in many cases additional FMX infrastructure.</w:t>
      </w:r>
    </w:p>
    <w:p>
      <w:pPr>
        <w:pStyle w:val="Normal"/>
        <w:pageBreakBefore w:val="false"/>
        <w:rPr/>
      </w:pPr>
      <w:r>
        <w:rPr/>
        <w:t>The current mapper also exports explicit RTTI-backed reference artifacts: vcl_class_inventory.json, fmx_class_inventory.json, class_mapping_matrix.json, property_mapping_matrix.json, and event_mapping_matrix.json. Those artifacts make the current mapping surface auditable and give the reporting/documentation layer a firmer source of truth than older ad hoc summaries.</w:t>
      </w:r>
    </w:p>
    <w:p>
      <w:pPr>
        <w:pStyle w:val="Normal"/>
        <w:pageBreakBefore w:val="false"/>
        <w:rPr/>
      </w:pPr>
      <w:r>
        <w:rPr/>
        <w:t>These broader mappings and matrices were added only after they were verified as generic patterns across multiple independent projects. They are a reminder that release-quality coverage depends on repeated corpus testing, not on one successful application.</w:t>
      </w:r>
    </w:p>
    <w:p>
      <w:pPr>
        <w:pStyle w:val="Heading1"/>
        <w:pageBreakBefore w:val="false"/>
        <w:spacing w:before="0" w:after="240"/>
        <w:rPr>
          <w:b w:val="false"/>
        </w:rPr>
      </w:pPr>
      <w:bookmarkStart w:id="80" w:name="__RefHeading___Toc6477_239329132"/>
      <w:bookmarkStart w:id="81" w:name="_Toc236592935"/>
      <w:bookmarkEnd w:id="80"/>
      <w:r>
        <w:rPr>
          <w:b w:val="false"/>
          <w:color w:val="000000"/>
        </w:rPr>
        <w:t>10. Data-Aware Conversion and LiveBindings</w:t>
      </w:r>
      <w:bookmarkEnd w:id="81"/>
    </w:p>
    <w:p>
      <w:pPr>
        <w:pStyle w:val="Normal"/>
        <w:pageBreakBefore w:val="false"/>
        <w:rPr/>
      </w:pPr>
      <w:r>
        <w:rPr/>
        <w:t>Data-aware conversion is one of the most sensitive parts of the converter because VCL DB controls and FMX controls differ both visually and architecturally.</w:t>
      </w:r>
    </w:p>
    <w:p>
      <w:pPr>
        <w:pStyle w:val="Heading2"/>
        <w:pageBreakBefore w:val="false"/>
        <w:rPr>
          <w:b w:val="false"/>
        </w:rPr>
      </w:pPr>
      <w:bookmarkStart w:id="82" w:name="__RefHeading___Toc6479_239329132"/>
      <w:bookmarkStart w:id="83" w:name="_Toc236592936"/>
      <w:bookmarkStart w:id="84" w:name="_Toc225758784"/>
      <w:bookmarkEnd w:id="82"/>
      <w:r>
        <w:rPr>
          <w:b w:val="false"/>
          <w:color w:val="000000"/>
        </w:rPr>
        <w:t>10.1 Current Binding Relationship</w:t>
      </w:r>
      <w:bookmarkEnd w:id="83"/>
      <w:bookmarkEnd w:id="84"/>
    </w:p>
    <w:p>
      <w:pPr>
        <w:pStyle w:val="Normal"/>
        <w:pageBreakBefore w:val="false"/>
        <w:rPr/>
      </w:pPr>
      <w:r>
        <w:rPr/>
        <w:t>The current preferred binding model uses an FMX data source bridge and then control-specific binding components.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156"/>
        <w:gridCol w:w="875"/>
        <w:gridCol w:w="1415"/>
        <w:gridCol w:w="882"/>
        <w:gridCol w:w="1669"/>
        <w:gridCol w:w="880"/>
        <w:gridCol w:w="1310"/>
        <w:gridCol w:w="875"/>
        <w:gridCol w:w="1162"/>
      </w:tblGrid>
      <w:tr>
        <w:trPr>
          <w:tblHeader w:val="true"/>
          <w:cantSplit/>
        </w:trPr>
        <w:tc>
          <w:tcPr>
            <w:tcW w:w="115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Dataset</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TFDQuery or other dataset</w:t>
            </w:r>
          </w:p>
        </w:tc>
        <w:tc>
          <w:tcPr>
            <w:tcW w:w="87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rFonts w:eastAsia="Calibri" w:cs="Segoe UI Symbol"/>
                <w:b/>
                <w:color w:val="FFFFFF"/>
                <w:kern w:val="2"/>
                <w:sz w:val="19"/>
                <w:szCs w:val="44"/>
                <w:lang w:val="en-US" w:eastAsia="en-US" w:bidi="ar-SA"/>
              </w:rPr>
              <w:t>➜</w:t>
            </w:r>
          </w:p>
        </w:tc>
        <w:tc>
          <w:tcPr>
            <w:tcW w:w="141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Data Source</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TDataSource</w:t>
            </w:r>
          </w:p>
        </w:tc>
        <w:tc>
          <w:tcPr>
            <w:tcW w:w="88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 w:val="44"/>
                <w:szCs w:val="44"/>
              </w:rPr>
            </w:pPr>
            <w:r>
              <w:rPr>
                <w:b/>
                <w:sz w:val="44"/>
                <w:szCs w:val="44"/>
              </w:rPr>
            </w:r>
          </w:p>
          <w:p>
            <w:pPr>
              <w:pStyle w:val="Normal"/>
              <w:keepNext w:val="false"/>
              <w:keepLines w:val="false"/>
              <w:widowControl/>
              <w:suppressAutoHyphens w:val="true"/>
              <w:spacing w:lineRule="auto" w:line="240" w:before="40" w:after="40"/>
              <w:jc w:val="center"/>
              <w:rPr>
                <w:b/>
                <w:sz w:val="20"/>
              </w:rPr>
            </w:pPr>
            <w:r>
              <w:rPr>
                <w:rFonts w:eastAsia="Calibri" w:cs="Segoe UI Symbol"/>
                <w:b/>
                <w:color w:val="FFFFFF"/>
                <w:kern w:val="2"/>
                <w:sz w:val="19"/>
                <w:szCs w:val="44"/>
                <w:lang w:val="en-US" w:eastAsia="en-US" w:bidi="ar-SA"/>
              </w:rPr>
              <w:t>➜</w:t>
            </w:r>
          </w:p>
        </w:tc>
        <w:tc>
          <w:tcPr>
            <w:tcW w:w="166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FMX Bridge</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TBindSourceDB</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kern w:val="2"/>
                <w:szCs w:val="24"/>
                <w:lang w:val="en-US" w:eastAsia="en-US" w:bidi="ar-SA"/>
              </w:rPr>
            </w:r>
          </w:p>
        </w:tc>
        <w:tc>
          <w:tcPr>
            <w:tcW w:w="88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 w:val="44"/>
                <w:szCs w:val="44"/>
              </w:rPr>
            </w:pPr>
            <w:r>
              <w:rPr>
                <w:b/>
                <w:sz w:val="44"/>
                <w:szCs w:val="44"/>
              </w:rPr>
            </w:r>
          </w:p>
          <w:p>
            <w:pPr>
              <w:pStyle w:val="Normal"/>
              <w:keepNext w:val="false"/>
              <w:keepLines w:val="false"/>
              <w:widowControl/>
              <w:suppressAutoHyphens w:val="true"/>
              <w:spacing w:lineRule="auto" w:line="240" w:before="40" w:after="40"/>
              <w:jc w:val="center"/>
              <w:rPr>
                <w:b/>
                <w:sz w:val="20"/>
              </w:rPr>
            </w:pPr>
            <w:r>
              <w:rPr>
                <w:rFonts w:eastAsia="Calibri" w:cs="Segoe UI Symbol"/>
                <w:b/>
                <w:color w:val="FFFFFF"/>
                <w:kern w:val="2"/>
                <w:sz w:val="19"/>
                <w:szCs w:val="44"/>
                <w:lang w:val="en-US" w:eastAsia="en-US" w:bidi="ar-SA"/>
              </w:rPr>
              <w:t>➜</w:t>
            </w:r>
          </w:p>
        </w:tc>
        <w:tc>
          <w:tcPr>
            <w:tcW w:w="1310"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Binding Link</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Control or DB grid binding component</w:t>
            </w:r>
          </w:p>
        </w:tc>
        <w:tc>
          <w:tcPr>
            <w:tcW w:w="875"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b/>
                <w:sz w:val="20"/>
              </w:rPr>
            </w:r>
          </w:p>
          <w:p>
            <w:pPr>
              <w:pStyle w:val="Normal"/>
              <w:keepNext w:val="false"/>
              <w:keepLines w:val="false"/>
              <w:widowControl/>
              <w:suppressAutoHyphens w:val="true"/>
              <w:spacing w:lineRule="auto" w:line="240" w:before="40" w:after="40"/>
              <w:jc w:val="center"/>
              <w:rPr>
                <w:b/>
                <w:sz w:val="20"/>
              </w:rPr>
            </w:pPr>
            <w:r>
              <w:rPr>
                <w:rFonts w:eastAsia="Calibri" w:cs="Segoe UI Symbol"/>
                <w:b/>
                <w:color w:val="FFFFFF"/>
                <w:kern w:val="2"/>
                <w:sz w:val="19"/>
                <w:szCs w:val="44"/>
                <w:lang w:val="en-US" w:eastAsia="en-US" w:bidi="ar-SA"/>
              </w:rPr>
              <w:t>➜</w:t>
            </w:r>
          </w:p>
        </w:tc>
        <w:tc>
          <w:tcPr>
            <w:tcW w:w="116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FMX Control</w:t>
            </w:r>
          </w:p>
          <w:p>
            <w:pPr>
              <w:pStyle w:val="Normal"/>
              <w:keepNext w:val="false"/>
              <w:keepLines w:val="false"/>
              <w:widowControl/>
              <w:suppressAutoHyphens w:val="true"/>
              <w:spacing w:lineRule="auto" w:line="240" w:before="40" w:after="40"/>
              <w:jc w:val="center"/>
              <w:rPr>
                <w:rFonts w:eastAsia="Calibri" w:cs=""/>
                <w:kern w:val="2"/>
                <w:szCs w:val="24"/>
                <w:lang w:val="en-US" w:eastAsia="en-US" w:bidi="ar-SA"/>
              </w:rPr>
            </w:pPr>
            <w:r>
              <w:rPr>
                <w:rFonts w:eastAsia="Calibri" w:cs=""/>
                <w:b/>
                <w:color w:val="FFFFFF"/>
                <w:kern w:val="2"/>
                <w:sz w:val="19"/>
                <w:szCs w:val="24"/>
                <w:lang w:val="en-US" w:eastAsia="en-US" w:bidi="ar-SA"/>
              </w:rPr>
              <w:t>Edit, checkbox, or string grid</w:t>
            </w:r>
          </w:p>
        </w:tc>
      </w:tr>
    </w:tbl>
    <w:p>
      <w:pPr>
        <w:pStyle w:val="Heading2"/>
        <w:pageBreakBefore w:val="false"/>
        <w:rPr>
          <w:b w:val="false"/>
        </w:rPr>
      </w:pPr>
      <w:bookmarkStart w:id="85" w:name="__RefHeading___Toc6481_239329132"/>
      <w:bookmarkStart w:id="86" w:name="_Toc236592937"/>
      <w:bookmarkStart w:id="87" w:name="_Toc225758785"/>
      <w:bookmarkEnd w:id="85"/>
      <w:r>
        <w:rPr>
          <w:b w:val="false"/>
          <w:color w:val="000000"/>
        </w:rPr>
        <w:t>10.2 Current Preferred Binding Model</w:t>
      </w:r>
      <w:bookmarkEnd w:id="86"/>
      <w:bookmarkEnd w:id="87"/>
    </w:p>
    <w:p>
      <w:pPr>
        <w:pStyle w:val="ListParagraph"/>
        <w:pageBreakBefore w:val="false"/>
        <w:numPr>
          <w:ilvl w:val="0"/>
          <w:numId w:val="7"/>
        </w:numPr>
        <w:rPr/>
      </w:pPr>
      <w:r>
        <w:rPr/>
        <w:t>TBindSourceDB as the bridge from a dataset-backed data source into FMX LiveBindings.</w:t>
      </w:r>
    </w:p>
    <w:p>
      <w:pPr>
        <w:pStyle w:val="ListParagraph"/>
        <w:pageBreakBefore w:val="false"/>
        <w:numPr>
          <w:ilvl w:val="0"/>
          <w:numId w:val="7"/>
        </w:numPr>
        <w:rPr/>
      </w:pPr>
      <w:r>
        <w:rPr/>
        <w:t>TLinkControlToField for most edit-like controls.</w:t>
      </w:r>
    </w:p>
    <w:p>
      <w:pPr>
        <w:pStyle w:val="ListParagraph"/>
        <w:pageBreakBefore w:val="false"/>
        <w:numPr>
          <w:ilvl w:val="0"/>
          <w:numId w:val="7"/>
        </w:numPr>
        <w:rPr/>
      </w:pPr>
      <w:r>
        <w:rPr/>
        <w:t>TLinkPropertyToField for property-based cases such as IsChecked.</w:t>
      </w:r>
    </w:p>
    <w:p>
      <w:pPr>
        <w:pStyle w:val="ListParagraph"/>
        <w:pageBreakBefore w:val="false"/>
        <w:numPr>
          <w:ilvl w:val="0"/>
          <w:numId w:val="7"/>
        </w:numPr>
        <w:rPr/>
      </w:pPr>
      <w:r>
        <w:rPr/>
        <w:t>TBindDBGridLink for converted DB grids.</w:t>
      </w:r>
    </w:p>
    <w:p>
      <w:pPr>
        <w:pStyle w:val="Heading2"/>
        <w:pageBreakBefore w:val="false"/>
        <w:rPr>
          <w:b w:val="false"/>
        </w:rPr>
      </w:pPr>
      <w:bookmarkStart w:id="88" w:name="__RefHeading___Toc6483_239329132"/>
      <w:bookmarkStart w:id="89" w:name="_Toc236592938"/>
      <w:bookmarkStart w:id="90" w:name="_Toc225758786"/>
      <w:bookmarkEnd w:id="88"/>
      <w:r>
        <w:rPr>
          <w:b w:val="false"/>
          <w:color w:val="000000"/>
        </w:rPr>
        <w:t>10.3 Why the Grid Needed Special Handling</w:t>
      </w:r>
      <w:bookmarkEnd w:id="89"/>
      <w:bookmarkEnd w:id="90"/>
    </w:p>
    <w:p>
      <w:pPr>
        <w:pStyle w:val="Normal"/>
        <w:pageBreakBefore w:val="false"/>
        <w:rPr/>
      </w:pPr>
      <w:r>
        <w:rPr/>
        <w:t>A converted VCL DBGrid should not rely on the generic FMX grid-link class. The FMX platform exposes a DB-specific binding path for database grids. Without that DB-aware path, the grid may remain empty or generate the wrong columns even while the dataset itself is active.</w:t>
      </w:r>
    </w:p>
    <w:p>
      <w:pPr>
        <w:pStyle w:val="Heading2"/>
        <w:pageBreakBefore w:val="false"/>
        <w:rPr>
          <w:b w:val="false"/>
        </w:rPr>
      </w:pPr>
      <w:bookmarkStart w:id="91" w:name="__RefHeading___Toc6485_239329132"/>
      <w:bookmarkStart w:id="92" w:name="_Toc236592939"/>
      <w:bookmarkStart w:id="93" w:name="_Toc225758787"/>
      <w:bookmarkEnd w:id="91"/>
      <w:r>
        <w:rPr>
          <w:b w:val="false"/>
          <w:color w:val="000000"/>
        </w:rPr>
        <w:t>10.4 Column Preservation</w:t>
      </w:r>
      <w:bookmarkEnd w:id="92"/>
      <w:bookmarkEnd w:id="93"/>
    </w:p>
    <w:p>
      <w:pPr>
        <w:pStyle w:val="Normal"/>
        <w:pageBreakBefore w:val="false"/>
        <w:rPr/>
      </w:pPr>
      <w:r>
        <w:rPr/>
        <w:t>Preserving the original VCL DBGrid.Columns collection is essential. Without it, FMX tends to generate default columns for every dataset field, which can expose irrelevant fields and render memo-backed values as generic blob placeholders.</w:t>
      </w:r>
    </w:p>
    <w:p>
      <w:pPr>
        <w:pStyle w:val="Normal"/>
        <w:pageBreakBefore w:val="false"/>
        <w:spacing w:lineRule="auto" w:line="278"/>
        <w:rPr/>
      </w:pPr>
      <w:r>
        <w:rPr/>
        <w:t>Recent stabilization in the data-aware path also tightened the hand-off between generated FMX controls and live dataset state. Generated combo setup no longer fires popup logic during form creation, external datasource OnDataChange handlers are restored on cleanup instead of being nilled out, external navigator BeforeAction handlers are restored after teardown, and explicit TDBEdit.Field.DisplayText refresh code now survives conversion through a generated helper instead of collapsing to self-assignment.</w:t>
      </w:r>
    </w:p>
    <w:p>
      <w:pPr>
        <w:pStyle w:val="Heading1"/>
        <w:pageBreakBefore w:val="false"/>
        <w:spacing w:before="0" w:after="240"/>
        <w:rPr>
          <w:b w:val="false"/>
        </w:rPr>
      </w:pPr>
      <w:bookmarkStart w:id="94" w:name="__RefHeading___Toc6487_239329132"/>
      <w:bookmarkStart w:id="95" w:name="_Toc236592940"/>
      <w:bookmarkEnd w:id="94"/>
      <w:r>
        <w:rPr>
          <w:b w:val="false"/>
          <w:color w:val="000000"/>
        </w:rPr>
        <w:t>11. Special-Case Conversion Modules</w:t>
      </w:r>
      <w:bookmarkEnd w:id="95"/>
    </w:p>
    <w:p>
      <w:pPr>
        <w:pStyle w:val="Normal"/>
        <w:pageBreakBefore w:val="false"/>
        <w:rPr/>
      </w:pPr>
      <w:r>
        <w:rPr/>
        <w:t>Converter.Advanced.CriticalAreas handles high-risk patterns such as custom painting, owner-draw behavior, synchronization, and message-oriented code. Converter.Advanced.WinAPI covers selected Windows compatibility rewrites. Converter.Advanced.ThirdParty provides a home for unsupported and third-party control handling.</w:t>
      </w:r>
    </w:p>
    <w:p>
      <w:pPr>
        <w:pStyle w:val="Normal"/>
        <w:pageBreakBefore w:val="false"/>
        <w:rPr/>
      </w:pPr>
      <w:r>
        <w:rPr/>
        <w:t>The WinAPI module is intentionally more selective now than some earlier blanket downgrade passes. Valid Windows-targeted FMX patterns such as ShellExecute help and document launch flows, serial-port and named-pipe CreateFile and WriteFile communication paths, and surrounding process-control calls are preserved when the converter can identify them safely, while more ambiguous file and message rewrites stay on the warning or manual-review path.</w:t>
      </w:r>
    </w:p>
    <w:p>
      <w:pPr>
        <w:pStyle w:val="Normal"/>
        <w:pageBreakBefore w:val="false"/>
        <w:rPr/>
      </w:pPr>
      <w:r>
        <w:rPr/>
        <w:t>These modules exist to keep the rest of the system cleaner. If a rule is especially risky or specialized, it generally belongs here rather than in a broad parser pass.</w:t>
      </w:r>
    </w:p>
    <w:p>
      <w:pPr>
        <w:pStyle w:val="Heading1"/>
        <w:pageBreakBefore w:val="false"/>
        <w:spacing w:before="0" w:after="240"/>
        <w:rPr>
          <w:b w:val="false"/>
        </w:rPr>
      </w:pPr>
      <w:bookmarkStart w:id="96" w:name="__RefHeading___Toc6489_239329132"/>
      <w:bookmarkStart w:id="97" w:name="_Toc236592941"/>
      <w:bookmarkEnd w:id="96"/>
      <w:r>
        <w:rPr>
          <w:b w:val="false"/>
          <w:color w:val="000000"/>
        </w:rPr>
        <w:t>12. Project Generation and Output Artifacts</w:t>
      </w:r>
      <w:bookmarkEnd w:id="97"/>
    </w:p>
    <w:p>
      <w:pPr>
        <w:pStyle w:val="Normal"/>
        <w:pageBreakBefore w:val="false"/>
        <w:rPr/>
      </w:pPr>
      <w:r>
        <w:rPr/>
        <w:t>Converter.Project.Generator is responsible for making the converted project openable and buildable as an FMX application rather than leaving the user with only transformed units and form files.</w:t>
      </w:r>
    </w:p>
    <w:p>
      <w:pPr>
        <w:pStyle w:val="Normal"/>
        <w:pageBreakBefore w:val="false"/>
        <w:rPr/>
      </w:pPr>
      <w:r>
        <w:rPr/>
        <w:t>The current generator also copies common companion assets more broadly than the earlier baseline, including items such as .res, .ico, and .manifest files plus selected project-referenced local assets when they can be resolved safely. It also reports blocking issues honestly, so unsupported controls or hard conversion gaps stop being presented as a clean success.</w:t>
      </w:r>
    </w:p>
    <w:p>
      <w:pPr>
        <w:pStyle w:val="ListParagraph"/>
        <w:pageBreakBefore w:val="false"/>
        <w:numPr>
          <w:ilvl w:val="0"/>
          <w:numId w:val="8"/>
        </w:numPr>
        <w:rPr/>
      </w:pPr>
      <w:r>
        <w:rPr/>
        <w:t>Converted Pascal units</w:t>
      </w:r>
    </w:p>
    <w:p>
      <w:pPr>
        <w:pStyle w:val="ListParagraph"/>
        <w:pageBreakBefore w:val="false"/>
        <w:numPr>
          <w:ilvl w:val="0"/>
          <w:numId w:val="8"/>
        </w:numPr>
        <w:rPr/>
      </w:pPr>
      <w:r>
        <w:rPr/>
        <w:t>Converted FMX form files</w:t>
      </w:r>
    </w:p>
    <w:p>
      <w:pPr>
        <w:pStyle w:val="ListParagraph"/>
        <w:pageBreakBefore w:val="false"/>
        <w:numPr>
          <w:ilvl w:val="0"/>
          <w:numId w:val="8"/>
        </w:numPr>
        <w:rPr/>
      </w:pPr>
      <w:r>
        <w:rPr/>
        <w:t>FMX-aware startup and project metadata</w:t>
      </w:r>
    </w:p>
    <w:p>
      <w:pPr>
        <w:pStyle w:val="ListParagraph"/>
        <w:pageBreakBefore w:val="false"/>
        <w:numPr>
          <w:ilvl w:val="0"/>
          <w:numId w:val="8"/>
        </w:numPr>
        <w:rPr/>
      </w:pPr>
      <w:r>
        <w:rPr/>
        <w:t>Reports and issue summaries</w:t>
      </w:r>
    </w:p>
    <w:p>
      <w:pPr>
        <w:pStyle w:val="ListParagraph"/>
        <w:pageBreakBefore w:val="false"/>
        <w:rPr/>
      </w:pPr>
      <w:r>
        <w:rPr/>
        <w:t>[v7.0 report accounting rule] Report accounting treats Total issues as the actionable count: warnings plus grouped manual-review items plus errors. Informational notices and dry-run preview notices are reported separately so preview output does not inflate the issue total.</w:t>
      </w:r>
    </w:p>
    <w:p>
      <w:pPr>
        <w:pStyle w:val="ListParagraph"/>
        <w:pageBreakBefore w:val="false"/>
        <w:rPr/>
      </w:pPr>
      <w:r>
        <w:rPr/>
        <w:t>The HTML manual-review section includes an explicit expansion prompt. Users click the &gt; arrow on each grouped item to view affected locations and recommended fixes.</w:t>
      </w:r>
    </w:p>
    <w:p>
      <w:pPr>
        <w:pStyle w:val="Normal"/>
        <w:pageBreakBefore w:val="false"/>
        <w:spacing w:lineRule="auto" w:line="278"/>
        <w:rPr/>
      </w:pPr>
      <w:r>
        <w:rPr/>
        <w:t>Timestamped snapshots are recommended so each converter iteration is preserved independently. This makes regression tracking easier and prevents accidental overwriting of known-good backup states. Before a public release, run tools\run_release_readiness_audit.ps1 and tools\run_regression_guards.ps1. Treat any blocker as a release stop rather than as a documentation-only reminder. The release audit covers shipped-tree cleanliness such as local paths, debug leftovers, packaging assets, and license presence, while the regression guards watch converter invariants that should remain true as internals evolve.</w:t>
      </w:r>
    </w:p>
    <w:p>
      <w:pPr>
        <w:pStyle w:val="Heading1"/>
        <w:pageBreakBefore w:val="false"/>
        <w:spacing w:before="0" w:after="240"/>
        <w:rPr>
          <w:b w:val="false"/>
        </w:rPr>
      </w:pPr>
      <w:bookmarkStart w:id="98" w:name="__RefHeading___Toc6491_239329132"/>
      <w:bookmarkStart w:id="99" w:name="_Toc236592942"/>
      <w:bookmarkEnd w:id="98"/>
      <w:r>
        <w:rPr>
          <w:b w:val="false"/>
          <w:color w:val="000000"/>
        </w:rPr>
        <w:t>13. Validation, Maintenance, and Enhancement Guidance</w:t>
      </w:r>
      <w:bookmarkEnd w:id="99"/>
    </w:p>
    <w:p>
      <w:pPr>
        <w:pStyle w:val="Normal"/>
        <w:pageBreakBefore w:val="false"/>
        <w:rPr/>
      </w:pPr>
      <w:r>
        <w:rPr/>
        <w:t>A disciplined validation sequence is one of the strongest defenses against converter regressions.</w:t>
      </w:r>
    </w:p>
    <w:p>
      <w:pPr>
        <w:pStyle w:val="ListParagraph"/>
        <w:pageBreakBefore w:val="false"/>
        <w:numPr>
          <w:ilvl w:val="0"/>
          <w:numId w:val="9"/>
        </w:numPr>
        <w:rPr/>
      </w:pPr>
      <w:r>
        <w:rPr/>
        <w:t>Rebuild the converter itself.</w:t>
      </w:r>
    </w:p>
    <w:p>
      <w:pPr>
        <w:pStyle w:val="ListParagraph"/>
        <w:pageBreakBefore w:val="false"/>
        <w:numPr>
          <w:ilvl w:val="0"/>
          <w:numId w:val="9"/>
        </w:numPr>
        <w:rPr/>
      </w:pPr>
      <w:r>
        <w:rPr/>
        <w:t>Run a fresh conversion into a clean output folder.</w:t>
      </w:r>
    </w:p>
    <w:p>
      <w:pPr>
        <w:pStyle w:val="ListParagraph"/>
        <w:pageBreakBefore w:val="false"/>
        <w:numPr>
          <w:ilvl w:val="0"/>
          <w:numId w:val="9"/>
        </w:numPr>
        <w:rPr/>
      </w:pPr>
      <w:r>
        <w:rPr/>
        <w:t>Open the converted project in Delphi.</w:t>
      </w:r>
    </w:p>
    <w:p>
      <w:pPr>
        <w:pStyle w:val="ListParagraph"/>
        <w:pageBreakBefore w:val="false"/>
        <w:numPr>
          <w:ilvl w:val="0"/>
          <w:numId w:val="9"/>
        </w:numPr>
        <w:rPr/>
      </w:pPr>
      <w:r>
        <w:rPr/>
        <w:t>Resolve structural and syntax issues first.</w:t>
      </w:r>
    </w:p>
    <w:p>
      <w:pPr>
        <w:pStyle w:val="ListParagraph"/>
        <w:pageBreakBefore w:val="false"/>
        <w:numPr>
          <w:ilvl w:val="0"/>
          <w:numId w:val="9"/>
        </w:numPr>
        <w:rPr/>
      </w:pPr>
      <w:r>
        <w:rPr/>
        <w:t>Run the application and validate real workflows.</w:t>
      </w:r>
    </w:p>
    <w:p>
      <w:pPr>
        <w:pStyle w:val="ListParagraph"/>
        <w:pageBreakBefore w:val="false"/>
        <w:numPr>
          <w:ilvl w:val="0"/>
          <w:numId w:val="9"/>
        </w:numPr>
        <w:rPr/>
      </w:pPr>
      <w:r>
        <w:rPr/>
        <w:t>Review layout, colors, captions, images, and data presentation after runtime stability is in place.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Stage</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What to Check</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Common Defects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IDE load</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Forms open and units parse.</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Invalid FMX properties, malformed collections, wrong form class names.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Compile</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Project and units build cleanly.</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Missing uses, bad rewrites, wrong event names, visibility issues.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Runtime</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Application launches and executes real logic.</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Access violations, binding exceptions, canvas misuse, startup ordering bugs.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UX review</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Layout and presentation fidelity.</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Stacked controls, unreadable captions, wrong columns, missing images.</w:t>
            </w:r>
          </w:p>
        </w:tc>
      </w:tr>
    </w:tbl>
    <w:p>
      <w:pPr>
        <w:pStyle w:val="Heading2"/>
        <w:pageBreakBefore w:val="false"/>
        <w:rPr/>
      </w:pPr>
      <w:bookmarkStart w:id="100" w:name="__RefHeading___Toc6493_239329132"/>
      <w:bookmarkStart w:id="101" w:name="_Toc236592943"/>
      <w:bookmarkEnd w:id="100"/>
      <w:r>
        <w:rPr>
          <w:color w:val="000000"/>
        </w:rPr>
        <w:t>13.1 Conversion Contract System for v7.0</w:t>
      </w:r>
      <w:bookmarkEnd w:id="101"/>
    </w:p>
    <w:p>
      <w:pPr>
        <w:pStyle w:val="Normal"/>
        <w:pageBreakBefore w:val="false"/>
        <w:rPr/>
      </w:pPr>
      <w:r>
        <w:rPr/>
        <w:t>The v7.0 engineering baseline is contract driven. A conversion contract consists of a small sample Delphi project, form, or source file together with an expectation file that defines the converter output, report items, uses-clause behavior, and required validation behavior. Contracts are stored under the project contracts folder and are executed by the contract runner, which is the test utility that loads each contract, runs the converter against its sample input, and verifies that the actual result matches the expectation file. They are not runtime data for normal conversions.</w:t>
      </w:r>
    </w:p>
    <w:p>
      <w:pPr>
        <w:pStyle w:val="Normal"/>
        <w:pageBreakBefore w:val="false"/>
        <w:rPr/>
      </w:pPr>
      <w:r>
        <w:rPr/>
        <w:t>[v7.0 contract baseline] The current v7.0 suite contains 227 executable expectations. The latest release-candidate contracts also cover image API cleanup and unsupported-routine try/except depth guards. New structural behavior should continue to be added behind fixtures, expected output/report rules, and regression guards.</w:t>
      </w:r>
    </w:p>
    <w:p>
      <w:pPr>
        <w:pStyle w:val="Normal"/>
        <w:pageBreakBefore w:val="false"/>
        <w:rPr/>
      </w:pPr>
      <w:r>
        <w:rPr/>
        <w:t>The contract runner discovers expectation files from the contracts tree, loads the related fixture input, runs the converter against a temporary output location, and validates the generated Pascal, FMX/DFM, conversion report, status, expected issue categories, required units, absent units, required output patterns, and forbidden output patterns. This keeps the test search bounded to the contract inventory instead of comparing every production source file with every contract.</w:t>
      </w:r>
    </w:p>
    <w:p>
      <w:pPr>
        <w:pStyle w:val="Normal"/>
        <w:pageBreakBefore w:val="false"/>
        <w:rPr/>
      </w:pPr>
      <w:r>
        <w:rPr/>
        <w:t>The inherited conversion-contract families cover Pascal include-file analysis, Windows messaging detection and reporting, false-positive boundaries, protected and conditional uses cleanup, TMemo/TStrings collection output, TStringGrid event ordering, UTF-8 FMX output, GDI-to-FMX canvas substitutions, and whole-project integration behavior. Include handling is analysis first: include files are resolved safely from the source tree, recursive and outside-tree cases are reported, include contents are analyzed with the same encoding rules as Pascal files, and original include directives remain in generated source.</w:t>
      </w:r>
    </w:p>
    <w:p>
      <w:pPr>
        <w:pStyle w:val="Normal"/>
        <w:pageBreakBefore w:val="false"/>
        <w:rPr/>
      </w:pPr>
      <w:r>
        <w:rPr/>
        <w:t>Windows messaging rules remain category based. The converter detects message APIs, WM/CM/CN/common-control families, TWM/TCM records, WndProc overrides, message declarations, WM_USER offsets, system-command handlers, and false positives. Unsafe or ambiguous behavior is reported with source location, original symbol or API, code excerpt, category, suggested FMX path, and blocking status. Standalone safe cases may be converted only when the contract proves the result is reliable for the general user base.</w:t>
      </w:r>
    </w:p>
    <w:p>
      <w:pPr>
        <w:pStyle w:val="Normal"/>
        <w:pageBreakBefore w:val="false"/>
        <w:rPr/>
      </w:pPr>
      <w:r>
        <w:rPr/>
        <w:t>Future structural changes should start with a fixture and expectation before converter code is changed. This keeps v7.0 fixes reusable, prevents project-only patches, and protects the mapping packs, rewrite rules, include analysis, Windows messaging reports, and generated output from silent regression.</w:t>
      </w:r>
    </w:p>
    <w:p>
      <w:pPr>
        <w:pStyle w:val="Heading1"/>
        <w:pageBreakBefore w:val="false"/>
        <w:spacing w:before="0" w:after="240"/>
        <w:rPr/>
      </w:pPr>
      <w:bookmarkStart w:id="102" w:name="__RefHeading___Toc6495_239329132"/>
      <w:bookmarkStart w:id="103" w:name="_Toc236592944"/>
      <w:bookmarkEnd w:id="102"/>
      <w:r>
        <w:rPr>
          <w:color w:val="000000"/>
        </w:rPr>
        <w:t>14. Unit-by-Unit Technical Reference</w:t>
      </w:r>
      <w:bookmarkEnd w:id="103"/>
    </w:p>
    <w:p>
      <w:pPr>
        <w:pStyle w:val="Normal"/>
        <w:pageBreakBefore w:val="false"/>
        <w:rPr/>
      </w:pPr>
      <w:r>
        <w:rPr/>
        <w:t>This section is a technical reference for the twelve primary converter units. It is intentionally more detailed than the earlier architectural overview because future maintainers need to know where to place a change, what each unit owns, and what kinds of edits are likely to cause regressions.</w:t>
      </w:r>
    </w:p>
    <w:p>
      <w:pPr>
        <w:pStyle w:val="Normal"/>
        <w:pageBreakBefore w:val="false"/>
        <w:rPr/>
      </w:pPr>
      <w:r>
        <w:rPr/>
        <w:t>Each subsection below explains the unit's role, major structures or routines, how it interacts with the rest of the converter, and what kinds of changes belong there.</w:t>
      </w:r>
    </w:p>
    <w:p>
      <w:pPr>
        <w:pStyle w:val="Normal"/>
        <w:pageBreakBefore w:val="false"/>
        <w:rPr/>
      </w:pPr>
      <w:r>
        <w:rPr/>
        <w:t>It should be noted that not all .pas files appear here.  Only the main players are described.  The unmentioned ones are helper files that do various background actions.</w:t>
      </w:r>
    </w:p>
    <w:p>
      <w:pPr>
        <w:pStyle w:val="Heading2"/>
        <w:pageBreakBefore w:val="false"/>
        <w:rPr>
          <w:b w:val="false"/>
        </w:rPr>
      </w:pPr>
      <w:bookmarkStart w:id="104" w:name="__RefHeading___Toc6497_239329132"/>
      <w:bookmarkStart w:id="105" w:name="_Toc236592945"/>
      <w:bookmarkStart w:id="106" w:name="_Toc225758792"/>
      <w:bookmarkEnd w:id="104"/>
      <w:r>
        <w:rPr>
          <w:b w:val="false"/>
          <w:color w:val="000000"/>
        </w:rPr>
        <w:t>14.1 Converter.Core.Types.pas</w:t>
      </w:r>
      <w:bookmarkEnd w:id="105"/>
      <w:bookmarkEnd w:id="106"/>
    </w:p>
    <w:p>
      <w:pPr>
        <w:pStyle w:val="Normal"/>
        <w:pageBreakBefore w:val="false"/>
        <w:rPr/>
      </w:pPr>
      <w:r>
        <w:rPr/>
        <w:t>Converter.Core.Types.pas is the converter's shared vocabulary layer. It defines the issue model, the mapping model, the options container, and the conversion context used to carry state across a run. The live v7.0 options container now exposes the real per-run flags for Critical Areas, Data Aware, ThirdParty, and WinAPI passes, so the UI, manuals, and code should stay aligned with those actual engine flags.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Provide shared types, issue objects, mapping records, and the run context so the rest of the converter can exchange structured information.</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structures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TConversionIssue, TComponentMapping, TConversionOptions, TConversionContext, and the severity and file-type enums.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Used by the engine, file manager, parser, mapper, integration layer, and project generator as the common state and diagnostics model.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Add new context or issue fields here when a new cross-cutting capability is needed. Avoid storing transient parsing logic here; this unit should remain a stable shared contract.</w:t>
            </w:r>
          </w:p>
        </w:tc>
      </w:tr>
    </w:tbl>
    <w:p>
      <w:pPr>
        <w:pStyle w:val="Heading2"/>
        <w:pageBreakBefore w:val="false"/>
        <w:rPr>
          <w:b w:val="false"/>
        </w:rPr>
      </w:pPr>
      <w:bookmarkStart w:id="107" w:name="__RefHeading___Toc6499_239329132"/>
      <w:bookmarkStart w:id="108" w:name="_Toc236592946"/>
      <w:bookmarkStart w:id="109" w:name="_Toc225758793"/>
      <w:bookmarkEnd w:id="107"/>
      <w:r>
        <w:rPr>
          <w:b w:val="false"/>
          <w:color w:val="000000"/>
        </w:rPr>
        <w:t>14.2 Converter.Core.Engine.pas</w:t>
      </w:r>
      <w:bookmarkEnd w:id="108"/>
      <w:bookmarkEnd w:id="109"/>
    </w:p>
    <w:p>
      <w:pPr>
        <w:pStyle w:val="Normal"/>
        <w:pageBreakBefore w:val="false"/>
        <w:rPr/>
      </w:pPr>
      <w:r>
        <w:rPr/>
        <w:t>Converter.Core.Engine.pas coordinates an entire conversion session. It owns the file manager, orchestrator, and project generator, dispatches per-file work, tracks counts, writes the report, and manages logging and encoding-safe reads. It is also where the report wording is chosen, including Blocking issues present, Manual review required, Clean conversion, and Distinct files needing attention. Current report generation also summarizes loaded mapping packs and the mapping-pack decisions used during a run.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Orchestrate one conversion run from startup through report generation and shutdown.</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routines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 ProcessPasFile, ProcessDfmFile, GenerateReport, UILog, LogToFile, TryReadWithEncoding, DetectFileEncoding, and StripInvalidCharacters.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Consumes TConversionContext, delegates file discovery and save work to TFileManager, delegates transformation to TConversionOrchestrator, and delegates startup/project output to TProjectGenerator.</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Put top-level sequencing, counters, and report decisions here. Do not bury file-format-specific rewrites here; push those down into parser, mapper, or integration code.</w:t>
            </w:r>
          </w:p>
        </w:tc>
      </w:tr>
    </w:tbl>
    <w:p>
      <w:pPr>
        <w:pStyle w:val="Heading2"/>
        <w:pageBreakBefore w:val="false"/>
        <w:rPr>
          <w:b w:val="false"/>
        </w:rPr>
      </w:pPr>
      <w:bookmarkStart w:id="110" w:name="__RefHeading___Toc6501_239329132"/>
      <w:bookmarkStart w:id="111" w:name="_Toc236592947"/>
      <w:bookmarkStart w:id="112" w:name="_Toc225758794"/>
      <w:bookmarkEnd w:id="110"/>
      <w:r>
        <w:rPr>
          <w:b w:val="false"/>
          <w:color w:val="000000"/>
        </w:rPr>
        <w:t>14.3 Converter.Core.FileManager.pas</w:t>
      </w:r>
      <w:bookmarkEnd w:id="111"/>
      <w:bookmarkEnd w:id="112"/>
    </w:p>
    <w:p>
      <w:pPr>
        <w:pStyle w:val="Normal"/>
        <w:pageBreakBefore w:val="false"/>
        <w:rPr/>
      </w:pPr>
      <w:r>
        <w:rPr/>
        <w:t>Converter.Core.FileManager.pas is the filesystem-facing part of the converter. It scans source trees, respects file-type and recursion options, builds relative output paths, sanitizes output text, and writes generated Pascal and FMX output as UTF-8. It also prepares the output tree at run time, including cleanup of stale build artifacts before regenerated files and reports are written.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Discover source files and write converted output safely and predictably.</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routines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Reset, PrepareOutput, MatchesSelectedFileTypes, BuildOutputFileName, SanitizeOutputText, SaveTextPreservingSourceEncoding, and SaveConvertedFile.</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 TConversionContext for source/output settings and issue reporting. Feeds discovered files into the engine and writes transformed artifacts after integration completes.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File path policy, output filtering, and input-decoding and UTF-8 output rules belong here. Avoid mixing semantic code rewrites into this unit.</w:t>
            </w:r>
          </w:p>
        </w:tc>
      </w:tr>
    </w:tbl>
    <w:p>
      <w:pPr>
        <w:pStyle w:val="Heading2"/>
        <w:pageBreakBefore w:val="false"/>
        <w:rPr>
          <w:b w:val="false"/>
        </w:rPr>
      </w:pPr>
      <w:bookmarkStart w:id="113" w:name="__RefHeading___Toc6503_239329132"/>
      <w:bookmarkStart w:id="114" w:name="_Toc236592948"/>
      <w:bookmarkStart w:id="115" w:name="_Toc225758795"/>
      <w:bookmarkEnd w:id="113"/>
      <w:r>
        <w:rPr>
          <w:b w:val="false"/>
          <w:color w:val="000000"/>
        </w:rPr>
        <w:t>14.4 Converter.Parser.Pascal.pas</w:t>
      </w:r>
      <w:bookmarkEnd w:id="114"/>
      <w:bookmarkEnd w:id="115"/>
    </w:p>
    <w:p>
      <w:pPr>
        <w:pStyle w:val="Normal"/>
        <w:pageBreakBefore w:val="false"/>
        <w:rPr/>
      </w:pPr>
      <w:r>
        <w:rPr/>
        <w:t>Converter.Parser.Pascal.pas gives the converter structural awareness over Delphi source units. It tracks interface, implementation, initialization, and finalization regions; class declarations; method declarations and bodies; and uses clauses so later rewrites can be inserted safely.</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Parse Pascal units into a structure detailed enough for safe transformations.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structures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TPascalMethod, TPascalClass, TPascalUnit, and TPascalParser.</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routines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ParseUnit, ParseUsesClause, ParseMethod, ParseTypeSection, ParseImplementationUses, FindMethod, and FindMethodsByPattern.</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Any change that affects method detection, class boundaries, or safe insertion points belongs here. This is the right place to improve syntax awareness, not to make FMX-specific business decisions.</w:t>
            </w:r>
          </w:p>
        </w:tc>
      </w:tr>
    </w:tbl>
    <w:p>
      <w:pPr>
        <w:pStyle w:val="Heading2"/>
        <w:pageBreakBefore w:val="false"/>
        <w:rPr>
          <w:b w:val="false"/>
        </w:rPr>
      </w:pPr>
      <w:bookmarkStart w:id="116" w:name="__RefHeading___Toc6505_239329132"/>
      <w:bookmarkStart w:id="117" w:name="_Toc236592949"/>
      <w:bookmarkStart w:id="118" w:name="_Toc225758796"/>
      <w:bookmarkEnd w:id="116"/>
      <w:r>
        <w:rPr>
          <w:b w:val="false"/>
          <w:color w:val="000000"/>
        </w:rPr>
        <w:t>14.5 Converter.Parser.DFM.pas</w:t>
      </w:r>
      <w:bookmarkEnd w:id="117"/>
      <w:bookmarkEnd w:id="118"/>
    </w:p>
    <w:p>
      <w:pPr>
        <w:pStyle w:val="Normal"/>
        <w:pageBreakBefore w:val="false"/>
        <w:rPr/>
      </w:pPr>
      <w:r>
        <w:rPr/>
        <w:t>Converter.Parser.DFM.pas parses VCL form definitions into an internal component tree and regenerates them as FMX form text. It handles nested components, collections, multiline properties, dataset field objects, property filtering, image payloads, and many layout-oriented translation rules.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 VCL DFM structure into FMX form structure while preserving hierarchy and semantics.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responsibilities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Child object parsing, collection preservation, dataset field emission, string quoting, property filtering, root-form safety, numeric-property suppression, status bar panel generation, root-form mouse-event adaptation, label AutoSize and anchor handling, StyledSettings emission, and size and font translation.</w:t>
            </w:r>
          </w:p>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kern w:val="2"/>
                <w:szCs w:val="24"/>
                <w:lang w:val="en-US" w:eastAsia="en-US" w:bidi="ar-SA"/>
              </w:rPr>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Feeds on mapping information, collaborates with integration-generated Pascal code, and must remain consistent with rewritten field declarations and event names.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FMX form-reader errors are often rooted here. Put DFM-to-FMX property and structure fixes here instead of compensating later in manual output edits.</w:t>
            </w:r>
          </w:p>
        </w:tc>
      </w:tr>
    </w:tbl>
    <w:p>
      <w:pPr>
        <w:pStyle w:val="Heading2"/>
        <w:pageBreakBefore w:val="false"/>
        <w:rPr>
          <w:b w:val="false"/>
        </w:rPr>
      </w:pPr>
      <w:bookmarkStart w:id="119" w:name="__RefHeading___Toc6507_239329132"/>
      <w:bookmarkStart w:id="120" w:name="_Toc236592950"/>
      <w:bookmarkStart w:id="121" w:name="_Toc225758797"/>
      <w:bookmarkEnd w:id="119"/>
      <w:r>
        <w:rPr>
          <w:b w:val="false"/>
          <w:color w:val="000000"/>
        </w:rPr>
        <w:t>14.6 Converter.Mapper.Component.pas</w:t>
      </w:r>
      <w:bookmarkEnd w:id="120"/>
      <w:bookmarkEnd w:id="121"/>
    </w:p>
    <w:p>
      <w:pPr>
        <w:pStyle w:val="Normal"/>
        <w:pageBreakBefore w:val="false"/>
        <w:rPr/>
      </w:pPr>
      <w:r>
        <w:rPr/>
        <w:t>Converter.Mapper.Component.pas is the mapping knowledge base. It stores built-in mappings, loads FMX component knowledge, researches likely class matches, and produces property and event mappings for later passes.</w:t>
      </w:r>
    </w:p>
    <w:p>
      <w:pPr>
        <w:pStyle w:val="Normal"/>
        <w:pageBreakBefore w:val="false"/>
        <w:rPr/>
      </w:pPr>
      <w:r>
        <w:rPr/>
        <w:t>Recent mapping additions in this unit broaden the standard class surface materially. The mapper now includes explicit rows for TForm, TFrame, TMaskEdit, TStaticText, TFlowPanel, TGridPanel, TCheckListBox, TDBListBox, TRichEdit, TDrawGrid, TDBCtrlGrid, TFileSaveDialog, and TLinkLabel, along with manual-review rows for TTaskDialog, TClientDataSet, TQuery, TADODataSet, and TSQLDataSet. Property and event knowledge now lives in explicit matrix rows instead of name matching alone.</w:t>
      </w:r>
    </w:p>
    <w:p>
      <w:pPr>
        <w:pStyle w:val="Normal"/>
        <w:pageBreakBefore w:val="false"/>
        <w:rPr/>
      </w:pPr>
      <w:r>
        <w:rPr/>
        <w:t>This unit also exports RTTI inventories and explicit class, property, and event matrices so the live mapper surface can be audited directly from the compiled converter. If those matrix artifacts are missing from the expected build folders, the documentation tooling can reconstruct the current surface from Converter.Mapper.Component.pas. Keep property-level rules such as ScrollBars-to-ShowScrollBars, numeric Min and Max translation, masked-edit review paths, and picker-event renames centralized here.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Translate VCL control identity into the most appropriate FMX target and supporting mapping metadata.</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structures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TComponentResearch, TFMXComponentInfo, and TComponentMapper.</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routines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LoadBuiltInMappings, LoadFMXComponentCatalog, ResearchVCLComponent, FindFMXMatch, CalculateMatchScore, and ResearchPropertyMapping.</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Class-name mapping, confidence, and property/event relationship knowledge belong here. Runtime behavior patches usually belong in integration, not in the mapper.</w:t>
            </w:r>
          </w:p>
        </w:tc>
      </w:tr>
    </w:tbl>
    <w:p>
      <w:pPr>
        <w:pStyle w:val="Heading2"/>
        <w:pageBreakBefore w:val="false"/>
        <w:rPr>
          <w:b w:val="false"/>
        </w:rPr>
      </w:pPr>
      <w:bookmarkStart w:id="122" w:name="__RefHeading___Toc6509_239329132"/>
      <w:bookmarkStart w:id="123" w:name="_Toc236592951"/>
      <w:bookmarkStart w:id="124" w:name="_Toc225758798"/>
      <w:bookmarkEnd w:id="122"/>
      <w:r>
        <w:rPr>
          <w:b w:val="false"/>
          <w:color w:val="000000"/>
        </w:rPr>
        <w:t>14.7 Converter.Core.Integration.pas</w:t>
      </w:r>
      <w:bookmarkEnd w:id="123"/>
      <w:bookmarkEnd w:id="124"/>
    </w:p>
    <w:p>
      <w:pPr>
        <w:pStyle w:val="Normal"/>
        <w:pageBreakBefore w:val="false"/>
        <w:rPr/>
      </w:pPr>
      <w:r>
        <w:rPr/>
        <w:t>Converter.Core.Integration.pas is the global rewrite engine and the highest-leverage unit in the project. It repairs uses clauses, injects helper routines, adapts runtime behavior, preserves startup semantics, stabilizes event timing, and applies category-wide FMX normalization rules discovered during real-world testing. Recent stabilization work in this unit also preserves and chains existing handlers when generated FMX support needs to hook lifecycle or data-aware behavior, instead of overwriting those handlers blindly.</w:t>
      </w:r>
    </w:p>
    <w:p>
      <w:pPr>
        <w:pStyle w:val="Normal"/>
        <w:pageBreakBefore w:val="false"/>
        <w:rPr/>
      </w:pPr>
      <w:r>
        <w:rPr/>
        <w:t>Recent generic behaviors in this unit include TMemo.Clear to Lines.Clear rewrites, Position and Value normalization for slider-style controls, Winapi.MMSystem preservation for waveOut code, public TThread.Queue and TThread.Synchronize normalization, plain ShowMessage preservation, qualified FMX MessageDlg buttons, and folder-picker helper insertion. The same layer also handles root-form double-click adaptation, runtime font-size helpers that release StyledSettings.Size, VCL-style text-layout helpers for label stacking, and DisplayText refresh helpers for manually bound edits. Data-aware stability work here suppresses combo popup logic during startup, preserves combo OnClosePopup behavior, and chains existing OnDestroy, OnCalcFields, dataset AfterOpen, datasource OnDataChange, and navigator BeforeAction handlers when FMX support needs to hook them.</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Apply global FMX compatibility and behavior rewrites across generated Pascal output.</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responsibilities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Uses-clause reconstruction, helper injection, startup adaptation, typed Pascal rewrites, grid and combo support, data-aware edit and display synchronization, media cleanup, graphics scene safety, thread marshaling normalization, and many post-processing rules.</w:t>
            </w:r>
          </w:p>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kern w:val="2"/>
                <w:szCs w:val="24"/>
                <w:lang w:val="en-US" w:eastAsia="en-US" w:bidi="ar-SA"/>
              </w:rPr>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Consumes parser and mapper output, emits code that must stay in sync with FMX forms, and frequently coordinates with DataAware and Project.Generator behavior.</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Most global fixes land here. Because this unit affects many projects at once, every change should be tied to a repeatable pattern and regression-tested against previously fixed paths.</w:t>
            </w:r>
          </w:p>
        </w:tc>
      </w:tr>
    </w:tbl>
    <w:p>
      <w:pPr>
        <w:pStyle w:val="Heading2"/>
        <w:pageBreakBefore w:val="false"/>
        <w:rPr>
          <w:b w:val="false"/>
        </w:rPr>
      </w:pPr>
      <w:bookmarkStart w:id="125" w:name="__RefHeading___Toc6511_239329132"/>
      <w:bookmarkStart w:id="126" w:name="_Toc236592952"/>
      <w:bookmarkStart w:id="127" w:name="_Toc225758799"/>
      <w:bookmarkEnd w:id="125"/>
      <w:r>
        <w:rPr>
          <w:b w:val="false"/>
          <w:color w:val="000000"/>
        </w:rPr>
        <w:t>14.8 Converter.Advanced.DataAware.pas</w:t>
      </w:r>
      <w:bookmarkEnd w:id="126"/>
      <w:bookmarkEnd w:id="127"/>
    </w:p>
    <w:p>
      <w:pPr>
        <w:pStyle w:val="Normal"/>
        <w:pageBreakBefore w:val="false"/>
        <w:rPr/>
      </w:pPr>
      <w:r>
        <w:rPr/>
        <w:t>Converter.Advanced.DataAware.pas exists because VCL data-aware controls do not map cleanly to FMX. It classifies DB-aware controls, chooses the right binding strategy, and supports the integration layer when a control must become a direct FMX control, a LiveBindings-driven control, a grid bridge, or a special combo or navigator path. The current path uses normalized class matching with mapper-backed ancestry instead of loose substring checks, which makes DB-aware detection more trustworthy across derived controls.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Provide specialized knowledge about data-aware control conversion.</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focus areas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DB edits, DB combo boxes, DB grids, navigator controls, and the binding metadata needed for runtime hookup.</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Works closely with the integration layer, mapper, and generated FMX bindings to preserve database-driven workflows.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If a problem is fundamentally about DB-aware control semantics, binding type, or dataset interaction, start here before changing more general parser logic.</w:t>
            </w:r>
          </w:p>
        </w:tc>
      </w:tr>
    </w:tbl>
    <w:p>
      <w:pPr>
        <w:pStyle w:val="Heading2"/>
        <w:pageBreakBefore w:val="false"/>
        <w:rPr>
          <w:b w:val="false"/>
        </w:rPr>
      </w:pPr>
      <w:bookmarkStart w:id="128" w:name="__RefHeading___Toc6513_239329132"/>
      <w:bookmarkStart w:id="129" w:name="_Toc236592953"/>
      <w:bookmarkStart w:id="130" w:name="_Toc225758800"/>
      <w:bookmarkEnd w:id="128"/>
      <w:r>
        <w:rPr>
          <w:b w:val="false"/>
          <w:color w:val="000000"/>
        </w:rPr>
        <w:t>14.9 Converter.Advanced.WinAPI.pas</w:t>
      </w:r>
      <w:bookmarkEnd w:id="129"/>
      <w:bookmarkEnd w:id="130"/>
    </w:p>
    <w:p>
      <w:pPr>
        <w:pStyle w:val="Normal"/>
        <w:pageBreakBefore w:val="false"/>
        <w:rPr/>
      </w:pPr>
      <w:r>
        <w:rPr/>
        <w:t>Converter.Advanced.WinAPI.pas isolates Windows-specific rewrite logic. It exists so WinAPI-dependent source patterns can be preserved, adapted, or constrained without polluting the general parser and integration code with platform-specific branches.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Handle Windows API compatibility and rewrite patterns during conversion.</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Typical responsibilities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ShellExecute preservation, Windows-unit handling, serial, named-pipe, and device CreateFile and WriteFile preservation, process-control preservation, message or API call normalization, and selected compatibility substitutions.</w:t>
            </w:r>
          </w:p>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kern w:val="2"/>
                <w:szCs w:val="24"/>
                <w:lang w:val="en-US" w:eastAsia="en-US" w:bidi="ar-SA"/>
              </w:rPr>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Influences uses-clause requirements and any generated code that still needs explicit Windows units in FMX projects.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Keep platform-specific logic here when it is truly Windows-focused. General FMX startup or event logic should still live in integration.</w:t>
            </w:r>
          </w:p>
        </w:tc>
      </w:tr>
    </w:tbl>
    <w:p>
      <w:pPr>
        <w:pStyle w:val="Heading2"/>
        <w:pageBreakBefore w:val="false"/>
        <w:rPr>
          <w:b w:val="false"/>
        </w:rPr>
      </w:pPr>
      <w:bookmarkStart w:id="131" w:name="__RefHeading___Toc6515_239329132"/>
      <w:bookmarkStart w:id="132" w:name="_Toc236592954"/>
      <w:bookmarkStart w:id="133" w:name="_Toc225758801"/>
      <w:bookmarkEnd w:id="131"/>
      <w:r>
        <w:rPr>
          <w:b w:val="false"/>
          <w:color w:val="000000"/>
        </w:rPr>
        <w:t>14.10 Converter.Advanced.CriticalAreas.pas</w:t>
      </w:r>
      <w:bookmarkEnd w:id="132"/>
      <w:bookmarkEnd w:id="133"/>
    </w:p>
    <w:p>
      <w:pPr>
        <w:pStyle w:val="Normal"/>
        <w:pageBreakBefore w:val="false"/>
        <w:rPr/>
      </w:pPr>
      <w:r>
        <w:rPr/>
        <w:t>Converter.Advanced.CriticalAreas.pas is a reserved module for high-risk conversion categories that do not belong in broad, always-on parser passes. It provides a safer home for patterns such as custom drawing, owner-draw style behavior, synchronization concerns, or other specialized logic that can destabilize output if handled too casually.</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Contain risky or specialized conversion behavior in a bounded unit.</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Typical use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Future expansion for difficult painting, synchronization, or message-driven scenarios that require isolated logic.</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Supports the integration layer by keeping dangerous rules out of general-purpose code paths until they are stable.</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When a fix is powerful but risky and should not immediately become a blanket global parser rule, this is an appropriate staging area.</w:t>
            </w:r>
          </w:p>
        </w:tc>
      </w:tr>
    </w:tbl>
    <w:p>
      <w:pPr>
        <w:pStyle w:val="Heading2"/>
        <w:pageBreakBefore w:val="false"/>
        <w:rPr>
          <w:b w:val="false"/>
        </w:rPr>
      </w:pPr>
      <w:bookmarkStart w:id="134" w:name="__RefHeading___Toc6517_239329132"/>
      <w:bookmarkStart w:id="135" w:name="_Toc236592955"/>
      <w:bookmarkStart w:id="136" w:name="_Toc225758802"/>
      <w:bookmarkEnd w:id="134"/>
      <w:r>
        <w:rPr>
          <w:b w:val="false"/>
          <w:color w:val="000000"/>
        </w:rPr>
        <w:t>14.11 Converter.Advanced.ThirdParty.pas</w:t>
      </w:r>
      <w:bookmarkEnd w:id="135"/>
      <w:bookmarkEnd w:id="136"/>
    </w:p>
    <w:p>
      <w:pPr>
        <w:pStyle w:val="Normal"/>
        <w:pageBreakBefore w:val="false"/>
        <w:rPr/>
      </w:pPr>
      <w:r>
        <w:rPr/>
        <w:t>Converter.Advanced.ThirdParty.pas provides a controlled home for unsupported or third-party component handling. Real-world Delphi projects often depend on controls that do not have first-party FMX equivalents, so the converter needs a place to record approximations, fallbacks, or explicit manual-review guidance. This unit remains primarily a detection and reporting layer; pack-driven replacement rules belong in the mapper and DFM generation path.</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Support third-party and unsupported component conversion strategies.</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Typical responsibilities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Fallback mapping, warning generation, or controlled substitutions for controls outside the built-in VCL/FMXX mapping set.</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Works with the mapper and integration layer to avoid silent failure when a control class is recognized as nonstandard.</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Put vendor-specific or unsupported-control logic here instead of hard-coding it into broad parser decisions.</w:t>
            </w:r>
          </w:p>
        </w:tc>
      </w:tr>
    </w:tbl>
    <w:p>
      <w:pPr>
        <w:pStyle w:val="Heading2"/>
        <w:pageBreakBefore w:val="false"/>
        <w:rPr>
          <w:b w:val="false"/>
        </w:rPr>
      </w:pPr>
      <w:bookmarkStart w:id="137" w:name="__RefHeading___Toc6519_239329132"/>
      <w:bookmarkStart w:id="138" w:name="_Toc236592956"/>
      <w:bookmarkStart w:id="139" w:name="_Toc225758803"/>
      <w:bookmarkEnd w:id="137"/>
      <w:r>
        <w:rPr>
          <w:b w:val="false"/>
          <w:color w:val="000000"/>
        </w:rPr>
        <w:t>14.12 Converter.Project.Generator.pas</w:t>
      </w:r>
      <w:bookmarkEnd w:id="138"/>
      <w:bookmarkEnd w:id="139"/>
    </w:p>
    <w:p>
      <w:pPr>
        <w:pStyle w:val="Normal"/>
        <w:pageBreakBefore w:val="false"/>
        <w:rPr/>
      </w:pPr>
      <w:r>
        <w:rPr/>
        <w:t>Converter.Project.Generator.pas makes the final output openable and runnable in Delphi. It locates original project files, transforms DPR and DPROJ content, adapts FMX startup semantics, and copies or regenerates the project artifacts needed to load the converted application. The current path breaks DPR startup handling into smaller helper routines for startup normalization, splash-sequence detection, Application.Run placement, and immediate CreateForm/Show cleanup, which makes startup fixes easier to reason about.</w:t>
      </w:r>
    </w:p>
    <w:p>
      <w:pPr>
        <w:pStyle w:val="Normal"/>
        <w:pageBreakBefore w:val="false"/>
        <w:rPr/>
      </w:pPr>
      <w:r>
        <w:rPr/>
        <w:t>This unit now carries more responsibility for practical project portability. It should preserve the source Application.CreateForm list where appropriate, normalize namespace settings for FMX, inventory runtime-support files from the source root and existing build-output folders, and stage selected companions into the FMX output directory. It should also report which support files were staged versus merely found, turn serious unsupported conditions into blocking results, and keep public source distributions clean enough to ship with a root LICENSE.txt and without local-machine release noise.</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Aspect</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Detail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Primary purpose</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Generate FMX-aware project startup and project metadata.</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Key routines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FindOriginalDPR, FindOriginalDPROJ, TransformDPRContent, TransformDPROJContent, TransformDeployProjContent, companion-asset copy logic, and GenerateProject.</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Important interactions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Depends on the overall conversion context and must stay aligned with startup assumptions introduced by integration logic.</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Change guidance</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Fix splash handling, Application.CreateForm ordering, project-search rules, and other project-level semantics here rather than inside individual generated target units.</w:t>
            </w:r>
          </w:p>
        </w:tc>
      </w:tr>
    </w:tbl>
    <w:p>
      <w:pPr>
        <w:pStyle w:val="Heading1"/>
        <w:pageBreakBefore w:val="false"/>
        <w:spacing w:before="0" w:after="240"/>
        <w:rPr/>
      </w:pPr>
      <w:bookmarkStart w:id="140" w:name="__RefHeading___Toc6521_239329132"/>
      <w:bookmarkStart w:id="141" w:name="_Toc236592957"/>
      <w:bookmarkEnd w:id="140"/>
      <w:r>
        <w:rPr>
          <w:color w:val="000000"/>
        </w:rPr>
        <w:t>15.  Windows Messaging: Architecture and Implementation</w:t>
      </w:r>
      <w:bookmarkEnd w:id="141"/>
    </w:p>
    <w:p>
      <w:pPr>
        <w:pStyle w:val="Normal"/>
        <w:pageBreakBefore w:val="false"/>
        <w:spacing w:before="60" w:after="100"/>
        <w:rPr/>
      </w:pPr>
      <w:r>
        <w:rPr/>
        <w:t>This section documents the design decisions, data flow, and implementation details for the Windows Messaging conversion subsystem added in v7.0. It covers the five files modified, the three-tier detection model, the FMXMessageBridge infrastructure, and all regression-protected invariants the engineering team must maintain.</w:t>
      </w:r>
    </w:p>
    <w:p>
      <w:pPr>
        <w:pStyle w:val="Heading2"/>
        <w:pageBreakBefore w:val="false"/>
        <w:rPr/>
      </w:pPr>
      <w:bookmarkStart w:id="142" w:name="__RefHeading___Toc6523_239329132"/>
      <w:bookmarkStart w:id="143" w:name="_Toc236592958"/>
      <w:bookmarkEnd w:id="142"/>
      <w:r>
        <w:rPr>
          <w:color w:val="000000"/>
        </w:rPr>
        <w:t>15.1  Background: Why VCL Messaging Cannot Be Ported Directly</w:t>
      </w:r>
      <w:bookmarkEnd w:id="143"/>
    </w:p>
    <w:p>
      <w:pPr>
        <w:pStyle w:val="Normal"/>
        <w:pageBreakBefore w:val="false"/>
        <w:spacing w:before="60" w:after="100"/>
        <w:rPr/>
      </w:pPr>
      <w:r>
        <w:rPr/>
        <w:t>VCL is architecturally a thin object-oriented wrapper over Win32. Windows messages — integers dispatched through a per-window HWND queue — are a first-class extensibility mechanism in VCL. Components communicate with WM_USER offsets, forms intercept system events by overriding WndProc, and some patterns depend on the blocking semantics of SendMessage versus the queued semantics of PostMessage.</w:t>
      </w:r>
    </w:p>
    <w:p>
      <w:pPr>
        <w:pStyle w:val="Normal"/>
        <w:pageBreakBefore w:val="false"/>
        <w:spacing w:before="60" w:after="100"/>
        <w:rPr/>
      </w:pPr>
      <w:r>
        <w:rPr/>
        <w:t>FireMonkey was designed from the ground up for cross-platform deployment. It has no HWND, no per-window message queue, and no message pump exposed to user code. Embarcadero's replacement architecture has three layers:</w:t>
      </w:r>
    </w:p>
    <w:p>
      <w:pPr>
        <w:pStyle w:val="ListParagraph"/>
        <w:pageBreakBefore w:val="false"/>
        <w:numPr>
          <w:ilvl w:val="0"/>
          <w:numId w:val="21"/>
        </w:numPr>
        <w:spacing w:lineRule="auto" w:line="240" w:before="40" w:after="40"/>
        <w:contextualSpacing w:val="false"/>
        <w:rPr/>
      </w:pPr>
      <w:r>
        <w:rPr/>
        <w:t>First-class events (OnResize, OnActivate, etc.) for the system messages VCL most commonly handled.</w:t>
      </w:r>
    </w:p>
    <w:p>
      <w:pPr>
        <w:pStyle w:val="ListParagraph"/>
        <w:pageBreakBefore w:val="false"/>
        <w:numPr>
          <w:ilvl w:val="0"/>
          <w:numId w:val="19"/>
        </w:numPr>
        <w:spacing w:lineRule="auto" w:line="240" w:before="40" w:after="40"/>
        <w:contextualSpacing w:val="false"/>
        <w:rPr/>
      </w:pPr>
      <w:r>
        <w:rPr/>
        <w:t>TMessageManager in System.Messaging — a publish/subscribe broker using strongly-typed message objects — for application-level inter-component communication.</w:t>
      </w:r>
    </w:p>
    <w:p>
      <w:pPr>
        <w:pStyle w:val="ListParagraph"/>
        <w:pageBreakBefore w:val="false"/>
        <w:numPr>
          <w:ilvl w:val="0"/>
          <w:numId w:val="19"/>
        </w:numPr>
        <w:spacing w:lineRule="auto" w:line="240" w:before="40" w:after="40"/>
        <w:contextualSpacing w:val="false"/>
        <w:rPr/>
      </w:pPr>
      <w:r>
        <w:rPr/>
        <w:t>Platform services (IFMXApplicationEventService and others) for the small set of OS-level hooks that WndProc overrides typically targeted.</w:t>
      </w:r>
    </w:p>
    <w:p>
      <w:pPr>
        <w:pStyle w:val="Normal"/>
        <w:pageBreakBefore w:val="false"/>
        <w:spacing w:before="60" w:after="100"/>
        <w:rPr/>
      </w:pPr>
      <w:r>
        <w:rPr/>
        <w:t>The converter maps VCL patterns to these three layers automatically where possible, and flags items for manual review where architectural redesign is required.</w:t>
      </w:r>
    </w:p>
    <w:p>
      <w:pPr>
        <w:pStyle w:val="Heading2"/>
        <w:pageBreakBefore w:val="false"/>
        <w:rPr/>
      </w:pPr>
      <w:bookmarkStart w:id="144" w:name="__RefHeading___Toc6525_239329132"/>
      <w:bookmarkStart w:id="145" w:name="_Toc236592959"/>
      <w:bookmarkEnd w:id="144"/>
      <w:r>
        <w:rPr>
          <w:color w:val="000000"/>
        </w:rPr>
        <w:t>15.2  Detection Model: Three Tiers</w:t>
      </w:r>
      <w:bookmarkEnd w:id="145"/>
    </w:p>
    <w:p>
      <w:pPr>
        <w:pStyle w:val="Normal"/>
        <w:pageBreakBefore w:val="false"/>
        <w:spacing w:before="60" w:after="100"/>
        <w:rPr/>
      </w:pPr>
      <w:r>
        <w:rPr/>
        <w:t>The message detection and conversion logic lives in Converter.Advanced.CriticalAreas.pas, ConvertMessageHandlers procedure. Detection is applied line-by-line to the Pascal source after initial rewriting passes have completed.</w:t>
      </w:r>
    </w:p>
    <w:p>
      <w:pPr>
        <w:pStyle w:val="Heading3"/>
        <w:pageBreakBefore w:val="false"/>
        <w:rPr/>
      </w:pPr>
      <w:bookmarkStart w:id="146" w:name="__RefHeading___Toc6527_239329132"/>
      <w:bookmarkStart w:id="147" w:name="_Toc236592960"/>
      <w:bookmarkEnd w:id="146"/>
      <w:r>
        <w:rPr>
          <w:bCs/>
          <w:color w:val="000000"/>
          <w:szCs w:val="23"/>
        </w:rPr>
        <w:t>15.2.1  Tier 1 — Standard WM_ Handler Declarations</w:t>
      </w:r>
      <w:bookmarkEnd w:id="147"/>
    </w:p>
    <w:p>
      <w:pPr>
        <w:pStyle w:val="Normal"/>
        <w:pageBreakBefore w:val="false"/>
        <w:spacing w:before="60" w:after="100"/>
        <w:rPr/>
      </w:pPr>
      <w:r>
        <w:rPr/>
        <w:t>Detection regex (interface section scan):</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^\s*procedure\s+\w+\s*\(\s*var\s+\w+\s*:\s*TMessage\s*\)\s*;\s*message\s+WM_\w+</w:t>
            </w:r>
          </w:p>
        </w:tc>
      </w:tr>
    </w:tbl>
    <w:p>
      <w:pPr>
        <w:pStyle w:val="Normal"/>
        <w:pageBreakBefore w:val="false"/>
        <w:spacing w:before="60" w:after="100"/>
        <w:rPr/>
      </w:pPr>
      <w:r>
        <w:rPr/>
        <w:t>The scanner identifies procedure declarations with the message WM_XXX keyword in the class interface. On detection:</w:t>
      </w:r>
    </w:p>
    <w:p>
      <w:pPr>
        <w:pStyle w:val="ListParagraph"/>
        <w:pageBreakBefore w:val="false"/>
        <w:numPr>
          <w:ilvl w:val="0"/>
          <w:numId w:val="19"/>
        </w:numPr>
        <w:spacing w:lineRule="auto" w:line="240" w:before="40" w:after="40"/>
        <w:contextualSpacing w:val="false"/>
        <w:rPr/>
      </w:pPr>
      <w:r>
        <w:rPr/>
        <w:t>The message keyword and constant are stripped from the declaration.</w:t>
      </w:r>
    </w:p>
    <w:p>
      <w:pPr>
        <w:pStyle w:val="ListParagraph"/>
        <w:pageBreakBefore w:val="false"/>
        <w:numPr>
          <w:ilvl w:val="0"/>
          <w:numId w:val="19"/>
        </w:numPr>
        <w:spacing w:lineRule="auto" w:line="240" w:before="40" w:after="40"/>
        <w:contextualSpacing w:val="false"/>
        <w:rPr/>
      </w:pPr>
      <w:r>
        <w:rPr/>
        <w:t>A lookup against FMessageMap (populated in the constructor from a hardcoded VCL-to-FMX event name table) resolves the WM_ constant to its FMX event equivalent where known.</w:t>
      </w:r>
    </w:p>
    <w:p>
      <w:pPr>
        <w:pStyle w:val="ListParagraph"/>
        <w:pageBreakBefore w:val="false"/>
        <w:numPr>
          <w:ilvl w:val="0"/>
          <w:numId w:val="19"/>
        </w:numPr>
        <w:spacing w:lineRule="auto" w:line="240" w:before="40" w:after="40"/>
        <w:contextualSpacing w:val="false"/>
        <w:rPr/>
      </w:pPr>
      <w:r>
        <w:rPr/>
        <w:t>The implementation body is replaced with a comment block: { FMX: WM_XXX -&gt; use YYY event handler }.</w:t>
      </w:r>
    </w:p>
    <w:p>
      <w:pPr>
        <w:pStyle w:val="ListParagraph"/>
        <w:pageBreakBefore w:val="false"/>
        <w:numPr>
          <w:ilvl w:val="0"/>
          <w:numId w:val="19"/>
        </w:numPr>
        <w:spacing w:lineRule="auto" w:line="240" w:before="40" w:after="40"/>
        <w:contextualSpacing w:val="false"/>
        <w:rPr/>
      </w:pPr>
      <w:r>
        <w:rPr/>
        <w:t>Severity: csInfo. No NeedsFMXMessageBridge flag set.</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ℹ  </w:t>
            </w:r>
            <w:r>
              <w:rPr>
                <w:b/>
                <w:bCs/>
                <w:color w:val="FFFFFF"/>
                <w:sz w:val="19"/>
                <w:szCs w:val="20"/>
              </w:rPr>
              <w:t xml:space="preserve">Design note:  </w:t>
            </w:r>
            <w:r>
              <w:rPr>
                <w:b/>
                <w:color w:val="FFFFFF"/>
                <w:sz w:val="19"/>
                <w:szCs w:val="20"/>
              </w:rPr>
              <w:t>FMessageMap is populated once in the TWinAPIConverter constructor. If a WM_ constant is not in the map, the comment guidance falls back to the generic 'use TMessageManager' wording. Extending the map does not require changes elsewhere.</w:t>
            </w:r>
          </w:p>
        </w:tc>
      </w:tr>
    </w:tbl>
    <w:p>
      <w:pPr>
        <w:pStyle w:val="Heading3"/>
        <w:pageBreakBefore w:val="false"/>
        <w:rPr/>
      </w:pPr>
      <w:bookmarkStart w:id="148" w:name="__RefHeading___Toc6529_239329132"/>
      <w:bookmarkStart w:id="149" w:name="_Toc236592961"/>
      <w:bookmarkEnd w:id="148"/>
      <w:r>
        <w:rPr>
          <w:bCs/>
          <w:color w:val="000000"/>
          <w:szCs w:val="23"/>
        </w:rPr>
        <w:t>15.2.2  Tier 2 — WM_USER Custom Messages</w:t>
      </w:r>
      <w:bookmarkEnd w:id="149"/>
    </w:p>
    <w:p>
      <w:pPr>
        <w:pStyle w:val="Normal"/>
        <w:pageBreakBefore w:val="false"/>
        <w:spacing w:before="60" w:after="100"/>
        <w:rPr/>
      </w:pPr>
      <w:r>
        <w:rPr/>
        <w:t>Detection regex (implementation section scan):</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 Matches: const WM_MYEVENT = WM_USER + N;</w:t>
            </w:r>
          </w:p>
          <w:p>
            <w:pPr>
              <w:pStyle w:val="Normal"/>
              <w:keepNext w:val="false"/>
              <w:keepLines w:val="false"/>
              <w:spacing w:lineRule="auto" w:line="240" w:before="40" w:after="40"/>
              <w:rPr/>
            </w:pPr>
            <w:r>
              <w:rPr>
                <w:rFonts w:eastAsia="Courier New" w:cs="Courier New"/>
                <w:b/>
                <w:color w:val="FFFFFF"/>
                <w:sz w:val="19"/>
                <w:szCs w:val="18"/>
              </w:rPr>
              <w:t>^\s*\w+\s*=\s*WM_USER\s*\+\s*\d+\s*;</w:t>
            </w:r>
          </w:p>
          <w:p>
            <w:pPr>
              <w:pStyle w:val="Normal"/>
              <w:keepNext w:val="false"/>
              <w:keepLines w:val="false"/>
              <w:spacing w:lineRule="auto" w:line="240" w:before="40" w:after="40"/>
              <w:rPr/>
            </w:pPr>
            <w:r>
              <w:rPr/>
            </w:r>
          </w:p>
          <w:p>
            <w:pPr>
              <w:pStyle w:val="Normal"/>
              <w:keepNext w:val="false"/>
              <w:keepLines w:val="false"/>
              <w:spacing w:lineRule="auto" w:line="240" w:before="40" w:after="40"/>
              <w:rPr/>
            </w:pPr>
            <w:r>
              <w:rPr>
                <w:rFonts w:eastAsia="Courier New" w:cs="Courier New"/>
                <w:b/>
                <w:color w:val="FFFFFF"/>
                <w:sz w:val="19"/>
                <w:szCs w:val="18"/>
              </w:rPr>
              <w:t>// Also matches handler declarations:</w:t>
            </w:r>
          </w:p>
          <w:p>
            <w:pPr>
              <w:pStyle w:val="Normal"/>
              <w:keepNext w:val="false"/>
              <w:keepLines w:val="false"/>
              <w:spacing w:lineRule="auto" w:line="240" w:before="40" w:after="40"/>
              <w:rPr/>
            </w:pPr>
            <w:r>
              <w:rPr>
                <w:rFonts w:eastAsia="Courier New" w:cs="Courier New"/>
                <w:b/>
                <w:color w:val="FFFFFF"/>
                <w:sz w:val="19"/>
                <w:szCs w:val="18"/>
              </w:rPr>
              <w:t>^\s*procedure\s+(\w+)\s*\(\s*var\s+\w+\s*:.*\)\s*;\s*message\s+(WM_USER.*)</w:t>
            </w:r>
          </w:p>
        </w:tc>
      </w:tr>
    </w:tbl>
    <w:p>
      <w:pPr>
        <w:pStyle w:val="Normal"/>
        <w:pageBreakBefore w:val="false"/>
        <w:spacing w:before="60" w:after="100"/>
        <w:rPr/>
      </w:pPr>
      <w:r>
        <w:rPr/>
        <w:t>On detection, the converter:</w:t>
      </w:r>
    </w:p>
    <w:p>
      <w:pPr>
        <w:pStyle w:val="ListParagraph"/>
        <w:pageBreakBefore w:val="false"/>
        <w:numPr>
          <w:ilvl w:val="0"/>
          <w:numId w:val="19"/>
        </w:numPr>
        <w:spacing w:lineRule="auto" w:line="240" w:before="40" w:after="40"/>
        <w:contextualSpacing w:val="false"/>
        <w:rPr/>
      </w:pPr>
      <w:r>
        <w:rPr/>
        <w:t>Derives a Pascal class name from the message name (e.g. WM_MYEVENT → TMyEventMsg).</w:t>
      </w:r>
    </w:p>
    <w:p>
      <w:pPr>
        <w:pStyle w:val="ListParagraph"/>
        <w:pageBreakBefore w:val="false"/>
        <w:numPr>
          <w:ilvl w:val="0"/>
          <w:numId w:val="19"/>
        </w:numPr>
        <w:spacing w:lineRule="auto" w:line="240" w:before="40" w:after="40"/>
        <w:contextualSpacing w:val="false"/>
        <w:rPr/>
      </w:pPr>
      <w:r>
        <w:rPr/>
        <w:t>Appends a TMessageManager.SubscribeToMessage call to the FormCreate method. If FormCreate does not exist, a stub is injected.</w:t>
      </w:r>
    </w:p>
    <w:p>
      <w:pPr>
        <w:pStyle w:val="ListParagraph"/>
        <w:pageBreakBefore w:val="false"/>
        <w:numPr>
          <w:ilvl w:val="0"/>
          <w:numId w:val="19"/>
        </w:numPr>
        <w:spacing w:lineRule="auto" w:line="240" w:before="40" w:after="40"/>
        <w:contextualSpacing w:val="false"/>
        <w:rPr/>
      </w:pPr>
      <w:r>
        <w:rPr/>
        <w:t>Appends a TMessageManager.DefaultManager.Unsubscribe call to FormDestroy. Same injection rule applies.</w:t>
      </w:r>
    </w:p>
    <w:p>
      <w:pPr>
        <w:pStyle w:val="ListParagraph"/>
        <w:pageBreakBefore w:val="false"/>
        <w:numPr>
          <w:ilvl w:val="0"/>
          <w:numId w:val="19"/>
        </w:numPr>
        <w:spacing w:lineRule="auto" w:line="240" w:before="40" w:after="40"/>
        <w:contextualSpacing w:val="false"/>
        <w:rPr/>
      </w:pPr>
      <w:r>
        <w:rPr/>
        <w:t>Sets FContext.NeedsFMXMessageBridge := True on the conversion context.</w:t>
      </w:r>
    </w:p>
    <w:p>
      <w:pPr>
        <w:pStyle w:val="ListParagraph"/>
        <w:pageBreakBefore w:val="false"/>
        <w:numPr>
          <w:ilvl w:val="0"/>
          <w:numId w:val="19"/>
        </w:numPr>
        <w:spacing w:lineRule="auto" w:line="240" w:before="40" w:after="40"/>
        <w:contextualSpacing w:val="false"/>
        <w:rPr/>
      </w:pPr>
      <w:r>
        <w:rPr/>
        <w:t>Raises severity csManualReview — the generated handler body is a stub requiring developer completion.</w:t>
      </w:r>
    </w:p>
    <w:p>
      <w:pPr>
        <w:pStyle w:val="Normal"/>
        <w:pageBreakBefore w:val="false"/>
        <w:spacing w:before="60" w:after="100"/>
        <w:rPr/>
      </w:pPr>
      <w:r>
        <w:rPr/>
        <w:t>The SubscribeToMessage injection uses a two-pass approach: the first pass collects all custom message names, the second builds and injects the subscription block after all other rewrites have completed. This ordering ensures FormCreate is already present before injection attempts to locate it.</w:t>
      </w:r>
    </w:p>
    <w:p>
      <w:pPr>
        <w:pStyle w:val="Heading3"/>
        <w:pageBreakBefore w:val="false"/>
        <w:rPr/>
      </w:pPr>
      <w:bookmarkStart w:id="150" w:name="__RefHeading___Toc6531_239329132"/>
      <w:bookmarkStart w:id="151" w:name="_Toc236592962"/>
      <w:bookmarkEnd w:id="150"/>
      <w:r>
        <w:rPr>
          <w:bCs/>
          <w:color w:val="000000"/>
          <w:szCs w:val="23"/>
        </w:rPr>
        <w:t>15.2.3  Tier 3 — WndProc Overrides and Message Pump Calls</w:t>
      </w:r>
      <w:bookmarkEnd w:id="151"/>
    </w:p>
    <w:p>
      <w:pPr>
        <w:pStyle w:val="Normal"/>
        <w:pageBreakBefore w:val="false"/>
        <w:spacing w:before="60" w:after="100"/>
        <w:rPr/>
      </w:pPr>
      <w:r>
        <w:rPr/>
        <w:t>Detection patterns:</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 WndProc override:</w:t>
            </w:r>
          </w:p>
          <w:p>
            <w:pPr>
              <w:pStyle w:val="Normal"/>
              <w:keepNext w:val="false"/>
              <w:keepLines w:val="false"/>
              <w:spacing w:lineRule="auto" w:line="240" w:before="40" w:after="40"/>
              <w:rPr/>
            </w:pPr>
            <w:r>
              <w:rPr>
                <w:rFonts w:eastAsia="Courier New" w:cs="Courier New"/>
                <w:b/>
                <w:color w:val="FFFFFF"/>
                <w:sz w:val="19"/>
                <w:szCs w:val="18"/>
              </w:rPr>
              <w:t>^\s*procedure\s+WndProc\s*\(\s*var\s+Message\s*:\s*TMessage\s*\)</w:t>
            </w:r>
          </w:p>
          <w:p>
            <w:pPr>
              <w:pStyle w:val="Normal"/>
              <w:keepNext w:val="false"/>
              <w:keepLines w:val="false"/>
              <w:spacing w:lineRule="auto" w:line="240" w:before="40" w:after="40"/>
              <w:rPr/>
            </w:pPr>
            <w:r>
              <w:rPr/>
            </w:r>
          </w:p>
          <w:p>
            <w:pPr>
              <w:pStyle w:val="Normal"/>
              <w:keepNext w:val="false"/>
              <w:keepLines w:val="false"/>
              <w:spacing w:lineRule="auto" w:line="240" w:before="40" w:after="40"/>
              <w:rPr/>
            </w:pPr>
            <w:r>
              <w:rPr>
                <w:rFonts w:eastAsia="Courier New" w:cs="Courier New"/>
                <w:b/>
                <w:color w:val="FFFFFF"/>
                <w:sz w:val="19"/>
                <w:szCs w:val="18"/>
              </w:rPr>
              <w:t>// Message pump:</w:t>
            </w:r>
          </w:p>
          <w:p>
            <w:pPr>
              <w:pStyle w:val="Normal"/>
              <w:keepNext w:val="false"/>
              <w:keepLines w:val="false"/>
              <w:spacing w:lineRule="auto" w:line="240" w:before="40" w:after="40"/>
              <w:rPr/>
            </w:pPr>
            <w:r>
              <w:rPr>
                <w:rFonts w:eastAsia="Courier New" w:cs="Courier New"/>
                <w:b/>
                <w:color w:val="FFFFFF"/>
                <w:sz w:val="19"/>
                <w:szCs w:val="18"/>
              </w:rPr>
              <w:t>\b(PeekMessage|GetMessage|TranslateMessage|DispatchMessage)\s*\(</w:t>
            </w:r>
          </w:p>
        </w:tc>
      </w:tr>
    </w:tbl>
    <w:p>
      <w:pPr>
        <w:pStyle w:val="Normal"/>
        <w:pageBreakBefore w:val="false"/>
        <w:spacing w:before="60" w:after="100"/>
        <w:rPr/>
      </w:pPr>
      <w:r>
        <w:rPr/>
        <w:t>WndProc overrides are the most architecturally significant pattern. The converter:</w:t>
      </w:r>
    </w:p>
    <w:p>
      <w:pPr>
        <w:pStyle w:val="ListParagraph"/>
        <w:pageBreakBefore w:val="false"/>
        <w:numPr>
          <w:ilvl w:val="0"/>
          <w:numId w:val="19"/>
        </w:numPr>
        <w:spacing w:lineRule="auto" w:line="240" w:before="40" w:after="40"/>
        <w:contextualSpacing w:val="false"/>
        <w:rPr/>
      </w:pPr>
      <w:r>
        <w:rPr/>
        <w:t>Wraps the entire method body (from begin to matching end) in { } comment delimiters.</w:t>
      </w:r>
    </w:p>
    <w:p>
      <w:pPr>
        <w:pStyle w:val="ListParagraph"/>
        <w:pageBreakBefore w:val="false"/>
        <w:numPr>
          <w:ilvl w:val="0"/>
          <w:numId w:val="19"/>
        </w:numPr>
        <w:spacing w:lineRule="auto" w:line="240" w:before="40" w:after="40"/>
        <w:contextualSpacing w:val="false"/>
        <w:rPr/>
      </w:pPr>
      <w:r>
        <w:rPr/>
        <w:t>Prepends a structured comment block explaining the FMX alternatives.</w:t>
      </w:r>
    </w:p>
    <w:p>
      <w:pPr>
        <w:pStyle w:val="ListParagraph"/>
        <w:pageBreakBefore w:val="false"/>
        <w:numPr>
          <w:ilvl w:val="0"/>
          <w:numId w:val="19"/>
        </w:numPr>
        <w:spacing w:lineRule="auto" w:line="240" w:before="40" w:after="40"/>
        <w:contextualSpacing w:val="false"/>
        <w:rPr/>
      </w:pPr>
      <w:r>
        <w:rPr/>
        <w:t>Does not attempt to rewrite — the semantics are too varied for automated transformation.</w:t>
      </w:r>
    </w:p>
    <w:p>
      <w:pPr>
        <w:pStyle w:val="ListParagraph"/>
        <w:pageBreakBefore w:val="false"/>
        <w:numPr>
          <w:ilvl w:val="0"/>
          <w:numId w:val="19"/>
        </w:numPr>
        <w:spacing w:lineRule="auto" w:line="240" w:before="40" w:after="40"/>
        <w:contextualSpacing w:val="false"/>
        <w:rPr/>
      </w:pPr>
      <w:r>
        <w:rPr/>
        <w:t>Raises csManualReview.</w:t>
      </w:r>
    </w:p>
    <w:p>
      <w:pPr>
        <w:pStyle w:val="Normal"/>
        <w:pageBreakBefore w:val="false"/>
        <w:spacing w:before="60" w:after="100"/>
        <w:rPr/>
      </w:pPr>
      <w:r>
        <w:rPr/>
        <w:t>Message pump calls (PeekMessage, GetMessage, TranslateMessage, DispatchMessage) are simpler: the call line is replaced with a comment explaining that FMX owns its event loop. Raises csManualReview.</w:t>
      </w:r>
    </w:p>
    <w:p>
      <w:pPr>
        <w:pStyle w:val="Heading2"/>
        <w:pageBreakBefore w:val="false"/>
        <w:rPr/>
      </w:pPr>
      <w:bookmarkStart w:id="152" w:name="__RefHeading___Toc6533_239329132"/>
      <w:bookmarkStart w:id="153" w:name="_Toc236592963"/>
      <w:bookmarkEnd w:id="152"/>
      <w:r>
        <w:rPr>
          <w:color w:val="000000"/>
        </w:rPr>
        <w:t>15.3  ConvertMessageAPI — WinAPI Layer (Converter.Advanced.WinAPI)</w:t>
      </w:r>
      <w:bookmarkEnd w:id="153"/>
    </w:p>
    <w:p>
      <w:pPr>
        <w:pStyle w:val="Normal"/>
        <w:pageBreakBefore w:val="false"/>
        <w:spacing w:before="60" w:after="100"/>
        <w:rPr/>
      </w:pPr>
      <w:r>
        <w:rPr/>
        <w:t>A parallel detection pass runs in TWinAPIConverter.ConvertMessageAPI. This handles SendMessage, PostMessage, and related Win32 API calls that appear in the implementation body (as opposed to the message handler declarations handled by CriticalAreas).</w:t>
      </w:r>
    </w:p>
    <w:p>
      <w:pPr>
        <w:pStyle w:val="Normal"/>
        <w:pageBreakBefore w:val="false"/>
        <w:spacing w:before="60" w:after="100"/>
        <w:rPr/>
      </w:pPr>
      <w:r>
        <w:rPr/>
        <w:t>The function receives a single line and the extracted API name. As of v7.0 the branch structure is:</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if ContainsText(APIName, 'SendMessage') then</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 Sync dispatch — generate TMessageManager.SendMessage stub</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 Sub-branch: WM_USER constant present vs absent</w:t>
            </w:r>
          </w:p>
          <w:p>
            <w:pPr>
              <w:pStyle w:val="Normal"/>
              <w:keepNext w:val="false"/>
              <w:keepLines w:val="false"/>
              <w:spacing w:lineRule="auto" w:line="240" w:before="40" w:after="40"/>
              <w:rPr/>
            </w:pPr>
            <w:r>
              <w:rPr>
                <w:rFonts w:eastAsia="Courier New" w:cs="Courier New"/>
                <w:b/>
                <w:color w:val="FFFFFF"/>
                <w:sz w:val="19"/>
                <w:szCs w:val="18"/>
              </w:rPr>
              <w:t>else if ContainsText(APIName, 'PostMessage') then</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 Async dispatch — generate TThread.Queue + TMessageManager stub</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 Sub-branch: WM_ constant present vs absent</w:t>
            </w:r>
          </w:p>
          <w:p>
            <w:pPr>
              <w:pStyle w:val="Normal"/>
              <w:keepNext w:val="false"/>
              <w:keepLines w:val="false"/>
              <w:spacing w:lineRule="auto" w:line="240" w:before="40" w:after="40"/>
              <w:rPr/>
            </w:pPr>
            <w:r>
              <w:rPr>
                <w:rFonts w:eastAsia="Courier New" w:cs="Courier New"/>
                <w:b/>
                <w:color w:val="FFFFFF"/>
                <w:sz w:val="19"/>
                <w:szCs w:val="18"/>
              </w:rPr>
              <w:t>else if ContainsText(APIName, 'PeekMessage') or ... then</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 Message pump removal comment</w:t>
            </w:r>
          </w:p>
          <w:p>
            <w:pPr>
              <w:pStyle w:val="Normal"/>
              <w:keepNext w:val="false"/>
              <w:keepLines w:val="false"/>
              <w:spacing w:lineRule="auto" w:line="240" w:before="40" w:after="40"/>
              <w:rPr/>
            </w:pPr>
            <w:r>
              <w:rPr>
                <w:rFonts w:eastAsia="Courier New" w:cs="Courier New"/>
                <w:b/>
                <w:color w:val="FFFFFF"/>
                <w:sz w:val="19"/>
                <w:szCs w:val="18"/>
              </w:rPr>
              <w:t>else</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 Generic TMessageManager guidance</w:t>
            </w:r>
          </w:p>
        </w:tc>
      </w:tr>
    </w:tbl>
    <w:p>
      <w:pPr>
        <w:pStyle w:val="Normal"/>
        <w:spacing w:lineRule="exact" w:line="20" w:before="0" w:after="100"/>
        <w:rPr/>
      </w:pPr>
      <w:r>
        <w:rPr/>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v7.0 fix:  </w:t>
            </w:r>
            <w:r>
              <w:rPr>
                <w:b/>
                <w:color w:val="FFFFFF"/>
                <w:sz w:val="19"/>
                <w:szCs w:val="20"/>
              </w:rPr>
              <w:t>Prior to the v7.0 dead-code fix, SendMessage and PostMessage were combined in a single if branch (ContainsText(APIName, 'SendMessage') or ContainsText(APIName, 'PostMessage')). This meant the else if PostMessage branch beneath it was unreachable — PostMessage was silently handled by the SendMessage path and received sync-dispatch guidance instead of async. The fix separates the two APIs into distinct arms. SendMessage generates a synchronous TMessageManager stub. PostMessage generates a TThread.Queue wrapper stub to preserve the async semantics of the original call.</w:t>
            </w:r>
          </w:p>
        </w:tc>
      </w:tr>
    </w:tbl>
    <w:p>
      <w:pPr>
        <w:pStyle w:val="Heading2"/>
        <w:pageBreakBefore w:val="false"/>
        <w:rPr/>
      </w:pPr>
      <w:bookmarkStart w:id="154" w:name="__RefHeading___Toc6535_239329132"/>
      <w:bookmarkStart w:id="155" w:name="_Toc236592964"/>
      <w:bookmarkEnd w:id="154"/>
      <w:r>
        <w:rPr>
          <w:color w:val="000000"/>
        </w:rPr>
        <w:t>15.4  System.Messaging Uses Clause Injection (Converter.Rewrite.UsesClause)</w:t>
      </w:r>
      <w:bookmarkEnd w:id="155"/>
    </w:p>
    <w:p>
      <w:pPr>
        <w:pStyle w:val="Normal"/>
        <w:pageBreakBefore w:val="false"/>
        <w:spacing w:before="60" w:after="100"/>
        <w:rPr/>
      </w:pPr>
      <w:r>
        <w:rPr/>
        <w:t>The converter must add System.Messaging to the output unit's uses clauses whenever TMessageManager code has been generated. This is handled by NeedsSystemMessaging detection in the uses clause rewriter.</w:t>
      </w:r>
    </w:p>
    <w:p>
      <w:pPr>
        <w:pStyle w:val="Normal"/>
        <w:pageBreakBefore w:val="false"/>
        <w:spacing w:before="60" w:after="100"/>
        <w:rPr/>
      </w:pPr>
      <w:r>
        <w:rPr/>
        <w:t>Detection (fires after all rewrite passes):</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NeedsSystemMessaging :=</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(Pos('TMessageManager', AnalysisCode) &gt; 0) or</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(Pos('SubscribeToMessage', AnalysisCode) &gt; 0) or</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(Pos('System.Messaging', AnalysisCode) &gt; 0);</w:t>
            </w:r>
          </w:p>
        </w:tc>
      </w:tr>
    </w:tbl>
    <w:p>
      <w:pPr>
        <w:pStyle w:val="Normal"/>
        <w:pageBreakBefore w:val="false"/>
        <w:spacing w:before="60" w:after="100"/>
        <w:rPr/>
      </w:pPr>
      <w:r>
        <w:rPr/>
        <w:t>Injection targets both the interface uses clause (lines 741–742) and the implementation uses clause (lines 805–806). The injection is idempotent — if System.Messaging is already present in either clause, UnitList.IndexOf returns a non-negative index and the Add is skipped.</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ℹ  </w:t>
            </w:r>
            <w:r>
              <w:rPr>
                <w:b/>
                <w:bCs/>
                <w:color w:val="FFFFFF"/>
                <w:sz w:val="19"/>
                <w:szCs w:val="20"/>
              </w:rPr>
              <w:t xml:space="preserve">Design note:  </w:t>
            </w:r>
            <w:r>
              <w:rPr>
                <w:b/>
                <w:color w:val="FFFFFF"/>
                <w:sz w:val="19"/>
                <w:szCs w:val="20"/>
              </w:rPr>
              <w:t>AnalysisCode is the full post-rewrite Pascal text of the unit. Scanning the final text (rather than tracking a flag through each pass) makes the detection robust to any rewrite path that might generate TMessageManager references — including future passes added by other contributors.</w:t>
            </w:r>
          </w:p>
        </w:tc>
      </w:tr>
    </w:tbl>
    <w:p>
      <w:pPr>
        <w:pStyle w:val="Heading2"/>
        <w:pageBreakBefore w:val="false"/>
        <w:rPr/>
      </w:pPr>
      <w:bookmarkStart w:id="156" w:name="__RefHeading___Toc6537_239329132"/>
      <w:bookmarkStart w:id="157" w:name="_Toc236592965"/>
      <w:bookmarkEnd w:id="156"/>
      <w:r>
        <w:rPr>
          <w:color w:val="000000"/>
        </w:rPr>
        <w:t>15.5  FMXMessageBridge Infrastructure (Converter.Project.Generator)</w:t>
      </w:r>
      <w:bookmarkEnd w:id="157"/>
    </w:p>
    <w:p>
      <w:pPr>
        <w:pStyle w:val="Heading3"/>
        <w:pageBreakBefore w:val="false"/>
        <w:rPr/>
      </w:pPr>
      <w:bookmarkStart w:id="158" w:name="__RefHeading___Toc6539_239329132"/>
      <w:bookmarkStart w:id="159" w:name="_Toc236592966"/>
      <w:bookmarkEnd w:id="158"/>
      <w:r>
        <w:rPr>
          <w:bCs/>
          <w:color w:val="000000"/>
          <w:szCs w:val="23"/>
        </w:rPr>
        <w:t>15.5.1  NeedsFMXMessageBridge Flag</w:t>
      </w:r>
      <w:bookmarkEnd w:id="159"/>
    </w:p>
    <w:p>
      <w:pPr>
        <w:pStyle w:val="Normal"/>
        <w:pageBreakBefore w:val="false"/>
        <w:spacing w:before="60" w:after="100"/>
        <w:rPr/>
      </w:pPr>
      <w:r>
        <w:rPr/>
        <w:t>FContext.NeedsFMXMessageBridge is a Boolean property on TConversionContext (Converter.Core.Types). It is set to True by ConvertMessageHandlers when a Tier 2 (WM_USER) pattern is found. The project generator reads this flag after all unit conversions are complete.</w:t>
      </w:r>
    </w:p>
    <w:p>
      <w:pPr>
        <w:pStyle w:val="Normal"/>
        <w:pageBreakBefore w:val="false"/>
        <w:spacing w:before="60" w:after="100"/>
        <w:rPr/>
      </w:pPr>
      <w:r>
        <w:rPr/>
        <w:t>Declaration in TConversionContext:</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private</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FNeedsFMXMessageBridge: Boolean;</w:t>
            </w:r>
          </w:p>
          <w:p>
            <w:pPr>
              <w:pStyle w:val="Normal"/>
              <w:keepNext w:val="false"/>
              <w:keepLines w:val="false"/>
              <w:spacing w:lineRule="auto" w:line="240" w:before="40" w:after="40"/>
              <w:rPr/>
            </w:pPr>
            <w:r>
              <w:rPr>
                <w:rFonts w:eastAsia="Courier New" w:cs="Courier New"/>
                <w:b/>
                <w:color w:val="FFFFFF"/>
                <w:sz w:val="19"/>
                <w:szCs w:val="18"/>
              </w:rPr>
              <w:t>public</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property NeedsFMXMessageBridge: Boolean</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read FNeedsFMXMessageBridge write FNeedsFMXMessageBridge;</w:t>
            </w:r>
          </w:p>
        </w:tc>
      </w:tr>
    </w:tbl>
    <w:p>
      <w:pPr>
        <w:pStyle w:val="Heading3"/>
        <w:pageBreakBefore w:val="false"/>
        <w:rPr/>
      </w:pPr>
      <w:bookmarkStart w:id="160" w:name="__RefHeading___Toc6541_239329132"/>
      <w:bookmarkStart w:id="161" w:name="_Toc236592967"/>
      <w:bookmarkEnd w:id="160"/>
      <w:r>
        <w:rPr>
          <w:bCs/>
          <w:color w:val="000000"/>
          <w:szCs w:val="23"/>
        </w:rPr>
        <w:t>15.5.2  GenerateFMXMessageBridge Procedure</w:t>
      </w:r>
      <w:bookmarkEnd w:id="161"/>
    </w:p>
    <w:p>
      <w:pPr>
        <w:pStyle w:val="Normal"/>
        <w:pageBreakBefore w:val="false"/>
        <w:spacing w:before="60" w:after="100"/>
        <w:rPr/>
      </w:pPr>
      <w:r>
        <w:rPr/>
        <w:t>Called from the project generator's main output loop when NeedsFMXMessageBridge is True:</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if FContext.NeedsFMXMessageBridge then</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GenerateFMXMessageBridge;</w:t>
            </w:r>
          </w:p>
        </w:tc>
      </w:tr>
    </w:tbl>
    <w:p>
      <w:pPr>
        <w:pStyle w:val="Normal"/>
        <w:pageBreakBefore w:val="false"/>
        <w:spacing w:before="60" w:after="100"/>
        <w:rPr/>
      </w:pPr>
      <w:r>
        <w:rPr/>
        <w:t>The procedure:</w:t>
      </w:r>
    </w:p>
    <w:p>
      <w:pPr>
        <w:pStyle w:val="ListParagraph"/>
        <w:pageBreakBefore w:val="false"/>
        <w:numPr>
          <w:ilvl w:val="0"/>
          <w:numId w:val="19"/>
        </w:numPr>
        <w:spacing w:lineRule="auto" w:line="240" w:before="40" w:after="40"/>
        <w:contextualSpacing w:val="false"/>
        <w:rPr/>
      </w:pPr>
      <w:r>
        <w:rPr/>
        <w:t>Constructs the output path: TPath.Combine(FContext.Options.OutputPath, 'FMXMessageBridge.pas').</w:t>
      </w:r>
    </w:p>
    <w:p>
      <w:pPr>
        <w:pStyle w:val="ListParagraph"/>
        <w:pageBreakBefore w:val="false"/>
        <w:numPr>
          <w:ilvl w:val="0"/>
          <w:numId w:val="19"/>
        </w:numPr>
        <w:spacing w:lineRule="auto" w:line="240" w:before="40" w:after="40"/>
        <w:contextualSpacing w:val="false"/>
        <w:rPr/>
      </w:pPr>
      <w:r>
        <w:rPr/>
        <w:t>Checks if the file already exists. If so, skips generation entirely — never overwrites.</w:t>
      </w:r>
    </w:p>
    <w:p>
      <w:pPr>
        <w:pStyle w:val="ListParagraph"/>
        <w:pageBreakBefore w:val="false"/>
        <w:numPr>
          <w:ilvl w:val="0"/>
          <w:numId w:val="19"/>
        </w:numPr>
        <w:spacing w:lineRule="auto" w:line="240" w:before="40" w:after="40"/>
        <w:contextualSpacing w:val="false"/>
        <w:rPr/>
      </w:pPr>
      <w:r>
        <w:rPr/>
        <w:t>Generates the file content as a TStringList and saves to disk.</w:t>
      </w:r>
    </w:p>
    <w:p>
      <w:pPr>
        <w:pStyle w:val="Normal"/>
        <w:pageBreakBefore w:val="false"/>
        <w:spacing w:before="60" w:after="100"/>
        <w:rPr/>
      </w:pPr>
      <w:r>
        <w:rPr/>
        <w:t>Generated file contents:</w:t>
      </w:r>
    </w:p>
    <w:p>
      <w:pPr>
        <w:pStyle w:val="ListParagraph"/>
        <w:pageBreakBefore w:val="false"/>
        <w:numPr>
          <w:ilvl w:val="0"/>
          <w:numId w:val="19"/>
        </w:numPr>
        <w:spacing w:lineRule="auto" w:line="240" w:before="40" w:after="40"/>
        <w:contextualSpacing w:val="false"/>
        <w:rPr/>
      </w:pPr>
      <w:r>
        <w:rPr/>
        <w:t>TFMXUserMessage — abstract base class inheriting from TMessage (System.Messaging).</w:t>
      </w:r>
    </w:p>
    <w:p>
      <w:pPr>
        <w:pStyle w:val="ListParagraph"/>
        <w:pageBreakBefore w:val="false"/>
        <w:numPr>
          <w:ilvl w:val="0"/>
          <w:numId w:val="19"/>
        </w:numPr>
        <w:spacing w:lineRule="auto" w:line="240" w:before="40" w:after="40"/>
        <w:contextualSpacing w:val="false"/>
        <w:rPr/>
      </w:pPr>
      <w:r>
        <w:rPr/>
        <w:t>FMXSendMessage — synchronous dispatch helper calling TMessageManager.DefaultManager.SendMessage.</w:t>
      </w:r>
    </w:p>
    <w:p>
      <w:pPr>
        <w:pStyle w:val="ListParagraph"/>
        <w:pageBreakBefore w:val="false"/>
        <w:numPr>
          <w:ilvl w:val="0"/>
          <w:numId w:val="19"/>
        </w:numPr>
        <w:spacing w:lineRule="auto" w:line="240" w:before="40" w:after="40"/>
        <w:contextualSpacing w:val="false"/>
        <w:rPr/>
      </w:pPr>
      <w:r>
        <w:rPr/>
        <w:t>FMXPostMessage — asynchronous dispatch helper wrapping the SendMessage call in TThread.Queue(nil, procedure begin ... end).</w:t>
      </w:r>
    </w:p>
    <w:p>
      <w:pPr>
        <w:pStyle w:val="ListParagraph"/>
        <w:pageBreakBefore w:val="false"/>
        <w:numPr>
          <w:ilvl w:val="0"/>
          <w:numId w:val="19"/>
        </w:numPr>
        <w:spacing w:lineRule="auto" w:line="240" w:before="40" w:after="40"/>
        <w:contextualSpacing w:val="false"/>
        <w:rPr/>
      </w:pPr>
      <w:r>
        <w:rPr/>
        <w:t>Full usage guide in block comments at the top of the file.</w:t>
      </w:r>
    </w:p>
    <w:p>
      <w:pPr>
        <w:pStyle w:val="Heading3"/>
        <w:pageBreakBefore w:val="false"/>
        <w:rPr/>
      </w:pPr>
      <w:bookmarkStart w:id="162" w:name="__RefHeading___Toc6543_239329132"/>
      <w:bookmarkStart w:id="163" w:name="_Toc236592968"/>
      <w:bookmarkEnd w:id="162"/>
      <w:r>
        <w:rPr>
          <w:bCs/>
          <w:color w:val="000000"/>
          <w:szCs w:val="23"/>
        </w:rPr>
        <w:t>15.5.3  DPR Uses Clause Injection</w:t>
      </w:r>
      <w:bookmarkEnd w:id="163"/>
    </w:p>
    <w:p>
      <w:pPr>
        <w:pStyle w:val="Normal"/>
        <w:pageBreakBefore w:val="false"/>
        <w:spacing w:before="60" w:after="100"/>
        <w:rPr/>
      </w:pPr>
      <w:r>
        <w:rPr/>
        <w:t>The project .dpr file must reference FMXMessageBridge.pas for the unit to be compiled into the project. Injection is handled in TransformDPRContent:</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rFonts w:eastAsia="Courier New" w:cs="Courier New"/>
                <w:b/>
                <w:color w:val="FFFFFF"/>
                <w:sz w:val="19"/>
                <w:szCs w:val="18"/>
              </w:rPr>
              <w:t>if FContext.NeedsFMXMessageBridge and</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not ContainsText(Result, 'FMXMessageBridge') then</w:t>
            </w:r>
          </w:p>
          <w:p>
            <w:pPr>
              <w:pStyle w:val="Normal"/>
              <w:keepNext w:val="false"/>
              <w:keepLines w:val="false"/>
              <w:spacing w:lineRule="auto" w:line="240" w:before="40" w:after="40"/>
              <w:rPr/>
            </w:pPr>
            <w:r>
              <w:rPr>
                <w:rFonts w:eastAsia="Courier New" w:cs="Courier New"/>
                <w:b/>
                <w:color w:val="FFFFFF"/>
                <w:sz w:val="19"/>
                <w:szCs w:val="18"/>
              </w:rPr>
              <w:t>begin</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Result := TRegEx.Replace(Result,</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'(uses\s+[^;]+?)(;)',</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'$1,' + sLineBreak + '  FMXMessageBridge in ''FMXMessageBridge.pas''$2',</w:t>
            </w:r>
          </w:p>
          <w:p>
            <w:pPr>
              <w:pStyle w:val="Normal"/>
              <w:keepNext w:val="false"/>
              <w:keepLines w:val="false"/>
              <w:spacing w:lineRule="auto" w:line="240" w:before="40" w:after="40"/>
              <w:rPr/>
            </w:pPr>
            <w:r>
              <w:rPr>
                <w:rFonts w:eastAsia="Courier New" w:cs="Courier New"/>
                <w:b/>
                <w:color w:val="FFFFFF"/>
                <w:sz w:val="19"/>
                <w:szCs w:val="18"/>
              </w:rPr>
              <w:t xml:space="preserve">    </w:t>
            </w:r>
            <w:r>
              <w:rPr>
                <w:rFonts w:eastAsia="Courier New" w:cs="Courier New"/>
                <w:b/>
                <w:color w:val="FFFFFF"/>
                <w:sz w:val="19"/>
                <w:szCs w:val="18"/>
              </w:rPr>
              <w:t>[roSingleLine]);</w:t>
            </w:r>
          </w:p>
          <w:p>
            <w:pPr>
              <w:pStyle w:val="Normal"/>
              <w:keepNext w:val="false"/>
              <w:keepLines w:val="false"/>
              <w:spacing w:lineRule="auto" w:line="240" w:before="40" w:after="40"/>
              <w:rPr/>
            </w:pPr>
            <w:r>
              <w:rPr>
                <w:rFonts w:eastAsia="Courier New" w:cs="Courier New"/>
                <w:b/>
                <w:color w:val="FFFFFF"/>
                <w:sz w:val="19"/>
                <w:szCs w:val="18"/>
              </w:rPr>
              <w:t>end;</w:t>
            </w:r>
          </w:p>
        </w:tc>
      </w:tr>
    </w:tbl>
    <w:p>
      <w:pPr>
        <w:pStyle w:val="Normal"/>
        <w:pageBreakBefore w:val="false"/>
        <w:spacing w:before="60" w:after="100"/>
        <w:rPr/>
      </w:pPr>
      <w:r>
        <w:rPr/>
        <w:t>The ContainsText guard makes the injection idempotent — running the converter a second time on a project that already has FMXMessageBridge in its .dpr will not duplicate the entry.</w:t>
      </w:r>
    </w:p>
    <w:p>
      <w:pPr>
        <w:pStyle w:val="Heading2"/>
        <w:pageBreakBefore w:val="false"/>
        <w:rPr/>
      </w:pPr>
      <w:bookmarkStart w:id="164" w:name="__RefHeading___Toc6545_239329132"/>
      <w:bookmarkStart w:id="165" w:name="_Toc236592969"/>
      <w:bookmarkEnd w:id="164"/>
      <w:r>
        <w:rPr>
          <w:color w:val="000000"/>
        </w:rPr>
        <w:t>15.6  Files Modified in v7.0</w:t>
      </w:r>
      <w:bookmarkEnd w:id="165"/>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3929"/>
        <w:gridCol w:w="6295"/>
      </w:tblGrid>
      <w:tr>
        <w:trPr>
          <w:tblHeader w:val="true"/>
          <w:cantSplit/>
        </w:trPr>
        <w:tc>
          <w:tcPr>
            <w:tcW w:w="3929"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widowControl/>
              <w:bidi w:val="0"/>
              <w:spacing w:lineRule="auto" w:line="240" w:before="40" w:after="40"/>
              <w:jc w:val="start"/>
              <w:rPr/>
            </w:pPr>
            <w:r>
              <w:rPr>
                <w:b/>
                <w:bCs/>
                <w:color w:val="FFFFFF"/>
                <w:sz w:val="19"/>
                <w:szCs w:val="20"/>
              </w:rPr>
              <w:t>File</w:t>
            </w:r>
          </w:p>
        </w:tc>
        <w:tc>
          <w:tcPr>
            <w:tcW w:w="6295"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widowControl/>
              <w:bidi w:val="0"/>
              <w:spacing w:lineRule="auto" w:line="240" w:before="40" w:after="40"/>
              <w:jc w:val="start"/>
              <w:rPr/>
            </w:pPr>
            <w:r>
              <w:rPr>
                <w:b/>
                <w:bCs/>
                <w:color w:val="FFFFFF"/>
                <w:sz w:val="19"/>
                <w:szCs w:val="20"/>
              </w:rPr>
              <w:t>Changes</w:t>
            </w:r>
          </w:p>
        </w:tc>
      </w:tr>
      <w:tr>
        <w:trPr>
          <w:cantSplit/>
        </w:trPr>
        <w:tc>
          <w:tcPr>
            <w:tcW w:w="3929"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Converter.Advanced.CriticalAreas</w:t>
            </w:r>
          </w:p>
        </w:tc>
        <w:tc>
          <w:tcPr>
            <w:tcW w:w="6295"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ConvertMessageHandlers completely rewritten with three-tier detection. GenerateFMXMessageHandlers updated.</w:t>
            </w:r>
          </w:p>
        </w:tc>
      </w:tr>
      <w:tr>
        <w:trPr>
          <w:cantSplit/>
        </w:trPr>
        <w:tc>
          <w:tcPr>
            <w:tcW w:w="3929" w:type="dxa"/>
            <w:tcBorders>
              <w:top w:val="single" w:sz="2" w:space="0" w:color="BBBBBB"/>
              <w:start w:val="single" w:sz="2" w:space="0" w:color="BBBBBB"/>
              <w:bottom w:val="single" w:sz="2" w:space="0" w:color="BBBBBB"/>
              <w:end w:val="single" w:sz="2" w:space="0" w:color="BBBBBB"/>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Converter.Advanced.WinAPI</w:t>
            </w:r>
          </w:p>
        </w:tc>
        <w:tc>
          <w:tcPr>
            <w:tcW w:w="6295" w:type="dxa"/>
            <w:tcBorders>
              <w:top w:val="single" w:sz="2" w:space="0" w:color="BBBBBB"/>
              <w:start w:val="single" w:sz="2" w:space="0" w:color="BBBBBB"/>
              <w:bottom w:val="single" w:sz="2" w:space="0" w:color="BBBBBB"/>
              <w:end w:val="single" w:sz="2" w:space="0" w:color="BBBBBB"/>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ConvertMessageAPI rewritten with separate SendMessage / PostMessage arms. Dead-code PostMessage branch eliminated.</w:t>
            </w:r>
          </w:p>
        </w:tc>
      </w:tr>
      <w:tr>
        <w:trPr>
          <w:cantSplit/>
        </w:trPr>
        <w:tc>
          <w:tcPr>
            <w:tcW w:w="3929"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Converter.Rewrite.UsesClause</w:t>
            </w:r>
          </w:p>
        </w:tc>
        <w:tc>
          <w:tcPr>
            <w:tcW w:w="6295"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NeedsSystemMessaging detection and System.Messaging injection added to both uses clause rewrite paths.</w:t>
            </w:r>
          </w:p>
        </w:tc>
      </w:tr>
      <w:tr>
        <w:trPr>
          <w:cantSplit/>
        </w:trPr>
        <w:tc>
          <w:tcPr>
            <w:tcW w:w="3929" w:type="dxa"/>
            <w:tcBorders>
              <w:top w:val="single" w:sz="2" w:space="0" w:color="BBBBBB"/>
              <w:start w:val="single" w:sz="2" w:space="0" w:color="BBBBBB"/>
              <w:bottom w:val="single" w:sz="2" w:space="0" w:color="BBBBBB"/>
              <w:end w:val="single" w:sz="2" w:space="0" w:color="BBBBBB"/>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Converter.Core.Types</w:t>
            </w:r>
          </w:p>
        </w:tc>
        <w:tc>
          <w:tcPr>
            <w:tcW w:w="6295" w:type="dxa"/>
            <w:tcBorders>
              <w:top w:val="single" w:sz="2" w:space="0" w:color="BBBBBB"/>
              <w:start w:val="single" w:sz="2" w:space="0" w:color="BBBBBB"/>
              <w:bottom w:val="single" w:sz="2" w:space="0" w:color="BBBBBB"/>
              <w:end w:val="single" w:sz="2" w:space="0" w:color="BBBBBB"/>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FNeedsFMXMessageBridge field and NeedsFMXMessageBridge property added to TConversionContext.</w:t>
            </w:r>
          </w:p>
        </w:tc>
      </w:tr>
      <w:tr>
        <w:trPr>
          <w:cantSplit/>
        </w:trPr>
        <w:tc>
          <w:tcPr>
            <w:tcW w:w="3929"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Converter.Project.Generator</w:t>
            </w:r>
          </w:p>
        </w:tc>
        <w:tc>
          <w:tcPr>
            <w:tcW w:w="6295" w:type="dxa"/>
            <w:tcBorders>
              <w:top w:val="single" w:sz="2" w:space="0" w:color="BBBBBB"/>
              <w:start w:val="single" w:sz="2" w:space="0" w:color="BBBBBB"/>
              <w:bottom w:val="single" w:sz="2" w:space="0" w:color="BBBBBB"/>
              <w:end w:val="single" w:sz="2" w:space="0" w:color="BBBBBB"/>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GenerateFMXMessageBridge procedure added (private, declared and implemented). FMXMessageBridge DPR injection added to TransformDPRContent.</w:t>
            </w:r>
          </w:p>
        </w:tc>
      </w:tr>
      <w:tr>
        <w:trPr>
          <w:cantSplit/>
        </w:trPr>
        <w:tc>
          <w:tcPr>
            <w:tcW w:w="3929" w:type="dxa"/>
            <w:tcBorders>
              <w:top w:val="single" w:sz="2" w:space="0" w:color="BBBBBB"/>
              <w:start w:val="single" w:sz="2" w:space="0" w:color="BBBBBB"/>
              <w:bottom w:val="single" w:sz="2" w:space="0" w:color="BBBBBB"/>
              <w:end w:val="single" w:sz="2" w:space="0" w:color="BBBBBB"/>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Converter.Core.Integration</w:t>
            </w:r>
          </w:p>
        </w:tc>
        <w:tc>
          <w:tcPr>
            <w:tcW w:w="6295" w:type="dxa"/>
            <w:tcBorders>
              <w:top w:val="single" w:sz="2" w:space="0" w:color="BBBBBB"/>
              <w:start w:val="single" w:sz="2" w:space="0" w:color="BBBBBB"/>
              <w:bottom w:val="single" w:sz="2" w:space="0" w:color="BBBBBB"/>
              <w:end w:val="single" w:sz="2" w:space="0" w:color="BBBBBB"/>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FixImplementationSection whitelist extended: type, const, var, resourcestring, class, end, end. added as valid first tokens after implementation.</w:t>
            </w:r>
          </w:p>
        </w:tc>
      </w:tr>
    </w:tbl>
    <w:p>
      <w:pPr>
        <w:pStyle w:val="Heading2"/>
        <w:pageBreakBefore w:val="false"/>
        <w:rPr/>
      </w:pPr>
      <w:bookmarkStart w:id="166" w:name="__RefHeading___Toc6547_239329132"/>
      <w:bookmarkStart w:id="167" w:name="_Toc236592970"/>
      <w:bookmarkEnd w:id="166"/>
      <w:r>
        <w:rPr>
          <w:color w:val="000000"/>
        </w:rPr>
        <w:t>15.7  Regression-Protected Areas</w:t>
      </w:r>
      <w:bookmarkEnd w:id="167"/>
    </w:p>
    <w:p>
      <w:pPr>
        <w:pStyle w:val="Normal"/>
        <w:pageBreakBefore w:val="false"/>
        <w:spacing w:before="60" w:after="100"/>
        <w:rPr/>
      </w:pPr>
      <w:r>
        <w:rPr/>
        <w:t>The following areas must not be modified without a documented reason reviewed by the engineering team. They represent either previously debugged fixes or architectural invariants that other subsystems depend on.</w:t>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REGRESSION PROTECTED:  </w:t>
            </w:r>
            <w:r>
              <w:rPr>
                <w:b/>
                <w:color w:val="FFFFFF"/>
                <w:sz w:val="19"/>
                <w:szCs w:val="20"/>
              </w:rPr>
              <w:t>SplitTrailingBlockComment — private TAutoFixRewriter method with {$ guard. Handles Apply loop trailing comment split/re-attach. Do not modify signature, guard, or TrailingComment variable usage.</w:t>
            </w:r>
          </w:p>
        </w:tc>
      </w:tr>
    </w:tbl>
    <w:p>
      <w:pPr>
        <w:pStyle w:val="Normal"/>
        <w:spacing w:lineRule="exact" w:line="20" w:before="0" w:after="100"/>
        <w:rPr/>
      </w:pPr>
      <w:r>
        <w:rPr/>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REGRESSION PROTECTED:  </w:t>
            </w:r>
            <w:r>
              <w:rPr>
                <w:b/>
                <w:color w:val="FFFFFF"/>
                <w:sz w:val="19"/>
                <w:szCs w:val="20"/>
              </w:rPr>
              <w:t>FixImplementationSection — structural check in Converter.Core.Integration. Whitelist now includes: uses, procedure, function, constructor, destructor, initialization, finalization, type, const, var, resourcestring, class, end, end. — do not narrow this list without verifying against the full test suite of real-world VCL projects.</w:t>
            </w:r>
          </w:p>
        </w:tc>
      </w:tr>
    </w:tbl>
    <w:p>
      <w:pPr>
        <w:pStyle w:val="Normal"/>
        <w:spacing w:lineRule="exact" w:line="20" w:before="0" w:after="100"/>
        <w:rPr/>
      </w:pPr>
      <w:r>
        <w:rPr/>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REGRESSION PROTECTED:  </w:t>
            </w:r>
            <w:r>
              <w:rPr>
                <w:b/>
                <w:color w:val="FFFFFF"/>
                <w:sz w:val="19"/>
                <w:szCs w:val="20"/>
              </w:rPr>
              <w:t>NeedTrackBarCompat / NeedProgressBarCompat / NeedSpinBoxCompat — use real detection logic, not hardcoded False. AudioManager duplicate wrapper suppression present. Do not replace with stubs.</w:t>
            </w:r>
          </w:p>
        </w:tc>
      </w:tr>
    </w:tbl>
    <w:p>
      <w:pPr>
        <w:pStyle w:val="Normal"/>
        <w:spacing w:lineRule="exact" w:line="20" w:before="0" w:after="100"/>
        <w:rPr/>
      </w:pPr>
      <w:r>
        <w:rPr/>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REGRESSION PROTECTED:  </w:t>
            </w:r>
            <w:r>
              <w:rPr>
                <w:b/>
                <w:color w:val="FFFFFF"/>
                <w:sz w:val="19"/>
                <w:szCs w:val="20"/>
              </w:rPr>
              <w:t>AudioManager pre-exit rewrite pass — rewrites bare TTrackBar references in files that import AudioManager without receiving a wrapper injection. Located in Converter.Rewrite.Compatibility. Do not remove.</w:t>
            </w:r>
          </w:p>
        </w:tc>
      </w:tr>
    </w:tbl>
    <w:p>
      <w:pPr>
        <w:pStyle w:val="Normal"/>
        <w:spacing w:lineRule="exact" w:line="20" w:before="0" w:after="100"/>
        <w:rPr/>
      </w:pPr>
      <w:r>
        <w:rPr/>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REGRESSION PROTECTED:  </w:t>
            </w:r>
            <w:r>
              <w:rPr>
                <w:b/>
                <w:color w:val="FFFFFF"/>
                <w:sz w:val="19"/>
                <w:szCs w:val="20"/>
              </w:rPr>
              <w:t>RegisterFmxClasses removal — the injection of RegisterFmxClasses was removed because it caused runtime error 217. It must not be re-added.</w:t>
            </w:r>
          </w:p>
        </w:tc>
      </w:tr>
    </w:tbl>
    <w:p>
      <w:pPr>
        <w:pStyle w:val="Normal"/>
        <w:spacing w:lineRule="exact" w:line="20" w:before="0" w:after="100"/>
        <w:rPr/>
      </w:pPr>
      <w:r>
        <w:rPr/>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REGRESSION PROTECTED:  </w:t>
            </w:r>
            <w:r>
              <w:rPr>
                <w:b/>
                <w:color w:val="FFFFFF"/>
                <w:sz w:val="19"/>
                <w:szCs w:val="20"/>
              </w:rPr>
              <w:t>FMXMessageBridge generation and DPR injection — idempotent by design (ContainsText guard + file existence check). Do not remove these guards.</w:t>
            </w:r>
          </w:p>
        </w:tc>
      </w:tr>
    </w:tbl>
    <w:p>
      <w:pPr>
        <w:pStyle w:val="Normal"/>
        <w:spacing w:lineRule="exact" w:line="20" w:before="0" w:after="100"/>
        <w:rPr/>
      </w:pPr>
      <w:r>
        <w:rPr/>
      </w:r>
    </w:p>
    <w:tbl>
      <w:tblPr>
        <w:tblW w:w="10224" w:type="dxa"/>
        <w:jc w:val="center"/>
        <w:tblInd w:w="0" w:type="dxa"/>
        <w:tblLayout w:type="fixed"/>
        <w:tblCellMar>
          <w:top w:w="70" w:type="dxa"/>
          <w:start w:w="70" w:type="dxa"/>
          <w:bottom w:w="70" w:type="dxa"/>
          <w:end w:w="70" w:type="dxa"/>
        </w:tblCellMar>
        <w:tblLook w:val="0000" w:firstRow="0" w:noVBand="0" w:lastRow="0" w:firstColumn="0" w:lastColumn="0" w:noHBand="0"/>
      </w:tblPr>
      <w:tblGrid>
        <w:gridCol w:w="10224"/>
      </w:tblGrid>
      <w:tr>
        <w:trPr>
          <w:tblHeader w:val="true"/>
          <w:cantSplit/>
        </w:trPr>
        <w:tc>
          <w:tcPr>
            <w:tcW w:w="10224" w:type="dxa"/>
            <w:tcBorders>
              <w:top w:val="single" w:sz="2" w:space="0" w:color="BBBBBB"/>
              <w:start w:val="single" w:sz="2" w:space="0" w:color="BBBBBB"/>
              <w:bottom w:val="single" w:sz="2" w:space="0" w:color="BBBBBB"/>
              <w:end w:val="single" w:sz="2" w:space="0" w:color="BBBBBB"/>
            </w:tcBorders>
            <w:shd w:fill="17365D" w:val="clear"/>
            <w:vAlign w:val="center"/>
          </w:tcPr>
          <w:p>
            <w:pPr>
              <w:pStyle w:val="Normal"/>
              <w:keepNext w:val="false"/>
              <w:keepLines w:val="false"/>
              <w:spacing w:lineRule="auto" w:line="240" w:before="40" w:after="40"/>
              <w:rPr/>
            </w:pPr>
            <w:r>
              <w:rPr>
                <w:b/>
                <w:bCs/>
                <w:color w:val="FFFFFF"/>
                <w:sz w:val="19"/>
                <w:szCs w:val="20"/>
              </w:rPr>
              <w:t xml:space="preserve">⛔  </w:t>
            </w:r>
            <w:r>
              <w:rPr>
                <w:b/>
                <w:bCs/>
                <w:color w:val="FFFFFF"/>
                <w:sz w:val="19"/>
                <w:szCs w:val="20"/>
              </w:rPr>
              <w:t xml:space="preserve">REGRESSION PROTECTED:  </w:t>
            </w:r>
            <w:r>
              <w:rPr>
                <w:b/>
                <w:color w:val="FFFFFF"/>
                <w:sz w:val="19"/>
                <w:szCs w:val="20"/>
              </w:rPr>
              <w:t>UILog and AddIssue overloads in Converter.Core.Engine and Converter.Core.Types — these are legitimate overloads, not duplicates. Do not remove either implementation.</w:t>
            </w:r>
          </w:p>
        </w:tc>
      </w:tr>
    </w:tbl>
    <w:p>
      <w:pPr>
        <w:pStyle w:val="Heading2"/>
        <w:pageBreakBefore w:val="false"/>
        <w:rPr/>
      </w:pPr>
      <w:bookmarkStart w:id="168" w:name="__RefHeading___Toc6549_239329132"/>
      <w:bookmarkStart w:id="169" w:name="_Toc236592971"/>
      <w:bookmarkEnd w:id="168"/>
      <w:r>
        <w:rPr>
          <w:color w:val="000000"/>
        </w:rPr>
        <w:t>15.8  Known Limitations and Future Work</w:t>
      </w:r>
      <w:bookmarkEnd w:id="169"/>
    </w:p>
    <w:p>
      <w:pPr>
        <w:pStyle w:val="Heading3"/>
        <w:pageBreakBefore w:val="false"/>
        <w:rPr/>
      </w:pPr>
      <w:bookmarkStart w:id="170" w:name="__RefHeading___Toc6551_239329132"/>
      <w:bookmarkStart w:id="171" w:name="_Toc236592972"/>
      <w:bookmarkEnd w:id="170"/>
      <w:r>
        <w:rPr>
          <w:color w:val="000000"/>
        </w:rPr>
        <w:t>15.8.1  Not Converted — Manual FMX Decisions Required</w:t>
      </w:r>
      <w:bookmarkEnd w:id="171"/>
    </w:p>
    <w:p>
      <w:pPr>
        <w:pStyle w:val="ListParagraph"/>
        <w:pageBreakBefore w:val="false"/>
        <w:numPr>
          <w:ilvl w:val="0"/>
          <w:numId w:val="19"/>
        </w:numPr>
        <w:spacing w:lineRule="auto" w:line="240" w:before="40" w:after="40"/>
        <w:contextualSpacing w:val="false"/>
        <w:rPr/>
      </w:pPr>
      <w:r>
        <w:rPr/>
        <w:t>ScaleBy calls — no FMX equivalent. Flagged for manual review.</w:t>
      </w:r>
    </w:p>
    <w:p>
      <w:pPr>
        <w:pStyle w:val="ListParagraph"/>
        <w:pageBreakBefore w:val="false"/>
        <w:numPr>
          <w:ilvl w:val="0"/>
          <w:numId w:val="19"/>
        </w:numPr>
        <w:spacing w:lineRule="auto" w:line="240" w:before="40" w:after="40"/>
        <w:contextualSpacing w:val="false"/>
        <w:rPr/>
      </w:pPr>
      <w:r>
        <w:rPr/>
        <w:t>WMSysCommand handlers — Tier 3 (WndProc), preserved as comment blocks.</w:t>
      </w:r>
    </w:p>
    <w:p>
      <w:pPr>
        <w:pStyle w:val="ListParagraph"/>
        <w:pageBreakBefore w:val="false"/>
        <w:numPr>
          <w:ilvl w:val="0"/>
          <w:numId w:val="19"/>
        </w:numPr>
        <w:spacing w:lineRule="auto" w:line="240" w:before="40" w:after="40"/>
        <w:contextualSpacing w:val="false"/>
        <w:rPr/>
      </w:pPr>
      <w:r>
        <w:rPr/>
        <w:t>DoubleBuffered and RecreateWnd — VCL-only properties, flagged for manual review.</w:t>
      </w:r>
    </w:p>
    <w:p>
      <w:pPr>
        <w:pStyle w:val="ListParagraph"/>
        <w:pageBreakBefore w:val="false"/>
        <w:numPr>
          <w:ilvl w:val="0"/>
          <w:numId w:val="19"/>
        </w:numPr>
        <w:spacing w:lineRule="auto" w:line="240" w:before="40" w:after="40"/>
        <w:contextualSpacing w:val="false"/>
        <w:rPr/>
      </w:pPr>
      <w:r>
        <w:rPr/>
        <w:t>Status bar panel access — flagged for manual review.</w:t>
      </w:r>
    </w:p>
    <w:p>
      <w:pPr>
        <w:pStyle w:val="ListParagraph"/>
        <w:pageBreakBefore w:val="false"/>
        <w:numPr>
          <w:ilvl w:val="0"/>
          <w:numId w:val="19"/>
        </w:numPr>
        <w:spacing w:lineRule="auto" w:line="240" w:before="40" w:after="40"/>
        <w:contextualSpacing w:val="false"/>
        <w:rPr/>
      </w:pPr>
      <w:r>
        <w:rPr/>
        <w:t>Data-aware property wiring — LiveBindings conversion is handled by a separate subsystem.</w:t>
      </w:r>
    </w:p>
    <w:p>
      <w:pPr>
        <w:pStyle w:val="ListParagraph"/>
        <w:pageBreakBefore w:val="false"/>
        <w:numPr>
          <w:ilvl w:val="0"/>
          <w:numId w:val="19"/>
        </w:numPr>
        <w:spacing w:lineRule="auto" w:line="240" w:before="40" w:after="40"/>
        <w:contextualSpacing w:val="false"/>
        <w:rPr/>
      </w:pPr>
      <w:r>
        <w:rPr/>
        <w:t>OnNotify / MediaPlayer notification — no automated mapping.</w:t>
      </w:r>
    </w:p>
    <w:p>
      <w:pPr>
        <w:pStyle w:val="Heading3"/>
        <w:pageBreakBefore w:val="false"/>
        <w:rPr/>
      </w:pPr>
      <w:bookmarkStart w:id="172" w:name="__RefHeading___Toc6553_239329132"/>
      <w:bookmarkStart w:id="173" w:name="_Toc236592973"/>
      <w:bookmarkEnd w:id="172"/>
      <w:r>
        <w:rPr>
          <w:color w:val="000000"/>
        </w:rPr>
        <w:t>15.8.2  Potential Future Enhancements</w:t>
      </w:r>
      <w:bookmarkEnd w:id="173"/>
    </w:p>
    <w:p>
      <w:pPr>
        <w:pStyle w:val="ListParagraph"/>
        <w:pageBreakBefore w:val="false"/>
        <w:numPr>
          <w:ilvl w:val="0"/>
          <w:numId w:val="19"/>
        </w:numPr>
        <w:spacing w:lineRule="auto" w:line="240" w:before="40" w:after="40"/>
        <w:contextualSpacing w:val="false"/>
        <w:rPr/>
      </w:pPr>
      <w:r>
        <w:rPr/>
        <w:t>Platform service mapping: IFMXApplicationEventService could be suggested automatically for the most common WndProc override patterns (WM_ACTIVATEAPP, WM_QUERYENDSESSION, etc.).</w:t>
      </w:r>
    </w:p>
    <w:p>
      <w:pPr>
        <w:pStyle w:val="ListParagraph"/>
        <w:pageBreakBefore w:val="false"/>
        <w:numPr>
          <w:ilvl w:val="0"/>
          <w:numId w:val="19"/>
        </w:numPr>
        <w:spacing w:lineRule="auto" w:line="240" w:before="40" w:after="40"/>
        <w:contextualSpacing w:val="false"/>
        <w:rPr/>
      </w:pPr>
      <w:r>
        <w:rPr/>
        <w:t>FMessageMap extension: the VCL-to-FMX event name table could be expanded from the current set of most-common mappings to cover edge cases.</w:t>
      </w:r>
    </w:p>
    <w:p>
      <w:pPr>
        <w:pStyle w:val="ListParagraph"/>
        <w:pageBreakBefore w:val="false"/>
        <w:numPr>
          <w:ilvl w:val="0"/>
          <w:numId w:val="19"/>
        </w:numPr>
        <w:spacing w:lineRule="auto" w:line="240" w:before="40" w:after="40"/>
        <w:contextualSpacing w:val="false"/>
        <w:rPr/>
      </w:pPr>
      <w:r>
        <w:rPr/>
        <w:t>Typed message property scaffolding: when lParam or wParam usage is detected in a WM_USER handler body, the generator could scaffold typed properties on the generated message class.</w:t>
      </w:r>
    </w:p>
    <w:p>
      <w:pPr>
        <w:pStyle w:val="Heading1"/>
        <w:pageBreakBefore w:val="false"/>
        <w:spacing w:before="0" w:after="240"/>
        <w:rPr>
          <w:b w:val="false"/>
        </w:rPr>
      </w:pPr>
      <w:bookmarkStart w:id="174" w:name="__RefHeading___Toc6555_239329132"/>
      <w:bookmarkStart w:id="175" w:name="_Toc236592974"/>
      <w:bookmarkEnd w:id="174"/>
      <w:r>
        <w:rPr>
          <w:b w:val="false"/>
          <w:color w:val="000000"/>
        </w:rPr>
        <w:t>Appendix A. File Inventory</w:t>
      </w:r>
      <w:bookmarkEnd w:id="175"/>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File</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Engineering Role</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MainForm.pas / MainForm.fmx</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Operator-facing front end and progress display.</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Converter.Core.Types.pas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Shared types, options, issue model, and context.</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Converter.Core.Engine.pas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Top-level conversion sequencing and status control.</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Converter.Core.FileManager.pas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File discovery and output writing.</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Converter.Core.Integration.pas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Global rewrite and FMX normalization layer.</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Converter.Parser.DFM.pas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DFM parsing and FMX regeneration.</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Converter.Parser.Pascal.pas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Pascal structure parsing and source-safe rewriting.</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Converter.Mapper.Component.pas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Class and property mapping knowledge base.</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Converter.Advanced.DataAware.pas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Detection and support metadata for DB-aware control conversion.</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Converter.Project.Generator.pas</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FMX-aware project startup and project generation.</w:t>
            </w:r>
          </w:p>
        </w:tc>
      </w:tr>
    </w:tbl>
    <w:p>
      <w:pPr>
        <w:pStyle w:val="Heading1"/>
        <w:pageBreakBefore w:val="false"/>
        <w:spacing w:before="0" w:after="240"/>
        <w:rPr>
          <w:b w:val="false"/>
        </w:rPr>
      </w:pPr>
      <w:bookmarkStart w:id="176" w:name="__RefHeading___Toc6557_239329132"/>
      <w:bookmarkStart w:id="177" w:name="_Toc236592975"/>
      <w:bookmarkEnd w:id="176"/>
      <w:r>
        <w:rPr>
          <w:b w:val="false"/>
          <w:color w:val="000000"/>
        </w:rPr>
        <w:t>Appendix B. Operational Checklists</w:t>
      </w:r>
      <w:bookmarkEnd w:id="177"/>
    </w:p>
    <w:p>
      <w:pPr>
        <w:pStyle w:val="Heading2"/>
        <w:pageBreakBefore w:val="false"/>
        <w:rPr>
          <w:b w:val="false"/>
        </w:rPr>
      </w:pPr>
      <w:bookmarkStart w:id="178" w:name="__RefHeading___Toc6559_239329132"/>
      <w:bookmarkStart w:id="179" w:name="_Toc236592976"/>
      <w:bookmarkStart w:id="180" w:name="_Toc225758806"/>
      <w:bookmarkEnd w:id="178"/>
      <w:r>
        <w:rPr>
          <w:b w:val="false"/>
          <w:color w:val="000000"/>
        </w:rPr>
        <w:t>Before Editing Converter Logic</w:t>
      </w:r>
      <w:bookmarkEnd w:id="179"/>
      <w:bookmarkEnd w:id="180"/>
    </w:p>
    <w:p>
      <w:pPr>
        <w:pStyle w:val="ListParagraph"/>
        <w:pageBreakBefore w:val="false"/>
        <w:numPr>
          <w:ilvl w:val="0"/>
          <w:numId w:val="10"/>
        </w:numPr>
        <w:rPr/>
      </w:pPr>
      <w:r>
        <w:rPr/>
        <w:t>Confirm which stage is making the wrong decision.</w:t>
      </w:r>
    </w:p>
    <w:p>
      <w:pPr>
        <w:pStyle w:val="ListParagraph"/>
        <w:pageBreakBefore w:val="false"/>
        <w:numPr>
          <w:ilvl w:val="0"/>
          <w:numId w:val="10"/>
        </w:numPr>
        <w:rPr/>
      </w:pPr>
      <w:r>
        <w:rPr/>
        <w:t>Confirm whether the defect is structural, compile-time, runtime, or visual.</w:t>
      </w:r>
    </w:p>
    <w:p>
      <w:pPr>
        <w:pStyle w:val="ListParagraph"/>
        <w:pageBreakBefore w:val="false"/>
        <w:numPr>
          <w:ilvl w:val="0"/>
          <w:numId w:val="10"/>
        </w:numPr>
        <w:rPr/>
      </w:pPr>
      <w:r>
        <w:rPr/>
        <w:t>Gather the original VCL artifact and the generated FMX output.</w:t>
      </w:r>
    </w:p>
    <w:p>
      <w:pPr>
        <w:pStyle w:val="ListParagraph"/>
        <w:pageBreakBefore w:val="false"/>
        <w:numPr>
          <w:ilvl w:val="0"/>
          <w:numId w:val="10"/>
        </w:numPr>
        <w:rPr/>
      </w:pPr>
      <w:r>
        <w:rPr/>
        <w:t>Prefer a documented global rule over a speculative one-off patch.</w:t>
      </w:r>
    </w:p>
    <w:p>
      <w:pPr>
        <w:pStyle w:val="Heading2"/>
        <w:pageBreakBefore w:val="false"/>
        <w:rPr>
          <w:b w:val="false"/>
        </w:rPr>
      </w:pPr>
      <w:bookmarkStart w:id="181" w:name="__RefHeading___Toc6561_239329132"/>
      <w:bookmarkStart w:id="182" w:name="_Toc236592977"/>
      <w:bookmarkStart w:id="183" w:name="_Toc225758807"/>
      <w:bookmarkEnd w:id="181"/>
      <w:r>
        <w:rPr>
          <w:b w:val="false"/>
          <w:color w:val="000000"/>
        </w:rPr>
        <w:t>Before Declaring a Fix Complete</w:t>
      </w:r>
      <w:bookmarkEnd w:id="182"/>
      <w:bookmarkEnd w:id="183"/>
    </w:p>
    <w:p>
      <w:pPr>
        <w:pStyle w:val="ListParagraph"/>
        <w:pageBreakBefore w:val="false"/>
        <w:numPr>
          <w:ilvl w:val="0"/>
          <w:numId w:val="11"/>
        </w:numPr>
        <w:rPr/>
      </w:pPr>
      <w:r>
        <w:rPr/>
        <w:t>Rebuild the converter.</w:t>
      </w:r>
    </w:p>
    <w:p>
      <w:pPr>
        <w:pStyle w:val="ListParagraph"/>
        <w:pageBreakBefore w:val="false"/>
        <w:numPr>
          <w:ilvl w:val="0"/>
          <w:numId w:val="11"/>
        </w:numPr>
        <w:rPr/>
      </w:pPr>
      <w:r>
        <w:rPr/>
        <w:t>Run a fresh conversion into an empty output directory.</w:t>
      </w:r>
    </w:p>
    <w:p>
      <w:pPr>
        <w:pStyle w:val="ListParagraph"/>
        <w:pageBreakBefore w:val="false"/>
        <w:numPr>
          <w:ilvl w:val="0"/>
          <w:numId w:val="11"/>
        </w:numPr>
        <w:rPr/>
      </w:pPr>
      <w:r>
        <w:rPr/>
        <w:t>Open the generated project in Delphi.</w:t>
      </w:r>
    </w:p>
    <w:p>
      <w:pPr>
        <w:pStyle w:val="ListParagraph"/>
        <w:pageBreakBefore w:val="false"/>
        <w:numPr>
          <w:ilvl w:val="0"/>
          <w:numId w:val="11"/>
        </w:numPr>
        <w:rPr/>
      </w:pPr>
      <w:r>
        <w:rPr/>
        <w:t>Compile and run the converted application.</w:t>
      </w:r>
    </w:p>
    <w:p>
      <w:pPr>
        <w:pStyle w:val="ListParagraph"/>
        <w:pageBreakBefore w:val="false"/>
        <w:numPr>
          <w:ilvl w:val="0"/>
          <w:numId w:val="11"/>
        </w:numPr>
        <w:rPr/>
      </w:pPr>
      <w:r>
        <w:rPr/>
        <w:t>Check for regressions in previously stabilized forms or units.</w:t>
      </w:r>
    </w:p>
    <w:p>
      <w:pPr>
        <w:pStyle w:val="Heading1"/>
        <w:pageBreakBefore w:val="false"/>
        <w:spacing w:before="0" w:after="240"/>
        <w:rPr>
          <w:b w:val="false"/>
        </w:rPr>
      </w:pPr>
      <w:bookmarkStart w:id="184" w:name="__RefHeading___Toc6563_239329132"/>
      <w:bookmarkStart w:id="185" w:name="_Toc236592978"/>
      <w:bookmarkEnd w:id="184"/>
      <w:r>
        <w:rPr>
          <w:b w:val="false"/>
          <w:color w:val="000000"/>
        </w:rPr>
        <w:t>Appendix C. Current Limitations and Forward Work</w:t>
      </w:r>
      <w:bookmarkEnd w:id="185"/>
    </w:p>
    <w:p>
      <w:pPr>
        <w:pStyle w:val="ListParagraph"/>
        <w:pageBreakBefore w:val="false"/>
        <w:numPr>
          <w:ilvl w:val="0"/>
          <w:numId w:val="12"/>
        </w:numPr>
        <w:rPr/>
      </w:pPr>
      <w:r>
        <w:rPr/>
        <w:t>Owner-draw and custom paint logic often require manual review or targeted FMX redesign.</w:t>
      </w:r>
    </w:p>
    <w:p>
      <w:pPr>
        <w:pStyle w:val="ListParagraph"/>
        <w:pageBreakBefore w:val="false"/>
        <w:numPr>
          <w:ilvl w:val="0"/>
          <w:numId w:val="12"/>
        </w:numPr>
        <w:rPr/>
      </w:pPr>
      <w:r>
        <w:rPr/>
        <w:t>Some data-aware controls still need conservative handling because there is no safe generic FMX substitute.</w:t>
      </w:r>
    </w:p>
    <w:p>
      <w:pPr>
        <w:pStyle w:val="ListParagraph"/>
        <w:pageBreakBefore w:val="false"/>
        <w:numPr>
          <w:ilvl w:val="0"/>
          <w:numId w:val="12"/>
        </w:numPr>
        <w:rPr/>
      </w:pPr>
      <w:r>
        <w:rPr/>
        <w:t>Third-party components require either explicit mapping knowledge or a disciplined fallback strategy.</w:t>
      </w:r>
    </w:p>
    <w:p>
      <w:pPr>
        <w:pStyle w:val="ListParagraph"/>
        <w:pageBreakBefore w:val="false"/>
        <w:numPr>
          <w:ilvl w:val="0"/>
          <w:numId w:val="12"/>
        </w:numPr>
        <w:rPr/>
      </w:pPr>
      <w:r>
        <w:rPr/>
        <w:t>Visual fidelity often converges only after structural and runtime validity are already achieved.</w:t>
      </w:r>
    </w:p>
    <w:p>
      <w:pPr>
        <w:pStyle w:val="Heading1"/>
        <w:pageBreakBefore w:val="false"/>
        <w:spacing w:before="0" w:after="240"/>
        <w:rPr>
          <w:b w:val="false"/>
          <w:bCs/>
        </w:rPr>
      </w:pPr>
      <w:bookmarkStart w:id="186" w:name="__RefHeading___Toc6565_239329132"/>
      <w:bookmarkStart w:id="187" w:name="_Toc236592979"/>
      <w:bookmarkEnd w:id="186"/>
      <w:r>
        <w:rPr>
          <w:b w:val="false"/>
          <w:bCs/>
          <w:color w:val="000000"/>
        </w:rPr>
        <w:t>Appendix D. Making Code Changes Using Codex</w:t>
      </w:r>
      <w:bookmarkEnd w:id="187"/>
    </w:p>
    <w:p>
      <w:pPr>
        <w:pStyle w:val="Heading2"/>
        <w:pageBreakBefore w:val="false"/>
        <w:rPr/>
      </w:pPr>
      <w:bookmarkStart w:id="188" w:name="__RefHeading___Toc6567_239329132"/>
      <w:bookmarkStart w:id="189" w:name="_Toc236592980"/>
      <w:bookmarkEnd w:id="188"/>
      <w:r>
        <w:rPr>
          <w:color w:val="000000"/>
        </w:rPr>
        <w:t>Overview</w:t>
      </w:r>
      <w:bookmarkEnd w:id="189"/>
    </w:p>
    <w:p>
      <w:pPr>
        <w:pStyle w:val="Normal"/>
        <w:pageBreakBefore w:val="false"/>
        <w:spacing w:lineRule="auto" w:line="278"/>
        <w:rPr/>
      </w:pPr>
      <w:r>
        <w:rPr/>
        <w:t>Codex is an AI coding assistant, offered with ChatGPT subscription by OpenAI, that operates as an interactive engineering collaborator. It can inspect source code, search a codebase, explain architecture, analyze compiler and runtime failures, revise documentation, apply targeted edits, and run selected local tools, including the compiler (dcc32) and MSBuild when permissions allow. Making changes to the converter is a highly complicated task, which branches to many areas and should only be attempted by knowledgeable and experienced programmers.  If you wish to make changes to the converter or regular code, it is suggested to use Codex for assistance.  Codex far out performs its competitors with results and capabilitites and understanding of a project.</w:t>
      </w:r>
    </w:p>
    <w:p>
      <w:pPr>
        <w:pStyle w:val="Normal"/>
        <w:pageBreakBefore w:val="false"/>
        <w:spacing w:lineRule="auto" w:line="278"/>
        <w:rPr/>
      </w:pPr>
      <w:r>
        <w:rPr/>
        <w:t>In this workflow, Codex is most useful as a developer-side acceleration tool for:</w:t>
      </w:r>
    </w:p>
    <w:p>
      <w:pPr>
        <w:pStyle w:val="ListParagraph"/>
        <w:pageBreakBefore w:val="false"/>
        <w:numPr>
          <w:ilvl w:val="0"/>
          <w:numId w:val="13"/>
        </w:numPr>
        <w:spacing w:lineRule="auto" w:line="278"/>
        <w:rPr/>
      </w:pPr>
      <w:r>
        <w:rPr/>
        <w:t>debugging</w:t>
      </w:r>
    </w:p>
    <w:p>
      <w:pPr>
        <w:pStyle w:val="ListParagraph"/>
        <w:pageBreakBefore w:val="false"/>
        <w:numPr>
          <w:ilvl w:val="0"/>
          <w:numId w:val="13"/>
        </w:numPr>
        <w:spacing w:lineRule="auto" w:line="278"/>
        <w:rPr/>
      </w:pPr>
      <w:r>
        <w:rPr/>
        <w:t>regression analysis</w:t>
      </w:r>
    </w:p>
    <w:p>
      <w:pPr>
        <w:pStyle w:val="ListParagraph"/>
        <w:pageBreakBefore w:val="false"/>
        <w:numPr>
          <w:ilvl w:val="0"/>
          <w:numId w:val="13"/>
        </w:numPr>
        <w:spacing w:lineRule="auto" w:line="278"/>
        <w:rPr/>
      </w:pPr>
      <w:r>
        <w:rPr/>
        <w:t>code review</w:t>
      </w:r>
    </w:p>
    <w:p>
      <w:pPr>
        <w:pStyle w:val="ListParagraph"/>
        <w:pageBreakBefore w:val="false"/>
        <w:numPr>
          <w:ilvl w:val="0"/>
          <w:numId w:val="13"/>
        </w:numPr>
        <w:spacing w:lineRule="auto" w:line="278"/>
        <w:rPr/>
      </w:pPr>
      <w:r>
        <w:rPr/>
        <w:t>refactoring</w:t>
      </w:r>
    </w:p>
    <w:p>
      <w:pPr>
        <w:pStyle w:val="ListParagraph"/>
        <w:pageBreakBefore w:val="false"/>
        <w:numPr>
          <w:ilvl w:val="0"/>
          <w:numId w:val="13"/>
        </w:numPr>
        <w:spacing w:lineRule="auto" w:line="278"/>
        <w:rPr/>
      </w:pPr>
      <w:r>
        <w:rPr/>
        <w:t>documentation maintenance</w:t>
      </w:r>
    </w:p>
    <w:p>
      <w:pPr>
        <w:pStyle w:val="ListParagraph"/>
        <w:pageBreakBefore w:val="false"/>
        <w:numPr>
          <w:ilvl w:val="0"/>
          <w:numId w:val="13"/>
        </w:numPr>
        <w:spacing w:lineRule="auto" w:line="278"/>
        <w:rPr/>
      </w:pPr>
      <w:r>
        <w:rPr/>
        <w:t>release-readiness auditing</w:t>
      </w:r>
    </w:p>
    <w:p>
      <w:pPr>
        <w:pStyle w:val="ListParagraph"/>
        <w:pageBreakBefore w:val="false"/>
        <w:numPr>
          <w:ilvl w:val="0"/>
          <w:numId w:val="13"/>
        </w:numPr>
        <w:spacing w:lineRule="auto" w:line="278"/>
        <w:rPr/>
      </w:pPr>
      <w:r>
        <w:rPr/>
        <w:t>repetitive engineering tasks that benefit from large-context inspection</w:t>
      </w:r>
    </w:p>
    <w:p>
      <w:pPr>
        <w:pStyle w:val="Heading2"/>
        <w:pageBreakBefore w:val="false"/>
        <w:rPr/>
      </w:pPr>
      <w:bookmarkStart w:id="190" w:name="__RefHeading___Toc6569_239329132"/>
      <w:bookmarkStart w:id="191" w:name="_Toc236592981"/>
      <w:bookmarkEnd w:id="190"/>
      <w:r>
        <w:rPr>
          <w:color w:val="000000"/>
        </w:rPr>
        <w:t>Operational Model</w:t>
      </w:r>
      <w:bookmarkEnd w:id="191"/>
    </w:p>
    <w:p>
      <w:pPr>
        <w:pStyle w:val="Normal"/>
        <w:pageBreakBefore w:val="false"/>
        <w:spacing w:lineRule="auto" w:line="278"/>
        <w:rPr/>
      </w:pPr>
      <w:r>
        <w:rPr/>
        <w:t>Codex does not work as a standalone compiler or as a general restricted/unrestricted remote-control system. It works through a session-based shared workspace model.</w:t>
      </w:r>
    </w:p>
    <w:p>
      <w:pPr>
        <w:pStyle w:val="Normal"/>
        <w:pageBreakBefore w:val="false"/>
        <w:spacing w:lineRule="auto" w:line="278"/>
        <w:rPr/>
      </w:pPr>
      <w:r>
        <w:rPr/>
        <w:t>That model typically includes (with appropriate permissions for the development system):</w:t>
      </w:r>
    </w:p>
    <w:p>
      <w:pPr>
        <w:pStyle w:val="ListParagraph"/>
        <w:pageBreakBefore w:val="false"/>
        <w:numPr>
          <w:ilvl w:val="0"/>
          <w:numId w:val="13"/>
        </w:numPr>
        <w:spacing w:lineRule="auto" w:line="278"/>
        <w:rPr/>
      </w:pPr>
      <w:r>
        <w:rPr/>
        <w:t>access to the active project tree</w:t>
      </w:r>
    </w:p>
    <w:p>
      <w:pPr>
        <w:pStyle w:val="ListParagraph"/>
        <w:pageBreakBefore w:val="false"/>
        <w:numPr>
          <w:ilvl w:val="0"/>
          <w:numId w:val="13"/>
        </w:numPr>
        <w:spacing w:lineRule="auto" w:line="278"/>
        <w:rPr/>
      </w:pPr>
      <w:r>
        <w:rPr/>
        <w:t>access to selected local tools</w:t>
      </w:r>
    </w:p>
    <w:p>
      <w:pPr>
        <w:pStyle w:val="ListParagraph"/>
        <w:pageBreakBefore w:val="false"/>
        <w:numPr>
          <w:ilvl w:val="0"/>
          <w:numId w:val="13"/>
        </w:numPr>
        <w:spacing w:lineRule="auto" w:line="278"/>
        <w:rPr/>
      </w:pPr>
      <w:r>
        <w:rPr/>
        <w:t>access to a shell or terminal</w:t>
      </w:r>
    </w:p>
    <w:p>
      <w:pPr>
        <w:pStyle w:val="ListParagraph"/>
        <w:pageBreakBefore w:val="false"/>
        <w:numPr>
          <w:ilvl w:val="0"/>
          <w:numId w:val="13"/>
        </w:numPr>
        <w:spacing w:lineRule="auto" w:line="278"/>
        <w:rPr/>
      </w:pPr>
      <w:r>
        <w:rPr/>
        <w:t>access to attached images or documents if relevant</w:t>
      </w:r>
    </w:p>
    <w:p>
      <w:pPr>
        <w:pStyle w:val="ListParagraph"/>
        <w:pageBreakBefore w:val="false"/>
        <w:numPr>
          <w:ilvl w:val="0"/>
          <w:numId w:val="13"/>
        </w:numPr>
        <w:spacing w:lineRule="auto" w:line="278"/>
        <w:rPr/>
      </w:pPr>
      <w:r>
        <w:rPr/>
        <w:t>conversation context that preserves task continuity during the session</w:t>
      </w:r>
    </w:p>
    <w:p>
      <w:pPr>
        <w:pStyle w:val="Normal"/>
        <w:pageBreakBefore w:val="false"/>
        <w:spacing w:lineRule="auto" w:line="278"/>
        <w:rPr/>
      </w:pPr>
      <w:r>
        <w:rPr/>
        <w:t>Codex builds its understanding from the files it can read in the active session. It does not inherently "know" the project beyond what is available in the current workspace and what the developer provides during the interaction.</w:t>
      </w:r>
    </w:p>
    <w:p>
      <w:pPr>
        <w:pStyle w:val="Heading2"/>
        <w:pageBreakBefore w:val="false"/>
        <w:rPr/>
      </w:pPr>
      <w:bookmarkStart w:id="192" w:name="__RefHeading___Toc6571_239329132"/>
      <w:bookmarkStart w:id="193" w:name="_Toc236592982"/>
      <w:bookmarkEnd w:id="192"/>
      <w:r>
        <w:rPr>
          <w:color w:val="000000"/>
        </w:rPr>
        <w:t>Connection To The Developer Environment</w:t>
      </w:r>
      <w:bookmarkEnd w:id="193"/>
    </w:p>
    <w:p>
      <w:pPr>
        <w:pStyle w:val="ListParagraph"/>
        <w:pageBreakBefore w:val="false"/>
        <w:numPr>
          <w:ilvl w:val="0"/>
          <w:numId w:val="14"/>
        </w:numPr>
        <w:spacing w:lineRule="auto" w:line="278"/>
        <w:rPr/>
      </w:pPr>
      <w:r>
        <w:rPr/>
        <w:t>Codex is connected to the developer environment through its host application and tool layer. In this environment, Codex can:</w:t>
      </w:r>
    </w:p>
    <w:p>
      <w:pPr>
        <w:pStyle w:val="ListParagraph"/>
        <w:pageBreakBefore w:val="false"/>
        <w:numPr>
          <w:ilvl w:val="0"/>
          <w:numId w:val="14"/>
        </w:numPr>
        <w:spacing w:lineRule="auto" w:line="278"/>
        <w:rPr/>
      </w:pPr>
      <w:r>
        <w:rPr/>
        <w:t>read local files in the active workspace</w:t>
      </w:r>
    </w:p>
    <w:p>
      <w:pPr>
        <w:pStyle w:val="ListParagraph"/>
        <w:pageBreakBefore w:val="false"/>
        <w:numPr>
          <w:ilvl w:val="0"/>
          <w:numId w:val="14"/>
        </w:numPr>
        <w:spacing w:lineRule="auto" w:line="278"/>
        <w:rPr/>
      </w:pPr>
      <w:r>
        <w:rPr/>
        <w:t>edit allowed local files</w:t>
      </w:r>
    </w:p>
    <w:p>
      <w:pPr>
        <w:pStyle w:val="ListParagraph"/>
        <w:pageBreakBefore w:val="false"/>
        <w:numPr>
          <w:ilvl w:val="0"/>
          <w:numId w:val="14"/>
        </w:numPr>
        <w:spacing w:lineRule="auto" w:line="278"/>
        <w:rPr/>
      </w:pPr>
      <w:r>
        <w:rPr/>
        <w:t>run shell commands</w:t>
      </w:r>
    </w:p>
    <w:p>
      <w:pPr>
        <w:pStyle w:val="ListParagraph"/>
        <w:pageBreakBefore w:val="false"/>
        <w:numPr>
          <w:ilvl w:val="0"/>
          <w:numId w:val="14"/>
        </w:numPr>
        <w:spacing w:lineRule="auto" w:line="278"/>
        <w:rPr/>
      </w:pPr>
      <w:r>
        <w:rPr/>
        <w:t>inspect reports, logs, and screenshots</w:t>
      </w:r>
    </w:p>
    <w:p>
      <w:pPr>
        <w:pStyle w:val="ListParagraph"/>
        <w:pageBreakBefore w:val="false"/>
        <w:numPr>
          <w:ilvl w:val="0"/>
          <w:numId w:val="14"/>
        </w:numPr>
        <w:spacing w:lineRule="auto" w:line="278"/>
        <w:rPr/>
      </w:pPr>
      <w:r>
        <w:rPr/>
        <w:t>create generated outputs such as notes, reports, or patch files</w:t>
      </w:r>
    </w:p>
    <w:p>
      <w:pPr>
        <w:pStyle w:val="Normal"/>
        <w:pageBreakBefore w:val="false"/>
        <w:spacing w:lineRule="auto" w:line="278"/>
        <w:rPr/>
      </w:pPr>
      <w:r>
        <w:rPr/>
        <w:t>Codex does not automatically gain unrestricted access to the entire machine. Access is mediated by the user, the host environment, tool permissions, sandbox rules, and any escalation/approval model configured for the session.</w:t>
      </w:r>
    </w:p>
    <w:p>
      <w:pPr>
        <w:pStyle w:val="Heading2"/>
        <w:pageBreakBefore w:val="false"/>
        <w:rPr/>
      </w:pPr>
      <w:bookmarkStart w:id="194" w:name="__RefHeading___Toc6573_239329132"/>
      <w:bookmarkStart w:id="195" w:name="_Toc236592983"/>
      <w:bookmarkEnd w:id="194"/>
      <w:r>
        <w:rPr>
          <w:color w:val="000000"/>
        </w:rPr>
        <w:t>What Codex Can Place On The Computer</w:t>
      </w:r>
      <w:bookmarkEnd w:id="195"/>
    </w:p>
    <w:p>
      <w:pPr>
        <w:pStyle w:val="Normal"/>
        <w:pageBreakBefore w:val="false"/>
        <w:spacing w:lineRule="auto" w:line="278"/>
        <w:rPr/>
      </w:pPr>
      <w:r>
        <w:rPr/>
        <w:t>Codex can create or modify local artifacts when that is part of the requested task. Typical outputs include:</w:t>
      </w:r>
    </w:p>
    <w:p>
      <w:pPr>
        <w:pStyle w:val="ListParagraph"/>
        <w:pageBreakBefore w:val="false"/>
        <w:numPr>
          <w:ilvl w:val="0"/>
          <w:numId w:val="14"/>
        </w:numPr>
        <w:spacing w:lineRule="auto" w:line="278"/>
        <w:rPr/>
      </w:pPr>
      <w:r>
        <w:rPr/>
        <w:t>modified source files</w:t>
      </w:r>
    </w:p>
    <w:p>
      <w:pPr>
        <w:pStyle w:val="ListParagraph"/>
        <w:pageBreakBefore w:val="false"/>
        <w:numPr>
          <w:ilvl w:val="0"/>
          <w:numId w:val="14"/>
        </w:numPr>
        <w:spacing w:lineRule="auto" w:line="278"/>
        <w:rPr/>
      </w:pPr>
      <w:r>
        <w:rPr/>
        <w:t>updated documentation</w:t>
      </w:r>
    </w:p>
    <w:p>
      <w:pPr>
        <w:pStyle w:val="ListParagraph"/>
        <w:pageBreakBefore w:val="false"/>
        <w:numPr>
          <w:ilvl w:val="0"/>
          <w:numId w:val="14"/>
        </w:numPr>
        <w:spacing w:lineRule="auto" w:line="278"/>
        <w:rPr/>
      </w:pPr>
      <w:r>
        <w:rPr/>
        <w:t>generated reports</w:t>
      </w:r>
    </w:p>
    <w:p>
      <w:pPr>
        <w:pStyle w:val="ListParagraph"/>
        <w:pageBreakBefore w:val="false"/>
        <w:numPr>
          <w:ilvl w:val="0"/>
          <w:numId w:val="14"/>
        </w:numPr>
        <w:spacing w:lineRule="auto" w:line="278"/>
        <w:rPr/>
      </w:pPr>
      <w:r>
        <w:rPr/>
        <w:t>audit notes</w:t>
      </w:r>
    </w:p>
    <w:p>
      <w:pPr>
        <w:pStyle w:val="ListParagraph"/>
        <w:pageBreakBefore w:val="false"/>
        <w:numPr>
          <w:ilvl w:val="0"/>
          <w:numId w:val="14"/>
        </w:numPr>
        <w:spacing w:lineRule="auto" w:line="278"/>
        <w:rPr/>
      </w:pPr>
      <w:r>
        <w:rPr/>
        <w:t>backup archives</w:t>
      </w:r>
    </w:p>
    <w:p>
      <w:pPr>
        <w:pStyle w:val="ListParagraph"/>
        <w:pageBreakBefore w:val="false"/>
        <w:numPr>
          <w:ilvl w:val="0"/>
          <w:numId w:val="14"/>
        </w:numPr>
        <w:spacing w:lineRule="auto" w:line="278"/>
        <w:rPr/>
      </w:pPr>
      <w:r>
        <w:rPr/>
        <w:t>generated output files used by the project</w:t>
      </w:r>
    </w:p>
    <w:p>
      <w:pPr>
        <w:pStyle w:val="ListParagraph"/>
        <w:pageBreakBefore w:val="false"/>
        <w:numPr>
          <w:ilvl w:val="0"/>
          <w:numId w:val="14"/>
        </w:numPr>
        <w:spacing w:lineRule="auto" w:line="278"/>
        <w:rPr/>
      </w:pPr>
      <w:r>
        <w:rPr/>
        <w:t>a sandbox for coding and staging of code modifications</w:t>
      </w:r>
    </w:p>
    <w:p>
      <w:pPr>
        <w:pStyle w:val="Normal"/>
        <w:pageBreakBefore w:val="false"/>
        <w:spacing w:lineRule="auto" w:line="278"/>
        <w:rPr/>
      </w:pPr>
      <w:r>
        <w:rPr/>
        <w:t>Codex does not independently install background services or general-purpose resident tooling as part of normal usage. It works through the session and the files it is asked to manage.</w:t>
      </w:r>
    </w:p>
    <w:p>
      <w:pPr>
        <w:pStyle w:val="Heading2"/>
        <w:pageBreakBefore w:val="false"/>
        <w:rPr/>
      </w:pPr>
      <w:bookmarkStart w:id="196" w:name="__RefHeading___Toc6575_239329132"/>
      <w:bookmarkStart w:id="197" w:name="_Toc236592984"/>
      <w:bookmarkEnd w:id="196"/>
      <w:r>
        <w:rPr>
          <w:color w:val="000000"/>
        </w:rPr>
        <w:t>What Codex May Store Or Rely On</w:t>
      </w:r>
      <w:bookmarkEnd w:id="197"/>
    </w:p>
    <w:p>
      <w:pPr>
        <w:pStyle w:val="Normal"/>
        <w:pageBreakBefore w:val="false"/>
        <w:spacing w:lineRule="auto" w:line="278"/>
        <w:rPr/>
      </w:pPr>
      <w:r>
        <w:rPr/>
        <w:t>Codex may rely on:</w:t>
      </w:r>
    </w:p>
    <w:p>
      <w:pPr>
        <w:pStyle w:val="ListParagraph"/>
        <w:pageBreakBefore w:val="false"/>
        <w:numPr>
          <w:ilvl w:val="0"/>
          <w:numId w:val="14"/>
        </w:numPr>
        <w:spacing w:lineRule="auto" w:line="278"/>
        <w:rPr/>
      </w:pPr>
      <w:r>
        <w:rPr/>
        <w:t>the current thread or conversation context</w:t>
      </w:r>
    </w:p>
    <w:p>
      <w:pPr>
        <w:pStyle w:val="ListParagraph"/>
        <w:pageBreakBefore w:val="false"/>
        <w:numPr>
          <w:ilvl w:val="0"/>
          <w:numId w:val="14"/>
        </w:numPr>
        <w:spacing w:lineRule="auto" w:line="278"/>
        <w:rPr/>
      </w:pPr>
      <w:r>
        <w:rPr/>
        <w:t>the active workspace files</w:t>
      </w:r>
    </w:p>
    <w:p>
      <w:pPr>
        <w:pStyle w:val="ListParagraph"/>
        <w:pageBreakBefore w:val="false"/>
        <w:numPr>
          <w:ilvl w:val="0"/>
          <w:numId w:val="14"/>
        </w:numPr>
        <w:spacing w:lineRule="auto" w:line="278"/>
        <w:rPr/>
      </w:pPr>
      <w:r>
        <w:rPr/>
        <w:t>generated local artifacts from the task itself</w:t>
      </w:r>
    </w:p>
    <w:p>
      <w:pPr>
        <w:pStyle w:val="Normal"/>
        <w:pageBreakBefore w:val="false"/>
        <w:spacing w:lineRule="auto" w:line="278"/>
        <w:rPr/>
      </w:pPr>
      <w:r>
        <w:rPr/>
        <w:t>Important qualification:</w:t>
      </w:r>
    </w:p>
    <w:p>
      <w:pPr>
        <w:pStyle w:val="Normal"/>
        <w:pageBreakBefore w:val="false"/>
        <w:spacing w:lineRule="auto" w:line="278"/>
        <w:rPr/>
      </w:pPr>
      <w:r>
        <w:rPr/>
        <w:t>The exact handling of prompts, conversation history, telemetry, retention, and any cloud-side processing depends on the deployment model and host product configuration. Engineering, compliance, privacy, and security teams should consult the official OpenAI or host-platform documentation for authoritative retention and policy details.</w:t>
      </w:r>
    </w:p>
    <w:p>
      <w:pPr>
        <w:pStyle w:val="Heading3"/>
        <w:pageBreakBefore w:val="false"/>
        <w:rPr/>
      </w:pPr>
      <w:bookmarkStart w:id="198" w:name="__RefHeading___Toc6577_239329132"/>
      <w:bookmarkEnd w:id="198"/>
      <w:r>
        <w:rPr>
          <w:color w:val="000000"/>
        </w:rPr>
        <w:br/>
      </w:r>
      <w:bookmarkStart w:id="199" w:name="_Toc236592985"/>
      <w:r>
        <w:rPr>
          <w:color w:val="000000"/>
        </w:rPr>
        <w:t>Expected Developer Experience</w:t>
      </w:r>
      <w:bookmarkEnd w:id="199"/>
    </w:p>
    <w:p>
      <w:pPr>
        <w:pStyle w:val="Normal"/>
        <w:pageBreakBefore w:val="false"/>
        <w:spacing w:lineRule="auto" w:line="278"/>
        <w:rPr/>
      </w:pPr>
      <w:r>
        <w:rPr/>
        <w:t>Developers should expect Codex to function as a fast, context-building assistant rather than as an autonomous replacement for engineering judgment.</w:t>
      </w:r>
    </w:p>
    <w:p>
      <w:pPr>
        <w:pStyle w:val="Normal"/>
        <w:pageBreakBefore w:val="false"/>
        <w:spacing w:lineRule="auto" w:line="278"/>
        <w:rPr/>
      </w:pPr>
      <w:r>
        <w:rPr/>
        <w:t>In a healthy workflow, Codex will:</w:t>
      </w:r>
    </w:p>
    <w:p>
      <w:pPr>
        <w:pStyle w:val="ListParagraph"/>
        <w:pageBreakBefore w:val="false"/>
        <w:numPr>
          <w:ilvl w:val="0"/>
          <w:numId w:val="15"/>
        </w:numPr>
        <w:spacing w:lineRule="auto" w:line="278"/>
        <w:rPr/>
      </w:pPr>
      <w:r>
        <w:rPr/>
        <w:t>inspect relevant files</w:t>
      </w:r>
    </w:p>
    <w:p>
      <w:pPr>
        <w:pStyle w:val="ListParagraph"/>
        <w:pageBreakBefore w:val="false"/>
        <w:numPr>
          <w:ilvl w:val="0"/>
          <w:numId w:val="15"/>
        </w:numPr>
        <w:spacing w:lineRule="auto" w:line="278"/>
        <w:rPr/>
      </w:pPr>
      <w:r>
        <w:rPr/>
        <w:t>identify likely causes or implementation paths</w:t>
      </w:r>
    </w:p>
    <w:p>
      <w:pPr>
        <w:pStyle w:val="ListParagraph"/>
        <w:pageBreakBefore w:val="false"/>
        <w:numPr>
          <w:ilvl w:val="0"/>
          <w:numId w:val="15"/>
        </w:numPr>
        <w:spacing w:lineRule="auto" w:line="278"/>
        <w:rPr/>
      </w:pPr>
      <w:r>
        <w:rPr/>
        <w:t>explain its reasoning</w:t>
      </w:r>
    </w:p>
    <w:p>
      <w:pPr>
        <w:pStyle w:val="ListParagraph"/>
        <w:pageBreakBefore w:val="false"/>
        <w:numPr>
          <w:ilvl w:val="0"/>
          <w:numId w:val="15"/>
        </w:numPr>
        <w:spacing w:lineRule="auto" w:line="278"/>
        <w:rPr/>
      </w:pPr>
      <w:r>
        <w:rPr/>
        <w:t>apply focused changes when requested</w:t>
      </w:r>
    </w:p>
    <w:p>
      <w:pPr>
        <w:pStyle w:val="ListParagraph"/>
        <w:pageBreakBefore w:val="false"/>
        <w:numPr>
          <w:ilvl w:val="0"/>
          <w:numId w:val="15"/>
        </w:numPr>
        <w:spacing w:lineRule="auto" w:line="278"/>
        <w:rPr/>
      </w:pPr>
      <w:r>
        <w:rPr/>
        <w:t>summarize the outcome and remaining verification needs</w:t>
      </w:r>
    </w:p>
    <w:p>
      <w:pPr>
        <w:pStyle w:val="Normal"/>
        <w:pageBreakBefore w:val="false"/>
        <w:spacing w:lineRule="auto" w:line="278"/>
        <w:rPr/>
      </w:pPr>
      <w:r>
        <w:rPr/>
        <w:t>Codex performs best when requests include:</w:t>
      </w:r>
    </w:p>
    <w:p>
      <w:pPr>
        <w:pStyle w:val="ListParagraph"/>
        <w:pageBreakBefore w:val="false"/>
        <w:numPr>
          <w:ilvl w:val="0"/>
          <w:numId w:val="15"/>
        </w:numPr>
        <w:spacing w:lineRule="auto" w:line="278"/>
        <w:rPr/>
      </w:pPr>
      <w:r>
        <w:rPr/>
        <w:t>file paths</w:t>
      </w:r>
    </w:p>
    <w:p>
      <w:pPr>
        <w:pStyle w:val="ListParagraph"/>
        <w:pageBreakBefore w:val="false"/>
        <w:numPr>
          <w:ilvl w:val="0"/>
          <w:numId w:val="15"/>
        </w:numPr>
        <w:spacing w:lineRule="auto" w:line="278"/>
        <w:rPr/>
      </w:pPr>
      <w:r>
        <w:rPr/>
        <w:t>exact compiler or runtime error text</w:t>
      </w:r>
    </w:p>
    <w:p>
      <w:pPr>
        <w:pStyle w:val="ListParagraph"/>
        <w:pageBreakBefore w:val="false"/>
        <w:numPr>
          <w:ilvl w:val="0"/>
          <w:numId w:val="15"/>
        </w:numPr>
        <w:spacing w:lineRule="auto" w:line="278"/>
        <w:rPr/>
      </w:pPr>
      <w:r>
        <w:rPr/>
        <w:t>expected behavior</w:t>
      </w:r>
    </w:p>
    <w:p>
      <w:pPr>
        <w:pStyle w:val="ListParagraph"/>
        <w:pageBreakBefore w:val="false"/>
        <w:numPr>
          <w:ilvl w:val="0"/>
          <w:numId w:val="15"/>
        </w:numPr>
        <w:spacing w:lineRule="auto" w:line="278"/>
        <w:rPr/>
      </w:pPr>
      <w:r>
        <w:rPr/>
        <w:t>actual observed behavior</w:t>
      </w:r>
    </w:p>
    <w:p>
      <w:pPr>
        <w:pStyle w:val="ListParagraph"/>
        <w:pageBreakBefore w:val="false"/>
        <w:numPr>
          <w:ilvl w:val="0"/>
          <w:numId w:val="15"/>
        </w:numPr>
        <w:spacing w:lineRule="auto" w:line="278"/>
        <w:rPr/>
      </w:pPr>
      <w:r>
        <w:rPr/>
        <w:t>constraints on scope and risk</w:t>
      </w:r>
    </w:p>
    <w:p>
      <w:pPr>
        <w:pStyle w:val="Heading2"/>
        <w:pageBreakBefore w:val="false"/>
        <w:rPr/>
      </w:pPr>
      <w:bookmarkStart w:id="200" w:name="__RefHeading___Toc6579_239329132"/>
      <w:bookmarkStart w:id="201" w:name="_Toc236592986"/>
      <w:bookmarkEnd w:id="200"/>
      <w:r>
        <w:rPr>
          <w:color w:val="000000"/>
        </w:rPr>
        <w:t>Effective Prompting Guidance</w:t>
      </w:r>
      <w:bookmarkEnd w:id="201"/>
    </w:p>
    <w:p>
      <w:pPr>
        <w:pStyle w:val="Normal"/>
        <w:pageBreakBefore w:val="false"/>
        <w:spacing w:lineRule="auto" w:line="278"/>
        <w:rPr/>
      </w:pPr>
      <w:r>
        <w:rPr/>
        <w:t>Codex responds best to direct, bounded engineering requests. Good prompts are concrete and outcome-oriented.</w:t>
      </w:r>
    </w:p>
    <w:p>
      <w:pPr>
        <w:pStyle w:val="Normal"/>
        <w:pageBreakBefore w:val="false"/>
        <w:spacing w:lineRule="auto" w:line="278"/>
        <w:rPr/>
      </w:pPr>
      <w:r>
        <w:rPr/>
        <w:t>Examples:</w:t>
      </w:r>
    </w:p>
    <w:p>
      <w:pPr>
        <w:pStyle w:val="ListParagraph"/>
        <w:pageBreakBefore w:val="false"/>
        <w:numPr>
          <w:ilvl w:val="0"/>
          <w:numId w:val="15"/>
        </w:numPr>
        <w:spacing w:lineRule="auto" w:line="278"/>
        <w:rPr/>
      </w:pPr>
      <w:r>
        <w:rPr/>
        <w:t>"Inspect this compiler error and identify the root cause."</w:t>
      </w:r>
    </w:p>
    <w:p>
      <w:pPr>
        <w:pStyle w:val="ListParagraph"/>
        <w:pageBreakBefore w:val="false"/>
        <w:numPr>
          <w:ilvl w:val="0"/>
          <w:numId w:val="15"/>
        </w:numPr>
        <w:spacing w:lineRule="auto" w:line="278"/>
        <w:rPr/>
      </w:pPr>
      <w:r>
        <w:rPr/>
        <w:t>"Fix only the generated FMX translation problem in this unit."</w:t>
      </w:r>
    </w:p>
    <w:p>
      <w:pPr>
        <w:pStyle w:val="ListParagraph"/>
        <w:pageBreakBefore w:val="false"/>
        <w:numPr>
          <w:ilvl w:val="0"/>
          <w:numId w:val="15"/>
        </w:numPr>
        <w:spacing w:lineRule="auto" w:line="278"/>
        <w:rPr/>
      </w:pPr>
      <w:r>
        <w:rPr/>
        <w:t>"Review this change for regressions. Findings first."</w:t>
      </w:r>
    </w:p>
    <w:p>
      <w:pPr>
        <w:pStyle w:val="ListParagraph"/>
        <w:pageBreakBefore w:val="false"/>
        <w:numPr>
          <w:ilvl w:val="0"/>
          <w:numId w:val="15"/>
        </w:numPr>
        <w:spacing w:lineRule="auto" w:line="278"/>
        <w:rPr/>
      </w:pPr>
      <w:r>
        <w:rPr/>
        <w:t>"Update this guide without breaking formatting or graphics."</w:t>
      </w:r>
    </w:p>
    <w:p>
      <w:pPr>
        <w:pStyle w:val="ListParagraph"/>
        <w:pageBreakBefore w:val="false"/>
        <w:numPr>
          <w:ilvl w:val="0"/>
          <w:numId w:val="15"/>
        </w:numPr>
        <w:spacing w:lineRule="auto" w:line="278"/>
        <w:rPr/>
      </w:pPr>
      <w:r>
        <w:rPr/>
        <w:t>"Do a readiness sweep and report only consequential issues."</w:t>
      </w:r>
    </w:p>
    <w:p>
      <w:pPr>
        <w:pStyle w:val="Normal"/>
        <w:pageBreakBefore w:val="false"/>
        <w:spacing w:lineRule="auto" w:line="278"/>
        <w:rPr/>
      </w:pPr>
      <w:r>
        <w:rPr/>
        <w:t>Useful prompt ingredients include:</w:t>
      </w:r>
    </w:p>
    <w:p>
      <w:pPr>
        <w:pStyle w:val="ListParagraph"/>
        <w:pageBreakBefore w:val="false"/>
        <w:numPr>
          <w:ilvl w:val="0"/>
          <w:numId w:val="15"/>
        </w:numPr>
        <w:spacing w:lineRule="auto" w:line="278"/>
        <w:rPr/>
      </w:pPr>
      <w:r>
        <w:rPr/>
        <w:t>exact file names</w:t>
      </w:r>
    </w:p>
    <w:p>
      <w:pPr>
        <w:pStyle w:val="ListParagraph"/>
        <w:pageBreakBefore w:val="false"/>
        <w:numPr>
          <w:ilvl w:val="0"/>
          <w:numId w:val="15"/>
        </w:numPr>
        <w:spacing w:lineRule="auto" w:line="278"/>
        <w:rPr/>
      </w:pPr>
      <w:r>
        <w:rPr/>
        <w:t>absolute or clearly scoped paths</w:t>
      </w:r>
    </w:p>
    <w:p>
      <w:pPr>
        <w:pStyle w:val="ListParagraph"/>
        <w:pageBreakBefore w:val="false"/>
        <w:numPr>
          <w:ilvl w:val="0"/>
          <w:numId w:val="15"/>
        </w:numPr>
        <w:spacing w:lineRule="auto" w:line="278"/>
        <w:rPr/>
      </w:pPr>
      <w:r>
        <w:rPr/>
        <w:t>exact error messages</w:t>
      </w:r>
    </w:p>
    <w:p>
      <w:pPr>
        <w:pStyle w:val="ListParagraph"/>
        <w:pageBreakBefore w:val="false"/>
        <w:numPr>
          <w:ilvl w:val="0"/>
          <w:numId w:val="15"/>
        </w:numPr>
        <w:spacing w:lineRule="auto" w:line="278"/>
        <w:rPr/>
      </w:pPr>
      <w:r>
        <w:rPr/>
        <w:t>the last known good behavior</w:t>
      </w:r>
    </w:p>
    <w:p>
      <w:pPr>
        <w:pStyle w:val="ListParagraph"/>
        <w:pageBreakBefore w:val="false"/>
        <w:numPr>
          <w:ilvl w:val="0"/>
          <w:numId w:val="15"/>
        </w:numPr>
        <w:spacing w:lineRule="auto" w:line="278"/>
        <w:rPr/>
      </w:pPr>
      <w:r>
        <w:rPr/>
        <w:t>scope controls such as "do not edit unrelated files" or "no code changes, report only"</w:t>
      </w:r>
    </w:p>
    <w:p>
      <w:pPr>
        <w:pStyle w:val="Heading2"/>
        <w:pageBreakBefore w:val="false"/>
        <w:rPr/>
      </w:pPr>
      <w:bookmarkStart w:id="202" w:name="__RefHeading___Toc6581_239329132"/>
      <w:bookmarkStart w:id="203" w:name="_Toc236592987"/>
      <w:bookmarkEnd w:id="202"/>
      <w:r>
        <w:rPr>
          <w:color w:val="000000"/>
        </w:rPr>
        <w:t>What Developers Should Tell Codex</w:t>
      </w:r>
      <w:bookmarkEnd w:id="203"/>
    </w:p>
    <w:p>
      <w:pPr>
        <w:pStyle w:val="Normal"/>
        <w:pageBreakBefore w:val="false"/>
        <w:spacing w:lineRule="auto" w:line="278"/>
        <w:rPr/>
      </w:pPr>
      <w:r>
        <w:rPr/>
        <w:t>To get reliable help, developers should tell Codex:</w:t>
      </w:r>
    </w:p>
    <w:p>
      <w:pPr>
        <w:pStyle w:val="ListParagraph"/>
        <w:pageBreakBefore w:val="false"/>
        <w:numPr>
          <w:ilvl w:val="0"/>
          <w:numId w:val="15"/>
        </w:numPr>
        <w:spacing w:lineRule="auto" w:line="278"/>
        <w:rPr/>
      </w:pPr>
      <w:r>
        <w:rPr/>
        <w:t>what the problem is</w:t>
      </w:r>
    </w:p>
    <w:p>
      <w:pPr>
        <w:pStyle w:val="ListParagraph"/>
        <w:pageBreakBefore w:val="false"/>
        <w:numPr>
          <w:ilvl w:val="0"/>
          <w:numId w:val="15"/>
        </w:numPr>
        <w:spacing w:lineRule="auto" w:line="278"/>
        <w:rPr/>
      </w:pPr>
      <w:r>
        <w:rPr/>
        <w:t>where the problem is</w:t>
      </w:r>
    </w:p>
    <w:p>
      <w:pPr>
        <w:pStyle w:val="ListParagraph"/>
        <w:pageBreakBefore w:val="false"/>
        <w:numPr>
          <w:ilvl w:val="0"/>
          <w:numId w:val="15"/>
        </w:numPr>
        <w:spacing w:lineRule="auto" w:line="278"/>
        <w:rPr/>
      </w:pPr>
      <w:r>
        <w:rPr/>
        <w:t>what the code should do</w:t>
      </w:r>
    </w:p>
    <w:p>
      <w:pPr>
        <w:pStyle w:val="ListParagraph"/>
        <w:pageBreakBefore w:val="false"/>
        <w:numPr>
          <w:ilvl w:val="0"/>
          <w:numId w:val="15"/>
        </w:numPr>
        <w:spacing w:lineRule="auto" w:line="278"/>
        <w:rPr/>
      </w:pPr>
      <w:r>
        <w:rPr/>
        <w:t>what happened instead</w:t>
      </w:r>
    </w:p>
    <w:p>
      <w:pPr>
        <w:pStyle w:val="ListParagraph"/>
        <w:pageBreakBefore w:val="false"/>
        <w:numPr>
          <w:ilvl w:val="0"/>
          <w:numId w:val="15"/>
        </w:numPr>
        <w:spacing w:lineRule="auto" w:line="278"/>
        <w:rPr/>
      </w:pPr>
      <w:r>
        <w:rPr/>
        <w:t>what level of intervention is wanted</w:t>
      </w:r>
    </w:p>
    <w:p>
      <w:pPr>
        <w:pStyle w:val="Normal"/>
        <w:pageBreakBefore w:val="false"/>
        <w:spacing w:lineRule="auto" w:line="278"/>
        <w:rPr/>
      </w:pPr>
      <w:r>
        <w:rPr/>
        <w:t>Examples of high-value instructions:</w:t>
      </w:r>
    </w:p>
    <w:p>
      <w:pPr>
        <w:pStyle w:val="ListParagraph"/>
        <w:pageBreakBefore w:val="false"/>
        <w:numPr>
          <w:ilvl w:val="0"/>
          <w:numId w:val="15"/>
        </w:numPr>
        <w:spacing w:lineRule="auto" w:line="278"/>
        <w:rPr/>
      </w:pPr>
      <w:r>
        <w:rPr/>
        <w:t>"Analyze only. Do not patch anything."</w:t>
      </w:r>
    </w:p>
    <w:p>
      <w:pPr>
        <w:pStyle w:val="ListParagraph"/>
        <w:pageBreakBefore w:val="false"/>
        <w:numPr>
          <w:ilvl w:val="0"/>
          <w:numId w:val="15"/>
        </w:numPr>
        <w:spacing w:lineRule="auto" w:line="278"/>
        <w:rPr/>
      </w:pPr>
      <w:r>
        <w:rPr/>
        <w:t>"Fix this, but do not widen scope."</w:t>
      </w:r>
    </w:p>
    <w:p>
      <w:pPr>
        <w:pStyle w:val="ListParagraph"/>
        <w:pageBreakBefore w:val="false"/>
        <w:numPr>
          <w:ilvl w:val="0"/>
          <w:numId w:val="15"/>
        </w:numPr>
        <w:spacing w:lineRule="auto" w:line="278"/>
        <w:rPr/>
      </w:pPr>
      <w:r>
        <w:rPr/>
        <w:t>"Use the live converter code, not stale generated output."</w:t>
      </w:r>
    </w:p>
    <w:p>
      <w:pPr>
        <w:pStyle w:val="ListParagraph"/>
        <w:pageBreakBefore w:val="false"/>
        <w:numPr>
          <w:ilvl w:val="0"/>
          <w:numId w:val="15"/>
        </w:numPr>
        <w:spacing w:lineRule="auto" w:line="278"/>
        <w:rPr/>
      </w:pPr>
      <w:r>
        <w:rPr/>
        <w:t>"Back up the project after the fix."</w:t>
      </w:r>
    </w:p>
    <w:p>
      <w:pPr>
        <w:pStyle w:val="ListParagraph"/>
        <w:pageBreakBefore w:val="false"/>
        <w:numPr>
          <w:ilvl w:val="0"/>
          <w:numId w:val="15"/>
        </w:numPr>
        <w:spacing w:lineRule="auto" w:line="278"/>
        <w:rPr/>
      </w:pPr>
      <w:r>
        <w:rPr/>
        <w:t>"Treat this as a release-readiness review and report only consequential items."</w:t>
      </w:r>
    </w:p>
    <w:p>
      <w:pPr>
        <w:pStyle w:val="Heading2"/>
        <w:pageBreakBefore w:val="false"/>
        <w:rPr/>
      </w:pPr>
      <w:bookmarkStart w:id="204" w:name="__RefHeading___Toc6583_239329132"/>
      <w:bookmarkStart w:id="205" w:name="_Toc236592988"/>
      <w:bookmarkEnd w:id="204"/>
      <w:r>
        <w:rPr>
          <w:color w:val="000000"/>
        </w:rPr>
        <w:t>Capabilities</w:t>
      </w:r>
      <w:bookmarkEnd w:id="205"/>
    </w:p>
    <w:p>
      <w:pPr>
        <w:pStyle w:val="ListParagraph"/>
        <w:pageBreakBefore w:val="false"/>
        <w:numPr>
          <w:ilvl w:val="0"/>
          <w:numId w:val="16"/>
        </w:numPr>
        <w:spacing w:lineRule="auto" w:line="278"/>
        <w:rPr/>
      </w:pPr>
      <w:r>
        <w:rPr/>
        <w:t>Codex is particularly effective at:</w:t>
      </w:r>
    </w:p>
    <w:p>
      <w:pPr>
        <w:pStyle w:val="ListParagraph"/>
        <w:pageBreakBefore w:val="false"/>
        <w:numPr>
          <w:ilvl w:val="0"/>
          <w:numId w:val="16"/>
        </w:numPr>
        <w:spacing w:lineRule="auto" w:line="278"/>
        <w:rPr/>
      </w:pPr>
      <w:r>
        <w:rPr/>
        <w:t>tracing compiler failures back to generator logic</w:t>
      </w:r>
    </w:p>
    <w:p>
      <w:pPr>
        <w:pStyle w:val="ListParagraph"/>
        <w:pageBreakBefore w:val="false"/>
        <w:numPr>
          <w:ilvl w:val="0"/>
          <w:numId w:val="16"/>
        </w:numPr>
        <w:spacing w:lineRule="auto" w:line="278"/>
        <w:rPr/>
      </w:pPr>
      <w:r>
        <w:rPr/>
        <w:t>finding regressions introduced by shared converter rules</w:t>
      </w:r>
    </w:p>
    <w:p>
      <w:pPr>
        <w:pStyle w:val="ListParagraph"/>
        <w:pageBreakBefore w:val="false"/>
        <w:numPr>
          <w:ilvl w:val="0"/>
          <w:numId w:val="16"/>
        </w:numPr>
        <w:spacing w:lineRule="auto" w:line="278"/>
        <w:rPr/>
      </w:pPr>
      <w:r>
        <w:rPr/>
        <w:t>inspecting large Pascal units for risky rewrites</w:t>
      </w:r>
    </w:p>
    <w:p>
      <w:pPr>
        <w:pStyle w:val="ListParagraph"/>
        <w:pageBreakBefore w:val="false"/>
        <w:numPr>
          <w:ilvl w:val="0"/>
          <w:numId w:val="16"/>
        </w:numPr>
        <w:spacing w:lineRule="auto" w:line="278"/>
        <w:rPr/>
      </w:pPr>
      <w:r>
        <w:rPr/>
        <w:t>preparing release notes and engineering documentation</w:t>
      </w:r>
    </w:p>
    <w:p>
      <w:pPr>
        <w:pStyle w:val="ListParagraph"/>
        <w:pageBreakBefore w:val="false"/>
        <w:numPr>
          <w:ilvl w:val="0"/>
          <w:numId w:val="16"/>
        </w:numPr>
        <w:spacing w:lineRule="auto" w:line="278"/>
        <w:rPr/>
      </w:pPr>
      <w:r>
        <w:rPr/>
        <w:t>checking packaging and distribution logic</w:t>
      </w:r>
    </w:p>
    <w:p>
      <w:pPr>
        <w:pStyle w:val="ListParagraph"/>
        <w:pageBreakBefore w:val="false"/>
        <w:numPr>
          <w:ilvl w:val="0"/>
          <w:numId w:val="16"/>
        </w:numPr>
        <w:spacing w:lineRule="auto" w:line="278"/>
        <w:rPr/>
      </w:pPr>
      <w:r>
        <w:rPr/>
        <w:t>validating that cleanup code restores external/shared handlers correctly</w:t>
      </w:r>
    </w:p>
    <w:p>
      <w:pPr>
        <w:pStyle w:val="ListParagraph"/>
        <w:pageBreakBefore w:val="false"/>
        <w:numPr>
          <w:ilvl w:val="0"/>
          <w:numId w:val="16"/>
        </w:numPr>
        <w:spacing w:lineRule="auto" w:line="278"/>
        <w:rPr/>
      </w:pPr>
      <w:r>
        <w:rPr/>
        <w:t>comparing generated output against source intent</w:t>
      </w:r>
    </w:p>
    <w:p>
      <w:pPr>
        <w:pStyle w:val="Heading2"/>
        <w:pageBreakBefore w:val="false"/>
        <w:rPr/>
      </w:pPr>
      <w:bookmarkStart w:id="206" w:name="__RefHeading___Toc6585_239329132"/>
      <w:bookmarkStart w:id="207" w:name="_Toc236592989"/>
      <w:bookmarkEnd w:id="206"/>
      <w:r>
        <w:rPr>
          <w:color w:val="000000"/>
        </w:rPr>
        <w:t>Limitations</w:t>
      </w:r>
      <w:bookmarkEnd w:id="207"/>
    </w:p>
    <w:p>
      <w:pPr>
        <w:pStyle w:val="Normal"/>
        <w:pageBreakBefore w:val="false"/>
        <w:spacing w:lineRule="auto" w:line="278"/>
        <w:rPr/>
      </w:pPr>
      <w:r>
        <w:rPr/>
        <w:t>Codex has important technical and operational limitations:</w:t>
      </w:r>
    </w:p>
    <w:p>
      <w:pPr>
        <w:pStyle w:val="ListParagraph"/>
        <w:pageBreakBefore w:val="false"/>
        <w:numPr>
          <w:ilvl w:val="0"/>
          <w:numId w:val="16"/>
        </w:numPr>
        <w:spacing w:lineRule="auto" w:line="278"/>
        <w:rPr/>
      </w:pPr>
      <w:r>
        <w:rPr/>
        <w:t>it can make incorrect inferences</w:t>
      </w:r>
    </w:p>
    <w:p>
      <w:pPr>
        <w:pStyle w:val="ListParagraph"/>
        <w:pageBreakBefore w:val="false"/>
        <w:numPr>
          <w:ilvl w:val="0"/>
          <w:numId w:val="16"/>
        </w:numPr>
        <w:spacing w:lineRule="auto" w:line="278"/>
        <w:rPr/>
      </w:pPr>
      <w:r>
        <w:rPr/>
        <w:t>it can miss project-specific intent that is not represented in code or documentation</w:t>
      </w:r>
    </w:p>
    <w:p>
      <w:pPr>
        <w:pStyle w:val="ListParagraph"/>
        <w:pageBreakBefore w:val="false"/>
        <w:numPr>
          <w:ilvl w:val="0"/>
          <w:numId w:val="16"/>
        </w:numPr>
        <w:spacing w:lineRule="auto" w:line="278"/>
        <w:rPr/>
      </w:pPr>
      <w:r>
        <w:rPr/>
        <w:t>it is limited by the files and tools available in the session</w:t>
      </w:r>
    </w:p>
    <w:p>
      <w:pPr>
        <w:pStyle w:val="ListParagraph"/>
        <w:pageBreakBefore w:val="false"/>
        <w:numPr>
          <w:ilvl w:val="0"/>
          <w:numId w:val="16"/>
        </w:numPr>
        <w:spacing w:lineRule="auto" w:line="278"/>
        <w:rPr/>
      </w:pPr>
      <w:r>
        <w:rPr/>
        <w:t>it may be blocked by sandboxing, permissions, or unavailable compilers</w:t>
      </w:r>
    </w:p>
    <w:p>
      <w:pPr>
        <w:pStyle w:val="ListParagraph"/>
        <w:pageBreakBefore w:val="false"/>
        <w:numPr>
          <w:ilvl w:val="0"/>
          <w:numId w:val="16"/>
        </w:numPr>
        <w:spacing w:lineRule="auto" w:line="278"/>
        <w:rPr/>
      </w:pPr>
      <w:r>
        <w:rPr/>
        <w:t>it cannot guarantee runtime correctness without actual rebuild and execution</w:t>
      </w:r>
    </w:p>
    <w:p>
      <w:pPr>
        <w:pStyle w:val="ListParagraph"/>
        <w:pageBreakBefore w:val="false"/>
        <w:numPr>
          <w:ilvl w:val="0"/>
          <w:numId w:val="16"/>
        </w:numPr>
        <w:spacing w:lineRule="auto" w:line="278"/>
        <w:rPr/>
      </w:pPr>
      <w:r>
        <w:rPr/>
        <w:t>it is not a substitute for QA, release testing, or human review</w:t>
      </w:r>
    </w:p>
    <w:p>
      <w:pPr>
        <w:pStyle w:val="Heading2"/>
        <w:pageBreakBefore w:val="false"/>
        <w:spacing w:before="0" w:after="160"/>
        <w:rPr/>
      </w:pPr>
      <w:bookmarkStart w:id="208" w:name="__RefHeading___Toc6587_239329132"/>
      <w:bookmarkStart w:id="209" w:name="_Toc236592990"/>
      <w:bookmarkEnd w:id="208"/>
      <w:r>
        <w:rPr>
          <w:color w:val="000000"/>
        </w:rPr>
        <w:t>Risk Management Guidance</w:t>
      </w:r>
      <w:bookmarkEnd w:id="209"/>
    </w:p>
    <w:p>
      <w:pPr>
        <w:pStyle w:val="Normal"/>
        <w:pageBreakBefore w:val="false"/>
        <w:spacing w:lineRule="auto" w:line="278"/>
        <w:rPr/>
      </w:pPr>
      <w:r>
        <w:rPr/>
        <w:t>Codex should be integrated into engineering practice with explicit controls:</w:t>
      </w:r>
    </w:p>
    <w:p>
      <w:pPr>
        <w:pStyle w:val="ListParagraph"/>
        <w:pageBreakBefore w:val="false"/>
        <w:numPr>
          <w:ilvl w:val="0"/>
          <w:numId w:val="16"/>
        </w:numPr>
        <w:spacing w:lineRule="auto" w:line="278"/>
        <w:rPr/>
      </w:pPr>
      <w:r>
        <w:rPr/>
        <w:t>require focused scope on risky fixes</w:t>
      </w:r>
    </w:p>
    <w:p>
      <w:pPr>
        <w:pStyle w:val="ListParagraph"/>
        <w:pageBreakBefore w:val="false"/>
        <w:numPr>
          <w:ilvl w:val="0"/>
          <w:numId w:val="16"/>
        </w:numPr>
        <w:spacing w:lineRule="auto" w:line="278"/>
        <w:rPr/>
      </w:pPr>
      <w:r>
        <w:rPr/>
        <w:t>require real build/test verification after code changes</w:t>
      </w:r>
    </w:p>
    <w:p>
      <w:pPr>
        <w:pStyle w:val="ListParagraph"/>
        <w:pageBreakBefore w:val="false"/>
        <w:numPr>
          <w:ilvl w:val="0"/>
          <w:numId w:val="16"/>
        </w:numPr>
        <w:spacing w:lineRule="auto" w:line="278"/>
        <w:rPr/>
      </w:pPr>
      <w:r>
        <w:rPr/>
        <w:t>use backups before significant shared-rule changes, a very important rule</w:t>
      </w:r>
    </w:p>
    <w:p>
      <w:pPr>
        <w:pStyle w:val="ListParagraph"/>
        <w:pageBreakBefore w:val="false"/>
        <w:numPr>
          <w:ilvl w:val="0"/>
          <w:numId w:val="16"/>
        </w:numPr>
        <w:spacing w:lineRule="auto" w:line="278"/>
        <w:rPr/>
      </w:pPr>
      <w:r>
        <w:rPr/>
        <w:t>treat generated output and release packaging as separate validation targets</w:t>
      </w:r>
    </w:p>
    <w:p>
      <w:pPr>
        <w:pStyle w:val="ListParagraph"/>
        <w:pageBreakBefore w:val="false"/>
        <w:numPr>
          <w:ilvl w:val="0"/>
          <w:numId w:val="16"/>
        </w:numPr>
        <w:spacing w:lineRule="auto" w:line="278"/>
        <w:rPr/>
      </w:pPr>
      <w:r>
        <w:rPr/>
        <w:t>do not accept "compiles" as full proof of runtime correctness until everything is tested</w:t>
      </w:r>
    </w:p>
    <w:p>
      <w:pPr>
        <w:pStyle w:val="Normal"/>
        <w:pageBreakBefore w:val="false"/>
        <w:spacing w:lineRule="auto" w:line="278"/>
        <w:rPr/>
      </w:pPr>
      <w:r>
        <w:rPr/>
        <w:t>For release work, Codex is most reliable when used as part of a disciplined cycle:</w:t>
      </w:r>
    </w:p>
    <w:p>
      <w:pPr>
        <w:pStyle w:val="ListParagraph"/>
        <w:pageBreakBefore w:val="false"/>
        <w:numPr>
          <w:ilvl w:val="0"/>
          <w:numId w:val="17"/>
        </w:numPr>
        <w:spacing w:lineRule="auto" w:line="278"/>
        <w:rPr/>
      </w:pPr>
      <w:r>
        <w:rPr/>
        <w:t>inspect the code</w:t>
      </w:r>
    </w:p>
    <w:p>
      <w:pPr>
        <w:pStyle w:val="ListParagraph"/>
        <w:pageBreakBefore w:val="false"/>
        <w:numPr>
          <w:ilvl w:val="0"/>
          <w:numId w:val="17"/>
        </w:numPr>
        <w:spacing w:lineRule="auto" w:line="278"/>
        <w:rPr/>
      </w:pPr>
      <w:r>
        <w:rPr/>
        <w:t>make narrow generic fixes</w:t>
      </w:r>
    </w:p>
    <w:p>
      <w:pPr>
        <w:pStyle w:val="ListParagraph"/>
        <w:pageBreakBefore w:val="false"/>
        <w:numPr>
          <w:ilvl w:val="0"/>
          <w:numId w:val="17"/>
        </w:numPr>
        <w:spacing w:lineRule="auto" w:line="278"/>
        <w:rPr/>
      </w:pPr>
      <w:r>
        <w:rPr/>
        <w:t>rebuild</w:t>
      </w:r>
    </w:p>
    <w:p>
      <w:pPr>
        <w:pStyle w:val="ListParagraph"/>
        <w:pageBreakBefore w:val="false"/>
        <w:numPr>
          <w:ilvl w:val="0"/>
          <w:numId w:val="17"/>
        </w:numPr>
        <w:spacing w:lineRule="auto" w:line="278"/>
        <w:rPr/>
      </w:pPr>
      <w:r>
        <w:rPr/>
        <w:t>run targeted regression tests</w:t>
      </w:r>
    </w:p>
    <w:p>
      <w:pPr>
        <w:pStyle w:val="ListParagraph"/>
        <w:pageBreakBefore w:val="false"/>
        <w:numPr>
          <w:ilvl w:val="0"/>
          <w:numId w:val="17"/>
        </w:numPr>
        <w:spacing w:lineRule="auto" w:line="278"/>
        <w:rPr/>
      </w:pPr>
      <w:r>
        <w:rPr/>
        <w:t>perform readiness and packaging review</w:t>
      </w:r>
    </w:p>
    <w:p>
      <w:pPr>
        <w:pStyle w:val="Heading2"/>
        <w:pageBreakBefore w:val="false"/>
        <w:rPr/>
      </w:pPr>
      <w:bookmarkStart w:id="210" w:name="__RefHeading___Toc6589_239329132"/>
      <w:bookmarkStart w:id="211" w:name="_Toc236592991"/>
      <w:bookmarkEnd w:id="210"/>
      <w:r>
        <w:rPr>
          <w:color w:val="000000"/>
        </w:rPr>
        <w:t>Security And Privacy Considerations</w:t>
      </w:r>
      <w:bookmarkEnd w:id="211"/>
    </w:p>
    <w:p>
      <w:pPr>
        <w:pStyle w:val="Normal"/>
        <w:pageBreakBefore w:val="false"/>
        <w:spacing w:lineRule="auto" w:line="278"/>
        <w:rPr/>
      </w:pPr>
      <w:r>
        <w:rPr/>
        <w:t>Codex should be treated as a tool operating inside the developer environment, not as an invisible background observer. It works on the files and inputs made available to it. However, engineering teams should avoid giving Codex unnecessary secrets or sensitive material unless the deployment model has been reviewed and approved for that data type.</w:t>
      </w:r>
    </w:p>
    <w:p>
      <w:pPr>
        <w:pStyle w:val="Normal"/>
        <w:pageBreakBefore w:val="false"/>
        <w:spacing w:lineRule="auto" w:line="278"/>
        <w:rPr/>
      </w:pPr>
      <w:r>
        <w:rPr/>
        <w:t>Teams should define local policy for:</w:t>
      </w:r>
    </w:p>
    <w:p>
      <w:pPr>
        <w:pStyle w:val="ListParagraph"/>
        <w:pageBreakBefore w:val="false"/>
        <w:numPr>
          <w:ilvl w:val="0"/>
          <w:numId w:val="17"/>
        </w:numPr>
        <w:spacing w:lineRule="auto" w:line="278"/>
        <w:rPr/>
      </w:pPr>
      <w:r>
        <w:rPr/>
        <w:t>source-code sensitivity</w:t>
      </w:r>
    </w:p>
    <w:p>
      <w:pPr>
        <w:pStyle w:val="ListParagraph"/>
        <w:pageBreakBefore w:val="false"/>
        <w:numPr>
          <w:ilvl w:val="0"/>
          <w:numId w:val="17"/>
        </w:numPr>
        <w:spacing w:lineRule="auto" w:line="278"/>
        <w:rPr/>
      </w:pPr>
      <w:r>
        <w:rPr/>
        <w:t>secrets handling</w:t>
      </w:r>
    </w:p>
    <w:p>
      <w:pPr>
        <w:pStyle w:val="ListParagraph"/>
        <w:pageBreakBefore w:val="false"/>
        <w:numPr>
          <w:ilvl w:val="0"/>
          <w:numId w:val="17"/>
        </w:numPr>
        <w:spacing w:lineRule="auto" w:line="278"/>
        <w:rPr/>
      </w:pPr>
      <w:r>
        <w:rPr/>
        <w:t>customer data exposure</w:t>
      </w:r>
    </w:p>
    <w:p>
      <w:pPr>
        <w:pStyle w:val="ListParagraph"/>
        <w:pageBreakBefore w:val="false"/>
        <w:numPr>
          <w:ilvl w:val="0"/>
          <w:numId w:val="17"/>
        </w:numPr>
        <w:spacing w:lineRule="auto" w:line="278"/>
        <w:rPr/>
      </w:pPr>
      <w:r>
        <w:rPr/>
        <w:t>conversation retention expectations</w:t>
      </w:r>
    </w:p>
    <w:p>
      <w:pPr>
        <w:pStyle w:val="ListParagraph"/>
        <w:pageBreakBefore w:val="false"/>
        <w:numPr>
          <w:ilvl w:val="0"/>
          <w:numId w:val="17"/>
        </w:numPr>
        <w:spacing w:lineRule="auto" w:line="278"/>
        <w:rPr/>
      </w:pPr>
      <w:r>
        <w:rPr/>
        <w:t>audit and approval practices for tool-driven changes</w:t>
      </w:r>
    </w:p>
    <w:p>
      <w:pPr>
        <w:pStyle w:val="Heading2"/>
        <w:pageBreakBefore w:val="false"/>
        <w:rPr/>
      </w:pPr>
      <w:bookmarkStart w:id="212" w:name="__RefHeading___Toc6591_239329132"/>
      <w:bookmarkStart w:id="213" w:name="_Toc236592992"/>
      <w:bookmarkEnd w:id="212"/>
      <w:r>
        <w:rPr>
          <w:color w:val="000000"/>
        </w:rPr>
        <w:t>Bottom Line</w:t>
      </w:r>
      <w:bookmarkEnd w:id="213"/>
    </w:p>
    <w:p>
      <w:pPr>
        <w:pStyle w:val="Normal"/>
        <w:pageBreakBefore w:val="false"/>
        <w:spacing w:lineRule="auto" w:line="278"/>
        <w:rPr/>
      </w:pPr>
      <w:r>
        <w:rPr/>
        <w:t>Codex is a practical AI engineering assistant that can materially reduce effort in debugging, converter maintenance, documentation work, and release review. It is most valuable when used as a disciplined collaborator: clear request, narrow scope, real verification, and human release ownership. It should accelerate engineering judgment, not replace it.  Codex us offered by subscription of ChatGPT and requires at least a ‘Plus’ subscription, priced at US $20.00 per month.  If you code a lot, this is a worthwhile investment.</w:t>
      </w:r>
    </w:p>
    <w:p>
      <w:pPr>
        <w:pStyle w:val="Heading1"/>
        <w:pageBreakBefore w:val="false"/>
        <w:rPr>
          <w:b w:val="false"/>
        </w:rPr>
      </w:pPr>
      <w:bookmarkStart w:id="214" w:name="__RefHeading___Toc6593_239329132"/>
      <w:bookmarkStart w:id="215" w:name="_Toc236592993"/>
      <w:bookmarkStart w:id="216" w:name="_Toc225758809"/>
      <w:bookmarkEnd w:id="214"/>
      <w:r>
        <w:rPr>
          <w:b w:val="false"/>
          <w:color w:val="000000"/>
        </w:rPr>
        <w:t>Index</w:t>
      </w:r>
      <w:bookmarkEnd w:id="215"/>
      <w:bookmarkEnd w:id="216"/>
    </w:p>
    <w:p>
      <w:pPr>
        <w:pStyle w:val="Normal"/>
        <w:pageBreakBefore w:val="false"/>
        <w:rPr/>
      </w:pPr>
      <w:r>
        <w:rPr/>
        <w:t>This manual index is intentionally simple and uses section references rather than page references so it remains stable while the document is still evolving.</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7"/>
        <w:gridCol w:w="5117"/>
      </w:tblGrid>
      <w:tr>
        <w:trPr>
          <w:tblHeader w:val="true"/>
          <w:cantSplit/>
        </w:trPr>
        <w:tc>
          <w:tcPr>
            <w:tcW w:w="51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Term</w:t>
            </w:r>
          </w:p>
        </w:tc>
        <w:tc>
          <w:tcPr>
            <w:tcW w:w="511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Section Reference</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Bindings</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Sections 4, 6, and 10</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Blob display</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Sections 7 and 10</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DBGrid</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Sections 9 and 10</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DFM parser</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 7</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Integration layer</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Sections 3, 6, 8, and 10</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Mapper</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Sections 3 and 9</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Project generator</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 12</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Runtime validation</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Sections 4 and 13</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Mapping-pack JSON</w:t>
            </w:r>
          </w:p>
        </w:tc>
        <w:tc>
          <w:tcPr>
            <w:tcW w:w="511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 9.1</w:t>
            </w:r>
          </w:p>
        </w:tc>
      </w:tr>
      <w:tr>
        <w:trPr>
          <w:cantSplit/>
        </w:trPr>
        <w:tc>
          <w:tcPr>
            <w:tcW w:w="51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Mapping-pack schema</w:t>
            </w:r>
          </w:p>
        </w:tc>
        <w:tc>
          <w:tcPr>
            <w:tcW w:w="511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Section 9.1</w:t>
            </w:r>
          </w:p>
        </w:tc>
      </w:tr>
    </w:tbl>
    <w:p>
      <w:pPr>
        <w:pStyle w:val="Normal"/>
        <w:pageBreakBefore w:val="false"/>
        <w:spacing w:before="0" w:after="160"/>
        <w:rPr>
          <w:sz w:val="32"/>
          <w:szCs w:val="32"/>
        </w:rPr>
      </w:pPr>
      <w:r>
        <w:rPr>
          <w:sz w:val="32"/>
          <w:szCs w:val="32"/>
        </w:rPr>
        <w:t>Manual-Review Comment Guardrails</w:t>
      </w:r>
    </w:p>
    <w:p>
      <w:pPr>
        <w:pStyle w:val="Normal"/>
        <w:pageBreakBefore w:val="false"/>
        <w:rPr/>
      </w:pPr>
      <w:r>
        <w:rPr/>
        <w:t>Manual-review output must be bounded. Rules that flag unsafe VCL or WinAPI behavior may comment the affected declaration, statement, or method body, but must never consume Delphi structural boundaries such as visibility sections, var/const/type sections, implementation, uses clauses, initialization/finalization, or the unit terminator.</w:t>
      </w:r>
    </w:p>
    <w:p>
      <w:pPr>
        <w:pStyle w:val="Normal"/>
        <w:pageBreakBefore w:val="false"/>
        <w:rPr/>
      </w:pPr>
      <w:r>
        <w:rPr/>
        <w:t>Unsupported message-handler declarations must recognize Delphi method directives after the parameter list, including message WM_*, override, virtual, dynamic, reintroduce, abstract, overload, stdcall, cdecl, safecall, and register.</w:t>
      </w:r>
    </w:p>
    <w:p>
      <w:pPr>
        <w:pStyle w:val="Normal"/>
        <w:pageBreakBefore w:val="false"/>
        <w:rPr/>
      </w:pPr>
      <w:r>
        <w:rPr/>
        <w:t>Regression tests should include VCL message handlers, nested handler bodies, malformed or multi-line WinAPI calls, UTF-8 comments, Windows-1252 comments, and representative non-English comments. The generated Pascal must retain an active final end. and must not prefix normal unit structure with FMX manual review.</w:t>
      </w:r>
    </w:p>
    <w:p>
      <w:pPr>
        <w:pStyle w:val="Heading1"/>
        <w:pageBreakBefore w:val="false"/>
        <w:rPr/>
      </w:pPr>
      <w:bookmarkStart w:id="217" w:name="__RefHeading___Toc6717_1927610595"/>
      <w:bookmarkEnd w:id="217"/>
      <w:r>
        <w:rPr>
          <w:color w:val="000000"/>
        </w:rPr>
        <w:t>Inherited maintenance changes</w:t>
      </w:r>
    </w:p>
    <w:p>
      <w:pPr>
        <w:pStyle w:val="Normal"/>
        <w:pageBreakBefore w:val="false"/>
        <w:rPr/>
      </w:pPr>
      <w:r>
        <w:rPr/>
        <w:t>This maintenance update incorporates field-test feedback from real Delphi projects. The converter now recognizes additional standard VCL controls, including TBitBtn and TTrayIcon, so they are not incorrectly reported as unknown third-party components.</w:t>
      </w:r>
    </w:p>
    <w:p>
      <w:pPr>
        <w:pStyle w:val="Normal"/>
        <w:pageBreakBefore w:val="false"/>
        <w:rPr/>
      </w:pPr>
      <w:r>
        <w:rPr/>
        <w:t>TBitBtn receives a conservative FMX TButton substitution note. TTrayIcon remains an explicit platform-specific manual-review item because FMX has no direct standard tray-icon component.</w:t>
      </w:r>
    </w:p>
    <w:p>
      <w:pPr>
        <w:pStyle w:val="Normal"/>
        <w:pageBreakBefore w:val="false"/>
        <w:rPr/>
      </w:pPr>
      <w:r>
        <w:rPr/>
        <w:t>V7 retains the established contract cases. Current validation results are recorded in the V7 Application Inventory; historical build results are not evidence of a current release build.</w:t>
      </w:r>
    </w:p>
    <w:p>
      <w:pPr>
        <w:pStyle w:val="Heading1"/>
        <w:pageBreakBefore w:val="false"/>
        <w:spacing w:before="0" w:after="240"/>
        <w:rPr/>
      </w:pPr>
      <w:bookmarkStart w:id="218" w:name="__RefHeading___Toc6597_239329132"/>
      <w:bookmarkStart w:id="219" w:name="_Toc236592995"/>
      <w:bookmarkEnd w:id="218"/>
      <w:r>
        <w:rPr>
          <w:color w:val="000000"/>
        </w:rPr>
        <w:t>Atlas V7.0</w:t>
      </w:r>
      <w:bookmarkEnd w:id="219"/>
    </w:p>
    <w:p>
      <w:pPr>
        <w:pStyle w:val="Normal"/>
        <w:pageBreakBefore w:val="false"/>
        <w:rPr/>
      </w:pPr>
      <w:r>
        <w:rPr/>
        <w:t>Last changed: October 15, 2026</w:t>
      </w:r>
    </w:p>
    <w:p>
      <w:pPr>
        <w:pStyle w:val="Heading2"/>
        <w:pageBreakBefore w:val="false"/>
        <w:rPr/>
      </w:pPr>
      <w:bookmarkStart w:id="220" w:name="__RefHeading___Toc6599_239329132"/>
      <w:bookmarkStart w:id="221" w:name="_Toc236592996"/>
      <w:bookmarkEnd w:id="220"/>
      <w:r>
        <w:rPr>
          <w:color w:val="000000"/>
        </w:rPr>
        <w:t>Architecture completed through V7.0</w:t>
      </w:r>
      <w:bookmarkEnd w:id="221"/>
    </w:p>
    <w:p>
      <w:pPr>
        <w:pStyle w:val="Normal"/>
        <w:pageBreakBefore w:val="false"/>
        <w:rPr/>
      </w:pPr>
      <w:r>
        <w:rPr/>
        <w:t>Report data is owned by a shared model and rendered independently as text, HTML, and deterministic vcl2fmx.report.v1 JSON. DFM parsing and FMX generation are separate units. Component mapping resolution and the static mapping catalog are separate units. The legacy oversized conversion and reporting procedures now have guarded decomposition seams.</w:t>
      </w:r>
    </w:p>
    <w:p>
      <w:pPr>
        <w:pStyle w:val="Heading2"/>
        <w:pageBreakBefore w:val="false"/>
        <w:rPr/>
      </w:pPr>
      <w:bookmarkStart w:id="222" w:name="__RefHeading___Toc6601_239329132"/>
      <w:bookmarkStart w:id="223" w:name="_Toc236592997"/>
      <w:bookmarkEnd w:id="222"/>
      <w:r>
        <w:rPr>
          <w:color w:val="000000"/>
        </w:rPr>
        <w:t>Mapping-pack discipline</w:t>
      </w:r>
      <w:bookmarkEnd w:id="223"/>
    </w:p>
    <w:p>
      <w:pPr>
        <w:pStyle w:val="Normal"/>
        <w:pageBreakBefore w:val="false"/>
        <w:rPr/>
      </w:pPr>
      <w:r>
        <w:rPr/>
        <w:t>All 22 bundled packs and 493 rules declare vcl2fmx.mapping-pack.v1. Runtime and command-line validation reject unsupported schemas and actions, malformed classes, invalid confidence, duplicate pack identifiers, and class collisions. Mapping-gap export produces a complete conservative starter pack.</w:t>
      </w:r>
    </w:p>
    <w:p>
      <w:pPr>
        <w:pStyle w:val="Heading2"/>
        <w:pageBreakBefore w:val="false"/>
        <w:rPr/>
      </w:pPr>
      <w:bookmarkStart w:id="224" w:name="__RefHeading___Toc6603_239329132"/>
      <w:bookmarkStart w:id="225" w:name="_Toc236592998"/>
      <w:bookmarkEnd w:id="224"/>
      <w:r>
        <w:rPr>
          <w:color w:val="000000"/>
        </w:rPr>
        <w:t>Validation baseline</w:t>
      </w:r>
      <w:bookmarkEnd w:id="225"/>
    </w:p>
    <w:p>
      <w:pPr>
        <w:pStyle w:val="Normal"/>
        <w:pageBreakBefore w:val="false"/>
        <w:rPr/>
      </w:pPr>
      <w:r>
        <w:rPr/>
        <w:t>V7.0 is guarded by 227 executable conversion contracts, 66 regression guards, 63 acceptance checks, mapping-pack positive and negative suites, French beta regression, mapping smoke coverage, Win32 and Win64 Release builds, and compilation of every eligible generated contract fixture. Synthetic malformed, missing, external, dry-run, and manual-review fixtures explicitly declare when compilation is not applicable.</w:t>
      </w:r>
    </w:p>
    <w:p>
      <w:pPr>
        <w:pStyle w:val="Heading2"/>
        <w:pageBreakBefore w:val="false"/>
        <w:rPr/>
      </w:pPr>
      <w:bookmarkStart w:id="226" w:name="__RefHeading___Toc6605_239329132"/>
      <w:bookmarkStart w:id="227" w:name="_Toc236592999"/>
      <w:bookmarkEnd w:id="226"/>
      <w:r>
        <w:rPr>
          <w:color w:val="000000"/>
        </w:rPr>
        <w:t>V7.0 conversion corrections</w:t>
      </w:r>
      <w:bookmarkEnd w:id="227"/>
    </w:p>
    <w:p>
      <w:pPr>
        <w:pStyle w:val="Normal"/>
        <w:pageBreakBefore w:val="false"/>
        <w:rPr/>
      </w:pPr>
      <w:r>
        <w:rPr/>
        <w:t>Compiled fixtures now enforce Pascal unit and file-name agreement in isolated staging, normalize conditional and implementation uses clauses, add required FMX and System units, preserve case-insensitive DFM property conversion, translate VCL alpha blend and dialog border assignments, and use FMX-compatible canvas text and rectangle helpers.</w:t>
      </w:r>
    </w:p>
    <w:p>
      <w:pPr>
        <w:pStyle w:val="Heading1"/>
        <w:pageBreakBefore w:val="false"/>
        <w:spacing w:before="0" w:after="240"/>
        <w:rPr/>
      </w:pPr>
      <w:bookmarkStart w:id="228" w:name="__RefHeading___Toc6607_239329132"/>
      <w:bookmarkEnd w:id="228"/>
      <w:r>
        <w:rPr>
          <w:color w:val="000000"/>
        </w:rPr>
        <w:t>V7 Atlas language support and operating safeguards</w:t>
      </w:r>
    </w:p>
    <w:p>
      <w:pPr>
        <w:pStyle w:val="Normal"/>
        <w:pageBreakBefore w:val="false"/>
        <w:rPr/>
      </w:pPr>
      <w:r>
        <w:rPr/>
        <w:t>Last changed October 15, 2026</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2"/>
        <w:pageBreakBefore w:val="false"/>
        <w:rPr/>
      </w:pPr>
      <w:bookmarkStart w:id="229" w:name="__RefHeading___Toc6609_239329132"/>
      <w:bookmarkEnd w:id="229"/>
      <w:r>
        <w:rPr>
          <w:color w:val="000000"/>
        </w:rPr>
        <w:t>Choosing a language</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2"/>
        <w:pageBreakBefore w:val="false"/>
        <w:rPr/>
      </w:pPr>
      <w:bookmarkStart w:id="230" w:name="__RefHeading___Toc6611_239329132"/>
      <w:bookmarkEnd w:id="230"/>
      <w:r>
        <w:rPr>
          <w:color w:val="000000"/>
        </w:rPr>
        <w:t>Reading translated Help</w:t>
      </w:r>
    </w:p>
    <w:p>
      <w:pPr>
        <w:pStyle w:val="Normal"/>
        <w:pageBreakBefore w:val="false"/>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2"/>
        <w:pageBreakBefore w:val="false"/>
        <w:rPr/>
      </w:pPr>
      <w:bookmarkStart w:id="231" w:name="__RefHeading___Toc6613_239329132"/>
      <w:bookmarkEnd w:id="231"/>
      <w:r>
        <w:rPr>
          <w:color w:val="000000"/>
        </w:rPr>
        <w:t>Editing and adding translations</w:t>
      </w:r>
    </w:p>
    <w:p>
      <w:pPr>
        <w:pStyle w:val="Normal"/>
        <w:pageBreakBefore w:val="false"/>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2"/>
        <w:pageBreakBefore w:val="false"/>
        <w:rPr/>
      </w:pPr>
      <w:bookmarkStart w:id="232" w:name="__RefHeading___Toc6615_239329132"/>
      <w:bookmarkEnd w:id="232"/>
      <w:r>
        <w:rPr>
          <w:color w:val="000000"/>
        </w:rPr>
        <w:t>Translation review</w:t>
      </w:r>
    </w:p>
    <w:p>
      <w:pPr>
        <w:pStyle w:val="Normal"/>
        <w:pageBreakBefore w:val="false"/>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2"/>
        <w:pageBreakBefore w:val="false"/>
        <w:rPr/>
      </w:pPr>
      <w:bookmarkStart w:id="233" w:name="__RefHeading___Toc6617_239329132"/>
      <w:bookmarkEnd w:id="233"/>
      <w:r>
        <w:rPr>
          <w:color w:val="000000"/>
        </w:rPr>
        <w:t>Source and output checks</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2"/>
        <w:pageBreakBefore w:val="false"/>
        <w:rPr/>
      </w:pPr>
      <w:bookmarkStart w:id="234" w:name="__RefHeading___Toc6619_239329132"/>
      <w:bookmarkEnd w:id="234"/>
      <w:r>
        <w:rPr>
          <w:color w:val="000000"/>
        </w:rPr>
        <w:t>Text encoding</w:t>
      </w:r>
    </w:p>
    <w:p>
      <w:pPr>
        <w:pStyle w:val="Normal"/>
        <w:pageBreakBefore w:val="false"/>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p>
      <w:pPr>
        <w:pStyle w:val="Heading2"/>
        <w:pageBreakBefore w:val="false"/>
        <w:rPr/>
      </w:pPr>
      <w:bookmarkStart w:id="235" w:name="__RefHeading___Toc6621_239329132"/>
      <w:bookmarkEnd w:id="235"/>
      <w:r>
        <w:rPr>
          <w:color w:val="000000"/>
        </w:rPr>
        <w:t>Implementation responsibilities</w:t>
      </w:r>
    </w:p>
    <w:p>
      <w:pPr>
        <w:pStyle w:val="Normal"/>
        <w:pageBreakBefore w:val="false"/>
        <w:rPr/>
      </w:pPr>
      <w:r>
        <w:rPr/>
        <w:t>The application remains a designer-owned FireMonkey form with no new StyleBook migration. TDATFMXLanguageManager loads locale packs and preserves control state. DAT.Runtime.FMX manages translation, text fitting and RTL layout; technical path, URL and email fields retain LTR handling. MainForm captures the report language for the worker. Converter.Core.Engine protects source evidence and identifiers while translating text/HTML report presentation; the JSON renderer remains canonical. HelpServer serves the installed manual over loopback HTTP. The parsing, rewriting, FMX generation and report-renderer modules were compared with the v6.0.0 baseline and are unchanged apart from version headers; file safety, session handling and encoding have additional changes.</w:t>
      </w:r>
    </w:p>
    <w:p>
      <w:pPr>
        <w:pStyle w:val="Normal"/>
        <w:pageBreakBefore w:val="false"/>
        <w:widowControl/>
        <w:bidi w:val="0"/>
        <w:spacing w:lineRule="auto" w:line="300" w:before="0" w:after="160"/>
        <w:jc w:val="start"/>
        <w:rPr/>
      </w:pPr>
      <w:r>
        <w:rPr/>
        <w:t>Validation includes the established conversion contracts plus V7TranslationContracts, V7ReportLanguageContracts, V7ReleaseSafetyContracts, V7FormLanguageContracts and V7HelpServerContracts. These tests run during engineering validation, not during an ordinary conversion. Current test results must be assessed separately; the presence of a test does not establish that it passed.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Segoe UI">
    <w:charset w:val="00" w:characterSet="windows-1252"/>
    <w:family w:val="swiss"/>
    <w:pitch w:val="variable"/>
  </w:font>
  <w:font w:name="Calibri Light">
    <w:charset w:val="00" w:characterSet="windows-1252"/>
    <w:family w:val="roman"/>
    <w:pitch w:val="variable"/>
  </w:font>
  <w:font w:name="Segoe UI">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36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4"/>
      <w:numFmt w:val="bullet"/>
      <w:lvlText w:val="-"/>
      <w:lvlJc w:val="start"/>
      <w:pPr>
        <w:tabs>
          <w:tab w:val="num" w:pos="0"/>
        </w:tabs>
        <w:ind w:start="720" w:hanging="360"/>
      </w:pPr>
      <w:rPr>
        <w:rFonts w:ascii="Segoe UI" w:hAnsi="Segoe UI" w:cs="Segoe U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numFmt w:val="bullet"/>
      <w:lvlText w:val="-"/>
      <w:lvlJc w:val="start"/>
      <w:pPr>
        <w:tabs>
          <w:tab w:val="num" w:pos="0"/>
        </w:tabs>
        <w:ind w:start="720" w:hanging="360"/>
      </w:pPr>
      <w:rPr>
        <w:rFonts w:ascii="Segoe UI" w:hAnsi="Segoe UI" w:cs="Segoe U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numFmt w:val="bullet"/>
      <w:lvlText w:val="-"/>
      <w:lvlJc w:val="start"/>
      <w:pPr>
        <w:tabs>
          <w:tab w:val="num" w:pos="0"/>
        </w:tabs>
        <w:ind w:start="720" w:hanging="360"/>
      </w:pPr>
      <w:rPr>
        <w:rFonts w:ascii="Segoe UI" w:hAnsi="Segoe UI" w:cs="Segoe U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numFmt w:val="bullet"/>
      <w:lvlText w:val="-"/>
      <w:lvlJc w:val="start"/>
      <w:pPr>
        <w:tabs>
          <w:tab w:val="num" w:pos="0"/>
        </w:tabs>
        <w:ind w:start="720" w:hanging="360"/>
      </w:pPr>
      <w:rPr>
        <w:rFonts w:ascii="Segoe UI" w:hAnsi="Segoe UI" w:cs="Segoe U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numFmt w:val="bullet"/>
      <w:lvlText w:val="-"/>
      <w:lvlJc w:val="start"/>
      <w:pPr>
        <w:tabs>
          <w:tab w:val="num" w:pos="0"/>
        </w:tabs>
        <w:ind w:start="720" w:hanging="360"/>
      </w:pPr>
      <w:rPr>
        <w:rFonts w:ascii="Segoe UI" w:hAnsi="Segoe UI" w:cs="Segoe U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19"/>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40"/>
      <w:jc w:val="start"/>
    </w:pPr>
    <w:rPr>
      <w:rFonts w:ascii="Calibri" w:hAnsi="Calibri" w:eastAsia="Calibri" w:cs="" w:cstheme="minorBidi" w:eastAsiaTheme="minorHAnsi"/>
      <w:color w:val="000000"/>
      <w:kern w:val="2"/>
      <w:sz w:val="22"/>
      <w:szCs w:val="24"/>
      <w:lang w:val="en-US" w:eastAsia="en-US" w:bidi="ar-SA"/>
      <w14:ligatures w14:val="standardContextual"/>
    </w:rPr>
  </w:style>
  <w:style w:type="paragraph" w:styleId="Heading1">
    <w:name w:val="heading 1"/>
    <w:basedOn w:val="Normal"/>
    <w:next w:val="Normal"/>
    <w:link w:val="Heading1Char"/>
    <w:uiPriority w:val="9"/>
    <w:qFormat/>
    <w:rsid w:val="000f24a0"/>
    <w:pPr>
      <w:keepNext w:val="true"/>
      <w:keepLines/>
      <w:pageBreakBefore w:val="false"/>
      <w:spacing w:before="300" w:after="120"/>
      <w:outlineLvl w:val="0"/>
    </w:pPr>
    <w:rPr>
      <w:rFonts w:ascii="Calibri" w:hAnsi="Calibri" w:eastAsia="" w:cs="" w:cstheme="majorBidi" w:eastAsiaTheme="majorEastAsia"/>
      <w:b/>
      <w:color w:val="000000"/>
      <w:sz w:val="34"/>
      <w:szCs w:val="40"/>
    </w:rPr>
  </w:style>
  <w:style w:type="paragraph" w:styleId="Heading2">
    <w:name w:val="heading 2"/>
    <w:basedOn w:val="Normal"/>
    <w:next w:val="Normal"/>
    <w:link w:val="Heading2Char"/>
    <w:uiPriority w:val="9"/>
    <w:unhideWhenUsed/>
    <w:qFormat/>
    <w:rsid w:val="000f24a0"/>
    <w:pPr>
      <w:keepNext w:val="true"/>
      <w:keepLines/>
      <w:pageBreakBefore w:val="false"/>
      <w:spacing w:before="300" w:after="120"/>
      <w:outlineLvl w:val="1"/>
    </w:pPr>
    <w:rPr>
      <w:rFonts w:ascii="Calibri" w:hAnsi="Calibri" w:eastAsia="" w:cs="" w:cstheme="majorBidi" w:eastAsiaTheme="majorEastAsia"/>
      <w:b/>
      <w:color w:val="000000"/>
      <w:sz w:val="26"/>
      <w:szCs w:val="32"/>
    </w:rPr>
  </w:style>
  <w:style w:type="paragraph" w:styleId="Heading3">
    <w:name w:val="heading 3"/>
    <w:basedOn w:val="Normal"/>
    <w:next w:val="Normal"/>
    <w:link w:val="Heading3Char"/>
    <w:uiPriority w:val="9"/>
    <w:unhideWhenUsed/>
    <w:qFormat/>
    <w:rsid w:val="000f24a0"/>
    <w:pPr>
      <w:keepNext w:val="true"/>
      <w:keepLines/>
      <w:pageBreakBefore w:val="false"/>
      <w:spacing w:before="300" w:after="120"/>
      <w:outlineLvl w:val="2"/>
    </w:pPr>
    <w:rPr>
      <w:rFonts w:ascii="Calibri" w:hAnsi="Calibri" w:eastAsia="" w:cs="" w:cstheme="majorBidi" w:eastAsiaTheme="majorEastAsia"/>
      <w:b/>
      <w:color w:val="000000"/>
      <w:sz w:val="22"/>
      <w:szCs w:val="28"/>
    </w:rPr>
  </w:style>
  <w:style w:type="paragraph" w:styleId="Heading4">
    <w:name w:val="heading 4"/>
    <w:basedOn w:val="Normal"/>
    <w:next w:val="Normal"/>
    <w:link w:val="Heading4Char"/>
    <w:uiPriority w:val="9"/>
    <w:semiHidden/>
    <w:unhideWhenUsed/>
    <w:qFormat/>
    <w:rsid w:val="000f24a0"/>
    <w:pPr>
      <w:keepNext w:val="true"/>
      <w:keepLines/>
      <w:spacing w:before="80" w:after="40"/>
      <w:outlineLvl w:val="3"/>
    </w:pPr>
    <w:rPr>
      <w:rFonts w:ascii="Calibri" w:hAnsi="Calibri" w:eastAsia="" w:cs="" w:cstheme="majorBidi" w:eastAsiaTheme="majorEastAsia"/>
      <w:i/>
      <w:iCs/>
      <w:color w:val="000000"/>
    </w:rPr>
  </w:style>
  <w:style w:type="paragraph" w:styleId="Heading5">
    <w:name w:val="heading 5"/>
    <w:basedOn w:val="Normal"/>
    <w:next w:val="Normal"/>
    <w:link w:val="Heading5Char"/>
    <w:uiPriority w:val="9"/>
    <w:semiHidden/>
    <w:unhideWhenUsed/>
    <w:qFormat/>
    <w:rsid w:val="000f24a0"/>
    <w:pPr>
      <w:keepNext w:val="true"/>
      <w:keepLines/>
      <w:spacing w:before="80" w:after="40"/>
      <w:outlineLvl w:val="4"/>
    </w:pPr>
    <w:rPr>
      <w:rFonts w:ascii="Calibri" w:hAnsi="Calibri" w:eastAsia="" w:cs="" w:cstheme="majorBidi" w:eastAsiaTheme="majorEastAsia"/>
      <w:color w:val="000000"/>
    </w:rPr>
  </w:style>
  <w:style w:type="paragraph" w:styleId="Heading6">
    <w:name w:val="heading 6"/>
    <w:basedOn w:val="Normal"/>
    <w:next w:val="Normal"/>
    <w:link w:val="Heading6Char"/>
    <w:uiPriority w:val="9"/>
    <w:semiHidden/>
    <w:unhideWhenUsed/>
    <w:qFormat/>
    <w:rsid w:val="000f24a0"/>
    <w:pPr>
      <w:keepNext w:val="true"/>
      <w:keepLines/>
      <w:spacing w:before="40" w:after="0"/>
      <w:outlineLvl w:val="5"/>
    </w:pPr>
    <w:rPr>
      <w:rFonts w:ascii="Calibri" w:hAnsi="Calibri" w:eastAsia="" w:cs="" w:cstheme="majorBidi" w:eastAsiaTheme="majorEastAsia"/>
      <w:i/>
      <w:iCs/>
      <w:color w:val="000000"/>
    </w:rPr>
  </w:style>
  <w:style w:type="paragraph" w:styleId="Heading7">
    <w:name w:val="heading 7"/>
    <w:basedOn w:val="Normal"/>
    <w:next w:val="Normal"/>
    <w:link w:val="Heading7Char"/>
    <w:uiPriority w:val="9"/>
    <w:semiHidden/>
    <w:unhideWhenUsed/>
    <w:qFormat/>
    <w:rsid w:val="000f24a0"/>
    <w:pPr>
      <w:keepNext w:val="true"/>
      <w:keepLines/>
      <w:spacing w:before="40" w:after="0"/>
      <w:outlineLvl w:val="6"/>
    </w:pPr>
    <w:rPr>
      <w:rFonts w:ascii="Calibri" w:hAnsi="Calibri" w:eastAsia="" w:cs="" w:cstheme="majorBidi" w:eastAsiaTheme="majorEastAsia"/>
      <w:color w:val="000000"/>
    </w:rPr>
  </w:style>
  <w:style w:type="paragraph" w:styleId="Heading8">
    <w:name w:val="heading 8"/>
    <w:basedOn w:val="Normal"/>
    <w:next w:val="Normal"/>
    <w:link w:val="Heading8Char"/>
    <w:uiPriority w:val="9"/>
    <w:semiHidden/>
    <w:unhideWhenUsed/>
    <w:qFormat/>
    <w:rsid w:val="000f24a0"/>
    <w:pPr>
      <w:keepNext w:val="true"/>
      <w:keepLines/>
      <w:spacing w:before="0" w:after="0"/>
      <w:outlineLvl w:val="7"/>
    </w:pPr>
    <w:rPr>
      <w:rFonts w:ascii="Calibri" w:hAnsi="Calibri" w:eastAsia="" w:cs="" w:cstheme="majorBidi" w:eastAsiaTheme="majorEastAsia"/>
      <w:i/>
      <w:iCs/>
      <w:color w:val="000000"/>
    </w:rPr>
  </w:style>
  <w:style w:type="paragraph" w:styleId="Heading9">
    <w:name w:val="heading 9"/>
    <w:basedOn w:val="Normal"/>
    <w:next w:val="Normal"/>
    <w:link w:val="Heading9Char"/>
    <w:uiPriority w:val="9"/>
    <w:semiHidden/>
    <w:unhideWhenUsed/>
    <w:qFormat/>
    <w:rsid w:val="000f24a0"/>
    <w:pPr>
      <w:keepNext w:val="true"/>
      <w:keepLines/>
      <w:spacing w:before="0" w:after="0"/>
      <w:outlineLvl w:val="8"/>
    </w:pPr>
    <w:rPr>
      <w:rFonts w:ascii="Calibri" w:hAnsi="Calibri" w:eastAsia="" w:cs="" w:cstheme="majorBidi" w:eastAsiaTheme="majorEastAsia"/>
      <w:color w:val="00000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f24a0"/>
    <w:rPr>
      <w:rFonts w:ascii="Cambria" w:hAnsi="Cambria" w:eastAsia="" w:cs="" w:cstheme="majorBidi" w:eastAsiaTheme="majorEastAsia"/>
      <w:b/>
      <w:color w:val="7D7D7D"/>
      <w:sz w:val="36"/>
      <w:szCs w:val="40"/>
    </w:rPr>
  </w:style>
  <w:style w:type="character" w:styleId="Heading2Char" w:customStyle="1">
    <w:name w:val="Heading 2 Char"/>
    <w:basedOn w:val="DefaultParagraphFont"/>
    <w:link w:val="Heading2"/>
    <w:uiPriority w:val="9"/>
    <w:qFormat/>
    <w:rsid w:val="000f24a0"/>
    <w:rPr>
      <w:rFonts w:ascii="Cambria" w:hAnsi="Cambria" w:eastAsia="" w:cs="" w:cstheme="majorBidi" w:eastAsiaTheme="majorEastAsia"/>
      <w:b/>
      <w:color w:themeColor="accent1" w:themeShade="bf" w:val="2F5496"/>
      <w:sz w:val="27"/>
      <w:szCs w:val="32"/>
    </w:rPr>
  </w:style>
  <w:style w:type="character" w:styleId="Heading3Char" w:customStyle="1">
    <w:name w:val="Heading 3 Char"/>
    <w:basedOn w:val="DefaultParagraphFont"/>
    <w:link w:val="Heading3"/>
    <w:uiPriority w:val="9"/>
    <w:qFormat/>
    <w:rsid w:val="000f24a0"/>
    <w:rPr>
      <w:rFonts w:ascii="Segoe UI" w:hAnsi="Segoe UI" w:eastAsia="" w:cs="" w:cstheme="majorBidi" w:eastAsiaTheme="majorEastAsia"/>
      <w:b/>
      <w:color w:themeColor="accent1" w:themeShade="bf" w:val="2F5496"/>
      <w:sz w:val="22"/>
      <w:szCs w:val="28"/>
    </w:rPr>
  </w:style>
  <w:style w:type="character" w:styleId="Heading4Char" w:customStyle="1">
    <w:name w:val="Heading 4 Char"/>
    <w:basedOn w:val="DefaultParagraphFont"/>
    <w:link w:val="Heading4"/>
    <w:uiPriority w:val="9"/>
    <w:semiHidden/>
    <w:qFormat/>
    <w:rsid w:val="000f24a0"/>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0f24a0"/>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0f24a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f24a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f24a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f24a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f24a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f24a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f24a0"/>
    <w:rPr>
      <w:i/>
      <w:iCs/>
      <w:color w:themeColor="text1" w:themeTint="bf" w:val="404040"/>
    </w:rPr>
  </w:style>
  <w:style w:type="character" w:styleId="IntenseEmphasis">
    <w:name w:val="Intense Emphasis"/>
    <w:basedOn w:val="DefaultParagraphFont"/>
    <w:uiPriority w:val="21"/>
    <w:qFormat/>
    <w:rsid w:val="000f24a0"/>
    <w:rPr>
      <w:i/>
      <w:iCs/>
      <w:color w:themeColor="accent1" w:themeShade="bf" w:val="2F5496"/>
    </w:rPr>
  </w:style>
  <w:style w:type="character" w:styleId="IntenseQuoteChar" w:customStyle="1">
    <w:name w:val="Intense Quote Char"/>
    <w:basedOn w:val="DefaultParagraphFont"/>
    <w:link w:val="IntenseQuote"/>
    <w:uiPriority w:val="30"/>
    <w:qFormat/>
    <w:rsid w:val="000f24a0"/>
    <w:rPr>
      <w:i/>
      <w:iCs/>
      <w:color w:themeColor="accent1" w:themeShade="bf" w:val="2F5496"/>
    </w:rPr>
  </w:style>
  <w:style w:type="character" w:styleId="IntenseReference">
    <w:name w:val="Intense Reference"/>
    <w:basedOn w:val="DefaultParagraphFont"/>
    <w:uiPriority w:val="32"/>
    <w:qFormat/>
    <w:rsid w:val="000f24a0"/>
    <w:rPr>
      <w:b/>
      <w:bCs/>
      <w:smallCaps/>
      <w:color w:themeColor="accent1" w:themeShade="bf" w:val="2F5496"/>
      <w:spacing w:val="5"/>
    </w:rPr>
  </w:style>
  <w:style w:type="character" w:styleId="Hyperlink">
    <w:name w:val="Hyperlink"/>
    <w:basedOn w:val="DefaultParagraphFont"/>
    <w:uiPriority w:val="99"/>
    <w:unhideWhenUsed/>
    <w:rsid w:val="0067013a"/>
    <w:rPr>
      <w:color w:themeColor="hyperlink" w:val="0563C1"/>
      <w:u w:val="single"/>
    </w:rPr>
  </w:style>
  <w:style w:type="character" w:styleId="HeaderChar" w:customStyle="1">
    <w:name w:val="Header Char"/>
    <w:basedOn w:val="DefaultParagraphFont"/>
    <w:link w:val="Header"/>
    <w:uiPriority w:val="99"/>
    <w:qFormat/>
    <w:rsid w:val="006a347e"/>
    <w:rPr>
      <w:rFonts w:ascii="Segoe UI" w:hAnsi="Segoe UI"/>
      <w:sz w:val="21"/>
    </w:rPr>
  </w:style>
  <w:style w:type="character" w:styleId="FooterChar" w:customStyle="1">
    <w:name w:val="Footer Char"/>
    <w:basedOn w:val="DefaultParagraphFont"/>
    <w:link w:val="Footer"/>
    <w:uiPriority w:val="99"/>
    <w:qFormat/>
    <w:rsid w:val="006a347e"/>
    <w:rPr>
      <w:rFonts w:ascii="Segoe UI" w:hAnsi="Segoe UI"/>
      <w:sz w:val="21"/>
    </w:rPr>
  </w:style>
  <w:style w:type="character" w:styleId="UnresolvedMention">
    <w:name w:val="Unresolved Mention"/>
    <w:basedOn w:val="DefaultParagraphFont"/>
    <w:uiPriority w:val="99"/>
    <w:semiHidden/>
    <w:unhideWhenUsed/>
    <w:qFormat/>
    <w:rsid w:val="00900d4c"/>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pPr>
      <w:spacing w:lineRule="auto" w:line="276" w:before="0" w:after="140"/>
    </w:pPr>
    <w:rPr>
      <w:rFonts w:ascii="Calibri" w:hAnsi="Calibri"/>
      <w:color w:val="000000"/>
    </w:rPr>
  </w:style>
  <w:style w:type="paragraph" w:styleId="List">
    <w:name w:val="List"/>
    <w:basedOn w:val="BodyText"/>
    <w:pPr/>
    <w:rPr>
      <w:rFonts w:ascii="Calibri" w:hAnsi="Calibri" w:cs="Lucida Sans"/>
      <w:color w:val="000000"/>
    </w:rPr>
  </w:style>
  <w:style w:type="paragraph" w:styleId="Caption">
    <w:name w:val="caption"/>
    <w:basedOn w:val="Normal"/>
    <w:qFormat/>
    <w:pPr>
      <w:suppressLineNumbers/>
      <w:spacing w:before="120" w:after="120"/>
    </w:pPr>
    <w:rPr>
      <w:rFonts w:ascii="Calibri" w:hAnsi="Calibri" w:cs="Lucida Sans"/>
      <w:i/>
      <w:iCs/>
      <w:color w:val="000000"/>
      <w:sz w:val="24"/>
      <w:szCs w:val="24"/>
    </w:rPr>
  </w:style>
  <w:style w:type="paragraph" w:styleId="Index">
    <w:name w:val="Index"/>
    <w:basedOn w:val="Normal"/>
    <w:qFormat/>
    <w:pPr>
      <w:suppressLineNumbers/>
    </w:pPr>
    <w:rPr>
      <w:rFonts w:ascii="Calibri" w:hAnsi="Calibri" w:cs="Lucida Sans"/>
      <w:color w:val="000000"/>
    </w:rPr>
  </w:style>
  <w:style w:type="paragraph" w:styleId="Title">
    <w:name w:val="Title"/>
    <w:basedOn w:val="Normal"/>
    <w:next w:val="Normal"/>
    <w:link w:val="TitleChar"/>
    <w:uiPriority w:val="10"/>
    <w:qFormat/>
    <w:rsid w:val="000f24a0"/>
    <w:pPr>
      <w:spacing w:lineRule="auto" w:line="240" w:before="0" w:after="80"/>
      <w:contextualSpacing/>
    </w:pPr>
    <w:rPr>
      <w:rFonts w:ascii="Calibri Light" w:hAnsi="Calibri Light" w:eastAsia="" w:cs="" w:asciiTheme="majorHAnsi" w:cstheme="majorBidi" w:eastAsiaTheme="majorEastAsia" w:hAnsiTheme="majorHAnsi"/>
      <w:b w:val="false"/>
      <w:color w:val="000000"/>
      <w:spacing w:val="-10"/>
      <w:kern w:val="2"/>
      <w:sz w:val="56"/>
      <w:szCs w:val="56"/>
    </w:rPr>
  </w:style>
  <w:style w:type="paragraph" w:styleId="Subtitle">
    <w:name w:val="Subtitle"/>
    <w:basedOn w:val="Normal"/>
    <w:next w:val="Normal"/>
    <w:link w:val="SubtitleChar"/>
    <w:uiPriority w:val="11"/>
    <w:qFormat/>
    <w:rsid w:val="000f24a0"/>
    <w:pPr/>
    <w:rPr>
      <w:rFonts w:ascii="Calibri" w:hAnsi="Calibri" w:eastAsia="" w:cs="" w:cstheme="majorBidi" w:eastAsiaTheme="majorEastAsia"/>
      <w:color w:val="000000"/>
      <w:spacing w:val="15"/>
      <w:sz w:val="28"/>
      <w:szCs w:val="28"/>
    </w:rPr>
  </w:style>
  <w:style w:type="paragraph" w:styleId="Quote">
    <w:name w:val="Quote"/>
    <w:basedOn w:val="Normal"/>
    <w:next w:val="Normal"/>
    <w:link w:val="QuoteChar"/>
    <w:uiPriority w:val="29"/>
    <w:qFormat/>
    <w:rsid w:val="000f24a0"/>
    <w:pPr>
      <w:spacing w:before="160" w:after="160"/>
      <w:jc w:val="center"/>
    </w:pPr>
    <w:rPr>
      <w:rFonts w:ascii="Calibri" w:hAnsi="Calibri"/>
      <w:i/>
      <w:iCs/>
      <w:color w:val="000000"/>
    </w:rPr>
  </w:style>
  <w:style w:type="paragraph" w:styleId="ListParagraph">
    <w:name w:val="List Paragraph"/>
    <w:basedOn w:val="Normal"/>
    <w:qFormat/>
    <w:rsid w:val="000f24a0"/>
    <w:pPr>
      <w:spacing w:before="0" w:after="160"/>
      <w:ind w:start="720"/>
      <w:contextualSpacing/>
    </w:pPr>
    <w:rPr>
      <w:rFonts w:ascii="Calibri" w:hAnsi="Calibri"/>
      <w:color w:val="000000"/>
    </w:rPr>
  </w:style>
  <w:style w:type="paragraph" w:styleId="IntenseQuote">
    <w:name w:val="Intense Quote"/>
    <w:basedOn w:val="Normal"/>
    <w:next w:val="Normal"/>
    <w:link w:val="IntenseQuoteChar"/>
    <w:uiPriority w:val="30"/>
    <w:qFormat/>
    <w:rsid w:val="000f24a0"/>
    <w:pPr>
      <w:spacing w:before="360" w:after="360"/>
      <w:ind w:start="864" w:end="864"/>
      <w:jc w:val="center"/>
    </w:pPr>
    <w:rPr>
      <w:rFonts w:ascii="Calibri" w:hAnsi="Calibri"/>
      <w:i/>
      <w:iCs/>
      <w:color w:val="000000"/>
    </w:rPr>
  </w:style>
  <w:style w:type="paragraph" w:styleId="TOC1" w:customStyle="1">
    <w:name w:val="toc 1"/>
    <w:next w:val="Normal"/>
    <w:autoRedefine/>
    <w:pPr>
      <w:widowControl/>
      <w:tabs>
        <w:tab w:val="clear" w:pos="720"/>
        <w:tab w:val="right" w:pos="10224" w:leader="dot"/>
      </w:tabs>
      <w:suppressAutoHyphens w:val="true"/>
      <w:bidi w:val="0"/>
      <w:spacing w:before="0" w:after="79"/>
      <w:ind w:start="0" w:end="0"/>
      <w:jc w:val="start"/>
    </w:pPr>
    <w:rPr>
      <w:rFonts w:ascii="Calibri" w:hAnsi="Calibri" w:eastAsia="Calibri" w:cs=""/>
      <w:color w:val="000000"/>
      <w:kern w:val="2"/>
      <w:sz w:val="22"/>
      <w:szCs w:val="24"/>
      <w:lang w:val="en-US" w:eastAsia="en-US" w:bidi="ar-SA"/>
    </w:rPr>
  </w:style>
  <w:style w:type="paragraph" w:styleId="TOC2" w:customStyle="1">
    <w:name w:val="toc 2"/>
    <w:next w:val="Normal"/>
    <w:autoRedefine/>
    <w:pPr>
      <w:widowControl/>
      <w:tabs>
        <w:tab w:val="clear" w:pos="720"/>
        <w:tab w:val="right" w:pos="10224" w:leader="dot"/>
      </w:tabs>
      <w:suppressAutoHyphens w:val="true"/>
      <w:bidi w:val="0"/>
      <w:spacing w:before="0" w:after="79"/>
      <w:ind w:start="227" w:end="0"/>
      <w:jc w:val="start"/>
    </w:pPr>
    <w:rPr>
      <w:rFonts w:ascii="Calibri" w:hAnsi="Calibri" w:eastAsia="Calibri" w:cs=""/>
      <w:color w:val="000000"/>
      <w:kern w:val="2"/>
      <w:sz w:val="22"/>
      <w:szCs w:val="24"/>
      <w:lang w:val="en-US" w:eastAsia="en-US" w:bidi="ar-SA"/>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unhideWhenUsed/>
    <w:qFormat/>
    <w:rsid w:val="0067013a"/>
    <w:pPr>
      <w:spacing w:lineRule="auto" w:line="259" w:before="240" w:after="0"/>
      <w:outlineLvl w:val="9"/>
    </w:pPr>
    <w:rPr>
      <w:rFonts w:ascii="Calibri Light" w:hAnsi="Calibri Light" w:asciiTheme="majorHAnsi" w:hAnsiTheme="majorHAnsi"/>
      <w:b w:val="false"/>
      <w:color w:val="000000"/>
      <w:kern w:val="0"/>
      <w:sz w:val="32"/>
      <w:szCs w:val="32"/>
      <w14:ligatures w14:val="none"/>
    </w:rPr>
  </w:style>
  <w:style w:type="paragraph" w:styleId="TOC3" w:customStyle="1">
    <w:name w:val="toc 3"/>
    <w:next w:val="Normal"/>
    <w:autoRedefine/>
    <w:pPr>
      <w:widowControl/>
      <w:tabs>
        <w:tab w:val="clear" w:pos="720"/>
        <w:tab w:val="right" w:pos="10224" w:leader="dot"/>
      </w:tabs>
      <w:suppressAutoHyphens w:val="true"/>
      <w:bidi w:val="0"/>
      <w:spacing w:before="0" w:after="100"/>
      <w:jc w:val="start"/>
    </w:pPr>
    <w:rPr>
      <w:rFonts w:ascii="Calibri" w:hAnsi="Calibri" w:eastAsia="Calibri" w:cs=""/>
      <w:color w:val="000000"/>
      <w:kern w:val="2"/>
      <w:sz w:val="22"/>
      <w:szCs w:val="24"/>
      <w:lang w:val="en-US" w:eastAsia="en-US" w:bidi="ar-SA"/>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6a347e"/>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6a347e"/>
    <w:pPr>
      <w:tabs>
        <w:tab w:val="clear" w:pos="720"/>
        <w:tab w:val="center" w:pos="4680" w:leader="none"/>
        <w:tab w:val="right" w:pos="9360" w:leader="none"/>
      </w:tabs>
      <w:spacing w:lineRule="auto" w:line="240" w:before="0" w:after="0"/>
    </w:pPr>
    <w:rPr>
      <w:rFonts w:ascii="Calibri" w:hAnsi="Calibri"/>
      <w:color w:val="000000"/>
    </w:rPr>
  </w:style>
  <w:style w:type="paragraph" w:styleId="TOC4">
    <w:name w:val="toc 4"/>
    <w:basedOn w:val="Normal"/>
    <w:next w:val="Normal"/>
    <w:autoRedefine/>
    <w:uiPriority w:val="39"/>
    <w:unhideWhenUsed/>
    <w:rsid w:val="00900d4c"/>
    <w:pPr>
      <w:spacing w:lineRule="auto" w:line="278" w:before="0" w:after="100"/>
      <w:ind w:start="720"/>
    </w:pPr>
    <w:rPr>
      <w:rFonts w:ascii="Calibri" w:hAnsi="Calibri" w:eastAsia="" w:asciiTheme="minorHAnsi" w:eastAsiaTheme="minorEastAsia" w:hAnsiTheme="minorHAnsi"/>
      <w:color w:val="000000"/>
      <w:sz w:val="24"/>
    </w:rPr>
  </w:style>
  <w:style w:type="paragraph" w:styleId="TOC5">
    <w:name w:val="toc 5"/>
    <w:basedOn w:val="Normal"/>
    <w:next w:val="Normal"/>
    <w:autoRedefine/>
    <w:uiPriority w:val="39"/>
    <w:unhideWhenUsed/>
    <w:rsid w:val="00900d4c"/>
    <w:pPr>
      <w:spacing w:lineRule="auto" w:line="278" w:before="0" w:after="100"/>
      <w:ind w:start="960"/>
    </w:pPr>
    <w:rPr>
      <w:rFonts w:ascii="Calibri" w:hAnsi="Calibri" w:eastAsia="" w:asciiTheme="minorHAnsi" w:eastAsiaTheme="minorEastAsia" w:hAnsiTheme="minorHAnsi"/>
      <w:color w:val="000000"/>
      <w:sz w:val="24"/>
    </w:rPr>
  </w:style>
  <w:style w:type="paragraph" w:styleId="TOC6">
    <w:name w:val="toc 6"/>
    <w:basedOn w:val="Normal"/>
    <w:next w:val="Normal"/>
    <w:autoRedefine/>
    <w:uiPriority w:val="39"/>
    <w:unhideWhenUsed/>
    <w:rsid w:val="00900d4c"/>
    <w:pPr>
      <w:spacing w:lineRule="auto" w:line="278" w:before="0" w:after="100"/>
      <w:ind w:start="1200"/>
    </w:pPr>
    <w:rPr>
      <w:rFonts w:ascii="Calibri" w:hAnsi="Calibri" w:eastAsia="" w:asciiTheme="minorHAnsi" w:eastAsiaTheme="minorEastAsia" w:hAnsiTheme="minorHAnsi"/>
      <w:color w:val="000000"/>
      <w:sz w:val="24"/>
    </w:rPr>
  </w:style>
  <w:style w:type="paragraph" w:styleId="TOC7">
    <w:name w:val="toc 7"/>
    <w:basedOn w:val="Normal"/>
    <w:next w:val="Normal"/>
    <w:autoRedefine/>
    <w:uiPriority w:val="39"/>
    <w:unhideWhenUsed/>
    <w:rsid w:val="00900d4c"/>
    <w:pPr>
      <w:spacing w:lineRule="auto" w:line="278" w:before="0" w:after="100"/>
      <w:ind w:start="1440"/>
    </w:pPr>
    <w:rPr>
      <w:rFonts w:ascii="Calibri" w:hAnsi="Calibri" w:eastAsia="" w:asciiTheme="minorHAnsi" w:eastAsiaTheme="minorEastAsia" w:hAnsiTheme="minorHAnsi"/>
      <w:color w:val="000000"/>
      <w:sz w:val="24"/>
    </w:rPr>
  </w:style>
  <w:style w:type="paragraph" w:styleId="TOC8">
    <w:name w:val="toc 8"/>
    <w:basedOn w:val="Normal"/>
    <w:next w:val="Normal"/>
    <w:autoRedefine/>
    <w:uiPriority w:val="39"/>
    <w:unhideWhenUsed/>
    <w:rsid w:val="00900d4c"/>
    <w:pPr>
      <w:spacing w:lineRule="auto" w:line="278" w:before="0" w:after="100"/>
      <w:ind w:start="1680"/>
    </w:pPr>
    <w:rPr>
      <w:rFonts w:ascii="Calibri" w:hAnsi="Calibri" w:eastAsia="" w:asciiTheme="minorHAnsi" w:eastAsiaTheme="minorEastAsia" w:hAnsiTheme="minorHAnsi"/>
      <w:color w:val="000000"/>
      <w:sz w:val="24"/>
    </w:rPr>
  </w:style>
  <w:style w:type="paragraph" w:styleId="TOC9">
    <w:name w:val="toc 9"/>
    <w:basedOn w:val="Normal"/>
    <w:next w:val="Normal"/>
    <w:autoRedefine/>
    <w:uiPriority w:val="39"/>
    <w:unhideWhenUsed/>
    <w:rsid w:val="00900d4c"/>
    <w:pPr>
      <w:spacing w:lineRule="auto" w:line="278" w:before="0" w:after="100"/>
      <w:ind w:start="1920"/>
    </w:pPr>
    <w:rPr>
      <w:rFonts w:ascii="Calibri" w:hAnsi="Calibri" w:eastAsia="" w:asciiTheme="minorHAnsi" w:eastAsiaTheme="minorEastAsia" w:hAnsiTheme="minorHAnsi"/>
      <w:color w:val="000000"/>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f24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E0EBD-C2C0-47D7-8F91-F24B39EC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Application>LibreOffice/26.2.5.2$Windows_X86_64 LibreOffice_project/cd7284b4cbbfeb507e630c1aac019f4157393acb</Application>
  <AppVersion>15.0000</AppVersion>
  <Pages>36</Pages>
  <Words>10925</Words>
  <Characters>70899</Characters>
  <CharactersWithSpaces>80798</CharactersWithSpaces>
  <Paragraphs>977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2026-03-30T14:24:00Z</dcterms:created>
  <dc:creator>VCL2FMXConverter</dc:creator>
  <dc:description/>
  <dc:language>en-US</dc:language>
  <cp:lastModifiedBy/>
  <dcterms:modified xsi:type="dcterms:W3CDTF">2026-10-18T18:27:37Z</dcterms:modified>
  <cp:revision>80</cp:revision>
  <dc:subject/>
  <dc:title>VCL2FMXConverter v7.0 Atlas Engineering Guide</dc:title>
</cp:coreProperties>
</file>

<file path=docProps/custom.xml><?xml version="1.0" encoding="utf-8"?>
<Properties xmlns="http://schemas.openxmlformats.org/officeDocument/2006/custom-properties" xmlns:vt="http://schemas.openxmlformats.org/officeDocument/2006/docPropsVTypes"/>
</file>