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before="1600" w:after="440"/>
        <w:rPr/>
      </w:pPr>
      <w:r>
        <w:rPr>
          <w:color w:val="000000"/>
          <w:sz w:val="34"/>
        </w:rPr>
        <w:t>VCL2FMXConverter v7.0 Atlas</w:t>
      </w:r>
    </w:p>
    <w:p>
      <w:pPr>
        <w:pStyle w:val="Title"/>
        <w:keepNext w:val="false"/>
        <w:spacing w:before="0" w:after="560"/>
        <w:contextualSpacing/>
        <w:rPr/>
      </w:pPr>
      <w:r>
        <w:rPr>
          <w:b w:val="false"/>
          <w:color w:val="000000"/>
          <w:sz w:val="60"/>
        </w:rPr>
        <w:t>Rules and Mapping Reference</w:t>
      </w:r>
    </w:p>
    <w:p>
      <w:pPr>
        <w:pStyle w:val="Normal"/>
        <w:keepNext w:val="false"/>
        <w:spacing w:before="0" w:after="400"/>
        <w:rPr/>
      </w:pPr>
      <w:r>
        <w:rPr>
          <w:color w:val="000000"/>
          <w:sz w:val="28"/>
        </w:rPr>
        <w:t>Conversion rules, component mappings, properties and events</w:t>
      </w:r>
    </w:p>
    <w:p>
      <w:pPr>
        <w:pStyle w:val="Normal"/>
        <w:keepNext w:val="false"/>
        <w:spacing w:before="1700" w:after="240"/>
        <w:rPr/>
      </w:pPr>
      <w:r>
        <w:rPr>
          <w:color w:val="000000"/>
          <w:sz w:val="22"/>
        </w:rPr>
        <w:t>Delphi VCL to FireMonkey conversion</w:t>
      </w:r>
    </w:p>
    <w:p>
      <w:pPr>
        <w:pStyle w:val="Normal"/>
        <w:keepNext w:val="false"/>
        <w:spacing w:before="0" w:after="120"/>
        <w:rPr/>
      </w:pPr>
      <w:r>
        <w:rPr>
          <w:color w:val="000000"/>
          <w:sz w:val="22"/>
        </w:rPr>
        <w:t>Last changed October 18, 2026</w:t>
      </w:r>
    </w:p>
    <w:p>
      <w:pPr>
        <w:pStyle w:val="Normal"/>
        <w:keepNext w:val="false"/>
        <w:spacing w:before="0" w:after="160"/>
        <w:rPr/>
      </w:pPr>
      <w:r>
        <w:rPr>
          <w:color w:val="000000"/>
          <w:sz w:val="22"/>
        </w:rPr>
        <w:t>V7 Atlas documentation</w:t>
      </w:r>
      <w:r>
        <w:br w:type="page"/>
      </w:r>
    </w:p>
    <w:p>
      <w:pPr>
        <w:pStyle w:val="Title"/>
        <w:keepNext w:val="false"/>
        <w:spacing w:before="0" w:after="160"/>
        <w:contextualSpacing/>
        <w:rPr/>
      </w:pPr>
      <w:r>
        <w:rPr>
          <w:b w:val="false"/>
          <w:color w:val="000000"/>
          <w:sz w:val="44"/>
        </w:rPr>
        <w:t>Contents</w:t>
      </w:r>
    </w:p>
    <w:sdt>
      <w:sdtPr>
        <w:docPartObj>
          <w:docPartGallery w:val="Table of Contents"/>
          <w:docPartUnique w:val="true"/>
        </w:docPartObj>
      </w:sdtPr>
      <w:sdtContent>
        <w:p>
          <w:pPr>
            <w:pStyle w:val="TOC1"/>
            <w:tabs>
              <w:tab w:val="clear" w:pos="10224"/>
              <w:tab w:val="right" w:pos="10223" w:leader="dot"/>
            </w:tabs>
            <w:rPr/>
          </w:pPr>
          <w:r>
            <w:fldChar w:fldCharType="begin"/>
          </w:r>
          <w:r>
            <w:rPr>
              <w:rStyle w:val="IndexLink"/>
            </w:rPr>
            <w:instrText xml:space="preserve"> TOC \o "1-2" \h</w:instrText>
          </w:r>
          <w:r>
            <w:rPr>
              <w:rStyle w:val="IndexLink"/>
            </w:rPr>
            <w:fldChar w:fldCharType="separate"/>
          </w:r>
          <w:hyperlink w:anchor="__RefHeading___Toc24251_239329132" w:tooltip="Purpose">
            <w:r>
              <w:rPr>
                <w:rStyle w:val="IndexLink"/>
              </w:rPr>
              <w:t>Purpose</w:t>
              <w:tab/>
              <w:t>3</w:t>
            </w:r>
          </w:hyperlink>
        </w:p>
        <w:p>
          <w:pPr>
            <w:pStyle w:val="TOC1"/>
            <w:tabs>
              <w:tab w:val="clear" w:pos="10224"/>
              <w:tab w:val="right" w:pos="10223" w:leader="dot"/>
            </w:tabs>
            <w:rPr/>
          </w:pPr>
          <w:hyperlink w:anchor="__RefHeading___Toc24253_239329132" w:tooltip="v7.0 Rule Families">
            <w:r>
              <w:rPr>
                <w:rStyle w:val="IndexLink"/>
              </w:rPr>
              <w:t>v7.0 Rule Families</w:t>
              <w:tab/>
              <w:t>3</w:t>
            </w:r>
          </w:hyperlink>
        </w:p>
        <w:p>
          <w:pPr>
            <w:pStyle w:val="TOC1"/>
            <w:tabs>
              <w:tab w:val="clear" w:pos="10224"/>
              <w:tab w:val="right" w:pos="10223" w:leader="dot"/>
            </w:tabs>
            <w:rPr/>
          </w:pPr>
          <w:hyperlink w:anchor="__RefHeading___Toc24255_239329132" w:tooltip="Contract Areas">
            <w:r>
              <w:rPr>
                <w:rStyle w:val="IndexLink"/>
              </w:rPr>
              <w:t>Contract Areas</w:t>
              <w:tab/>
              <w:t>4</w:t>
            </w:r>
          </w:hyperlink>
        </w:p>
        <w:p>
          <w:pPr>
            <w:pStyle w:val="TOC1"/>
            <w:tabs>
              <w:tab w:val="clear" w:pos="10224"/>
              <w:tab w:val="right" w:pos="10223" w:leader="dot"/>
            </w:tabs>
            <w:rPr/>
          </w:pPr>
          <w:hyperlink w:anchor="__RefHeading___Toc24257_239329132" w:tooltip="Component Map Summary">
            <w:r>
              <w:rPr>
                <w:rStyle w:val="IndexLink"/>
              </w:rPr>
              <w:t>Component Map Summary</w:t>
              <w:tab/>
              <w:t>4</w:t>
            </w:r>
          </w:hyperlink>
        </w:p>
        <w:p>
          <w:pPr>
            <w:pStyle w:val="TOC1"/>
            <w:tabs>
              <w:tab w:val="clear" w:pos="10224"/>
              <w:tab w:val="right" w:pos="10223" w:leader="dot"/>
            </w:tabs>
            <w:rPr/>
          </w:pPr>
          <w:hyperlink w:anchor="__RefHeading___Toc24259_239329132" w:tooltip="Property Map">
            <w:r>
              <w:rPr>
                <w:rStyle w:val="IndexLink"/>
              </w:rPr>
              <w:t>Property Map</w:t>
              <w:tab/>
              <w:t>8</w:t>
            </w:r>
          </w:hyperlink>
        </w:p>
        <w:p>
          <w:pPr>
            <w:pStyle w:val="TOC1"/>
            <w:tabs>
              <w:tab w:val="clear" w:pos="10224"/>
              <w:tab w:val="right" w:pos="10223" w:leader="dot"/>
            </w:tabs>
            <w:rPr/>
          </w:pPr>
          <w:hyperlink w:anchor="__RefHeading___Toc24261_239329132" w:tooltip="Event Map">
            <w:r>
              <w:rPr>
                <w:rStyle w:val="IndexLink"/>
              </w:rPr>
              <w:t>Event Map</w:t>
              <w:tab/>
              <w:t>11</w:t>
            </w:r>
          </w:hyperlink>
        </w:p>
        <w:p>
          <w:pPr>
            <w:pStyle w:val="TOC1"/>
            <w:tabs>
              <w:tab w:val="clear" w:pos="10224"/>
              <w:tab w:val="right" w:pos="10223" w:leader="dot"/>
            </w:tabs>
            <w:rPr/>
          </w:pPr>
          <w:hyperlink w:anchor="__RefHeading___Toc24263_239329132" w:tooltip="Mapping-Pack Summary">
            <w:r>
              <w:rPr>
                <w:rStyle w:val="IndexLink"/>
              </w:rPr>
              <w:t>Mapping-Pack Summary</w:t>
              <w:tab/>
              <w:t>12</w:t>
            </w:r>
          </w:hyperlink>
        </w:p>
        <w:p>
          <w:pPr>
            <w:pStyle w:val="TOC1"/>
            <w:tabs>
              <w:tab w:val="clear" w:pos="10224"/>
              <w:tab w:val="right" w:pos="10223" w:leader="dot"/>
            </w:tabs>
            <w:rPr/>
          </w:pPr>
          <w:hyperlink w:anchor="__RefHeading___Toc24265_239329132" w:tooltip="Notes on Scope">
            <w:r>
              <w:rPr>
                <w:rStyle w:val="IndexLink"/>
              </w:rPr>
              <w:t>Notes on Scope</w:t>
              <w:tab/>
              <w:t>36</w:t>
            </w:r>
          </w:hyperlink>
        </w:p>
        <w:p>
          <w:pPr>
            <w:pStyle w:val="TOC1"/>
            <w:tabs>
              <w:tab w:val="clear" w:pos="10224"/>
              <w:tab w:val="right" w:pos="10223" w:leader="dot"/>
            </w:tabs>
            <w:rPr/>
          </w:pPr>
          <w:hyperlink w:anchor="__RefHeading___Toc24267_239329132" w:tooltip="V7 Atlas language support and operating safeguards">
            <w:r>
              <w:rPr>
                <w:rStyle w:val="IndexLink"/>
              </w:rPr>
              <w:t>V7 Atlas language support and operating safeguards</w:t>
              <w:tab/>
              <w:t>36</w:t>
            </w:r>
          </w:hyperlink>
        </w:p>
        <w:p>
          <w:pPr>
            <w:pStyle w:val="TOC2"/>
            <w:tabs>
              <w:tab w:val="clear" w:pos="10224"/>
              <w:tab w:val="right" w:pos="10223" w:leader="dot"/>
            </w:tabs>
            <w:rPr/>
          </w:pPr>
          <w:hyperlink w:anchor="__RefHeading___Toc24269_239329132" w:tooltip="Choosing a language">
            <w:r>
              <w:rPr>
                <w:rStyle w:val="IndexLink"/>
              </w:rPr>
              <w:t>Choosing a language</w:t>
              <w:tab/>
              <w:t>36</w:t>
            </w:r>
          </w:hyperlink>
        </w:p>
        <w:p>
          <w:pPr>
            <w:pStyle w:val="TOC2"/>
            <w:tabs>
              <w:tab w:val="clear" w:pos="10224"/>
              <w:tab w:val="right" w:pos="10223" w:leader="dot"/>
            </w:tabs>
            <w:rPr/>
          </w:pPr>
          <w:hyperlink w:anchor="__RefHeading___Toc24271_239329132" w:tooltip="Reading translated Help">
            <w:r>
              <w:rPr>
                <w:rStyle w:val="IndexLink"/>
              </w:rPr>
              <w:t>Reading translated Help</w:t>
              <w:tab/>
              <w:t>36</w:t>
            </w:r>
          </w:hyperlink>
        </w:p>
        <w:p>
          <w:pPr>
            <w:pStyle w:val="TOC2"/>
            <w:tabs>
              <w:tab w:val="clear" w:pos="10224"/>
              <w:tab w:val="right" w:pos="10223" w:leader="dot"/>
            </w:tabs>
            <w:rPr/>
          </w:pPr>
          <w:hyperlink w:anchor="__RefHeading___Toc24273_239329132" w:tooltip="Editing and adding translations">
            <w:r>
              <w:rPr>
                <w:rStyle w:val="IndexLink"/>
              </w:rPr>
              <w:t>Editing and adding translations</w:t>
              <w:tab/>
              <w:t>36</w:t>
            </w:r>
          </w:hyperlink>
        </w:p>
        <w:p>
          <w:pPr>
            <w:pStyle w:val="TOC2"/>
            <w:tabs>
              <w:tab w:val="clear" w:pos="10224"/>
              <w:tab w:val="right" w:pos="10223" w:leader="dot"/>
            </w:tabs>
            <w:rPr/>
          </w:pPr>
          <w:hyperlink w:anchor="__RefHeading___Toc24275_239329132" w:tooltip="Translation review">
            <w:r>
              <w:rPr>
                <w:rStyle w:val="IndexLink"/>
              </w:rPr>
              <w:t>Translation review</w:t>
              <w:tab/>
              <w:t>37</w:t>
            </w:r>
          </w:hyperlink>
        </w:p>
        <w:p>
          <w:pPr>
            <w:pStyle w:val="TOC2"/>
            <w:tabs>
              <w:tab w:val="clear" w:pos="10224"/>
              <w:tab w:val="right" w:pos="10223" w:leader="dot"/>
            </w:tabs>
            <w:rPr/>
          </w:pPr>
          <w:hyperlink w:anchor="__RefHeading___Toc24277_239329132" w:tooltip="Source and output checks">
            <w:r>
              <w:rPr>
                <w:rStyle w:val="IndexLink"/>
              </w:rPr>
              <w:t>Source and output checks</w:t>
              <w:tab/>
              <w:t>37</w:t>
            </w:r>
          </w:hyperlink>
        </w:p>
        <w:p>
          <w:pPr>
            <w:pStyle w:val="TOC2"/>
            <w:tabs>
              <w:tab w:val="clear" w:pos="10224"/>
              <w:tab w:val="right" w:pos="10223" w:leader="dot"/>
            </w:tabs>
            <w:rPr/>
          </w:pPr>
          <w:hyperlink w:anchor="__RefHeading___Toc24279_239329132" w:tooltip="Text encoding">
            <w:r>
              <w:rPr>
                <w:rStyle w:val="IndexLink"/>
              </w:rPr>
              <w:t>Text encoding</w:t>
              <w:tab/>
              <w:t>37</w:t>
            </w:r>
          </w:hyperlink>
          <w:r>
            <w:rPr>
              <w:rStyle w:val="IndexLink"/>
            </w:rPr>
            <w:fldChar w:fldCharType="end"/>
          </w:r>
        </w:p>
      </w:sdtContent>
    </w:sdt>
    <w:p>
      <w:pPr>
        <w:pStyle w:val="Normal"/>
        <w:keepNext w:val="false"/>
        <w:spacing w:before="0" w:after="0"/>
        <w:rPr>
          <w:color w:val="000000"/>
          <w:sz w:val="22"/>
        </w:rPr>
      </w:pPr>
      <w:r>
        <w:rPr>
          <w:color w:val="000000"/>
          <w:sz w:val="22"/>
        </w:rPr>
      </w:r>
      <w:r>
        <w:br w:type="page"/>
      </w:r>
    </w:p>
    <w:p>
      <w:pPr>
        <w:pStyle w:val="Heading1"/>
        <w:spacing w:before="0" w:after="0"/>
        <w:rPr/>
      </w:pPr>
      <w:bookmarkStart w:id="0" w:name="__RefHeading___Toc24251_239329132"/>
      <w:bookmarkStart w:id="1" w:name="_Toc233481046"/>
      <w:bookmarkEnd w:id="0"/>
      <w:r>
        <w:rPr>
          <w:color w:val="000000"/>
        </w:rPr>
        <w:t>Purpose</w:t>
      </w:r>
      <w:bookmarkEnd w:id="1"/>
    </w:p>
    <w:p>
      <w:pPr>
        <w:pStyle w:val="Normal"/>
        <w:pageBreakBefore w:val="false"/>
        <w:rPr/>
      </w:pPr>
      <w:r>
        <w:rPr/>
        <w:t>This reference consolidates the v7.0 rules, component map, property map, and event map into one document placed at the docs root. It reflects the current converter source, mapping-pack set, and v7.0 contract additions.</w:t>
      </w:r>
    </w:p>
    <w:p>
      <w:pPr>
        <w:pStyle w:val="Normal"/>
        <w:pageBreakBefore w:val="false"/>
        <w:rPr/>
      </w:pPr>
      <w:r>
        <w:rPr/>
        <w:t>[v7.0 contract baseline] The current v7.0 suite contains 227 executable expectations.</w:t>
      </w:r>
    </w:p>
    <w:p>
      <w:pPr>
        <w:pStyle w:val="Normal"/>
        <w:pageBreakBefore w:val="false"/>
        <w:rPr/>
      </w:pPr>
      <w:r>
        <w:rPr/>
        <w:t>[v7.0 reporting rule update] Report rules now separate actionable issue totals from informational and dry-run notices. Manual-review report groups show an expansion prompt so affected locations and recommended fixes are easier to find.</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6816"/>
        <w:gridCol w:w="3408"/>
      </w:tblGrid>
      <w:tr>
        <w:trPr>
          <w:tblHeader w:val="true"/>
          <w:cantSplit/>
        </w:trPr>
        <w:tc>
          <w:tcPr>
            <w:tcW w:w="6816"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Reference surface</w:t>
            </w:r>
          </w:p>
        </w:tc>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Current count</w:t>
            </w:r>
          </w:p>
        </w:tc>
      </w:tr>
      <w:tr>
        <w:trPr>
          <w:cantSplit/>
        </w:trPr>
        <w:tc>
          <w:tcPr>
            <w:tcW w:w="6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Built-in component mappings</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77</w:t>
            </w:r>
          </w:p>
        </w:tc>
      </w:tr>
      <w:tr>
        <w:trPr>
          <w:cantSplit/>
        </w:trPr>
        <w:tc>
          <w:tcPr>
            <w:tcW w:w="68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Built-in property rows</w:t>
            </w:r>
          </w:p>
        </w:tc>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71</w:t>
            </w:r>
          </w:p>
        </w:tc>
      </w:tr>
      <w:tr>
        <w:trPr>
          <w:cantSplit/>
        </w:trPr>
        <w:tc>
          <w:tcPr>
            <w:tcW w:w="6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Built-in event rows</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27</w:t>
            </w:r>
          </w:p>
        </w:tc>
      </w:tr>
      <w:tr>
        <w:trPr>
          <w:cantSplit/>
        </w:trPr>
        <w:tc>
          <w:tcPr>
            <w:tcW w:w="68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Mapping-pack rules</w:t>
            </w:r>
          </w:p>
        </w:tc>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493</w:t>
            </w:r>
          </w:p>
        </w:tc>
      </w:tr>
      <w:tr>
        <w:trPr>
          <w:cantSplit/>
        </w:trPr>
        <w:tc>
          <w:tcPr>
            <w:tcW w:w="6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Contract expectations</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227</w:t>
            </w:r>
          </w:p>
        </w:tc>
      </w:tr>
    </w:tbl>
    <w:p>
      <w:pPr>
        <w:pStyle w:val="Heading1"/>
        <w:pageBreakBefore w:val="false"/>
        <w:rPr/>
      </w:pPr>
      <w:bookmarkStart w:id="2" w:name="__RefHeading___Toc24253_239329132"/>
      <w:bookmarkStart w:id="3" w:name="_Toc233481047"/>
      <w:bookmarkEnd w:id="2"/>
      <w:r>
        <w:rPr>
          <w:color w:val="000000"/>
        </w:rPr>
        <w:t>v7.0 Rule Families</w:t>
      </w:r>
      <w:bookmarkEnd w:id="3"/>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105"/>
        <w:gridCol w:w="7119"/>
      </w:tblGrid>
      <w:tr>
        <w:trPr>
          <w:tblHeader w:val="true"/>
          <w:cantSplit/>
        </w:trPr>
        <w:tc>
          <w:tcPr>
            <w:tcW w:w="3105"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Rule family</w:t>
            </w:r>
          </w:p>
        </w:tc>
        <w:tc>
          <w:tcPr>
            <w:tcW w:w="711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v7.0 behavior</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Contract-first development</w:t>
            </w:r>
          </w:p>
        </w:tc>
        <w:tc>
          <w:tcPr>
            <w:tcW w:w="711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Structural behavior should have a sample Delphi input, expected output/report behavior, and a regression guard.</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Include analysis</w:t>
            </w:r>
          </w:p>
        </w:tc>
        <w:tc>
          <w:tcPr>
            <w:tcW w:w="711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Analyze and report Pascal include directives, nested includes, recursive loops, outside-tree paths, conditionals, comments, and UTF-8 content while preserving original include directives.</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Windows messaging</w:t>
            </w:r>
          </w:p>
        </w:tc>
        <w:tc>
          <w:tcPr>
            <w:tcW w:w="711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 real message APIs and message declarations by category; report unsafe behavior; ignore comments, strings, user methods, and unrelated identifiers.</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Uses cleanup</w:t>
            </w:r>
          </w:p>
        </w:tc>
        <w:tc>
          <w:tcPr>
            <w:tcW w:w="711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Remove unused VCL/Winapi units, including protected/conditional cases such as Vcl.Themes; add Windows/System.Messaging units only when generated active code requires them.</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GDI drawing</w:t>
            </w:r>
          </w:p>
        </w:tc>
        <w:tc>
          <w:tcPr>
            <w:tcW w:w="711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 reliable GDI drawing patterns to FMX canvas calls where covered; still report visual review for drawing behavior that needs human verification.</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DFM/FMXL generation</w:t>
            </w:r>
          </w:p>
        </w:tc>
        <w:tc>
          <w:tcPr>
            <w:tcW w:w="711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 collection-style string properties, emit TStringGrid events before generated columns, and write FMX as UTF-8 with BOM.</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Companion files</w:t>
            </w:r>
          </w:p>
        </w:tc>
        <w:tc>
          <w:tcPr>
            <w:tcW w:w="711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Copy source-local include files and source-root runtime companions without searching build-output folders for ambiguous duplicates.</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Mapping packs</w:t>
            </w:r>
          </w:p>
        </w:tc>
        <w:tc>
          <w:tcPr>
            <w:tcW w:w="711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Load 22 JSON packs, validate actions, report loaded packs and usage, and keep third-party handling visible rather than hidden.</w:t>
            </w:r>
          </w:p>
        </w:tc>
      </w:tr>
    </w:tbl>
    <w:p>
      <w:pPr>
        <w:pStyle w:val="Heading1"/>
        <w:pageBreakBefore w:val="false"/>
        <w:rPr/>
      </w:pPr>
      <w:bookmarkStart w:id="4" w:name="__RefHeading___Toc24255_239329132"/>
      <w:bookmarkStart w:id="5" w:name="_Toc233481048"/>
      <w:bookmarkEnd w:id="4"/>
      <w:r>
        <w:rPr>
          <w:color w:val="000000"/>
        </w:rPr>
        <w:t>Contract Areas</w:t>
      </w:r>
      <w:bookmarkEnd w:id="5"/>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7133"/>
        <w:gridCol w:w="3091"/>
      </w:tblGrid>
      <w:tr>
        <w:trPr>
          <w:tblHeader w:val="true"/>
          <w:cantSplit/>
        </w:trPr>
        <w:tc>
          <w:tcPr>
            <w:tcW w:w="7133"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Area</w:t>
            </w:r>
          </w:p>
        </w:tc>
        <w:tc>
          <w:tcPr>
            <w:tcW w:w="3091"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Expectation count</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colors</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comments_and_boundaries</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components_and_events</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19</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data_aware</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dfm_pairs</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encoding</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graphics</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include_analysis</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11</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livebindings</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project_files</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project_integration</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reporting</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third_party</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uses_clause</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21</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winapi_messages</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40</w:t>
            </w:r>
          </w:p>
        </w:tc>
      </w:tr>
    </w:tbl>
    <w:p>
      <w:pPr>
        <w:pStyle w:val="Heading1"/>
        <w:pageBreakBefore w:val="false"/>
        <w:rPr/>
      </w:pPr>
      <w:bookmarkStart w:id="6" w:name="__RefHeading___Toc24257_239329132"/>
      <w:bookmarkStart w:id="7" w:name="_Toc233481049"/>
      <w:bookmarkEnd w:id="6"/>
      <w:r>
        <w:rPr>
          <w:color w:val="000000"/>
        </w:rPr>
        <w:t>Component Map Summary</w:t>
      </w:r>
      <w:bookmarkEnd w:id="7"/>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7125"/>
        <w:gridCol w:w="3099"/>
      </w:tblGrid>
      <w:tr>
        <w:trPr>
          <w:tblHeader w:val="true"/>
          <w:cantSplit/>
        </w:trPr>
        <w:tc>
          <w:tcPr>
            <w:tcW w:w="7125"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Mapping type</w:t>
            </w:r>
          </w:p>
        </w:tc>
        <w:tc>
          <w:tcPr>
            <w:tcW w:w="309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Count</w:t>
            </w:r>
          </w:p>
        </w:tc>
      </w:tr>
      <w:tr>
        <w:trPr>
          <w:cantSplit/>
        </w:trPr>
        <w:tc>
          <w:tcPr>
            <w:tcW w:w="712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309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36</w:t>
            </w:r>
          </w:p>
        </w:tc>
      </w:tr>
      <w:tr>
        <w:trPr>
          <w:cantSplit/>
        </w:trPr>
        <w:tc>
          <w:tcPr>
            <w:tcW w:w="712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309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33</w:t>
            </w:r>
          </w:p>
        </w:tc>
      </w:tr>
      <w:tr>
        <w:trPr>
          <w:cantSplit/>
        </w:trPr>
        <w:tc>
          <w:tcPr>
            <w:tcW w:w="712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Unmapped</w:t>
            </w:r>
          </w:p>
        </w:tc>
        <w:tc>
          <w:tcPr>
            <w:tcW w:w="309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w:t>
            </w:r>
          </w:p>
        </w:tc>
      </w:tr>
    </w:tbl>
    <w:p>
      <w:pPr>
        <w:pStyle w:val="Normal"/>
        <w:spacing w:lineRule="exact" w:line="20" w:before="0" w:after="100"/>
        <w:rPr/>
      </w:pPr>
      <w:r>
        <w:rPr/>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970"/>
        <w:gridCol w:w="1974"/>
        <w:gridCol w:w="1411"/>
        <w:gridCol w:w="1258"/>
        <w:gridCol w:w="3611"/>
      </w:tblGrid>
      <w:tr>
        <w:trPr>
          <w:tblHeader w:val="true"/>
          <w:cantSplit/>
        </w:trPr>
        <w:tc>
          <w:tcPr>
            <w:tcW w:w="197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VCL class</w:t>
            </w:r>
          </w:p>
        </w:tc>
        <w:tc>
          <w:tcPr>
            <w:tcW w:w="197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FMX target</w:t>
            </w:r>
          </w:p>
        </w:tc>
        <w:tc>
          <w:tcPr>
            <w:tcW w:w="1411"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Mapping</w:t>
            </w:r>
          </w:p>
        </w:tc>
        <w:tc>
          <w:tcPr>
            <w:tcW w:w="125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Confidence</w:t>
            </w:r>
          </w:p>
        </w:tc>
        <w:tc>
          <w:tcPr>
            <w:tcW w:w="3611"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Notes</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TForm</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TForm</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Root forms are converted through dedicated parser rules; this row keeps form properties and events explicit in the mapping matrix.</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TFrame</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TFrame</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FMX frames are available and should be treated as first-class matrix entries.</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TButton</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TButton</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TMaskEdit</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FMX TEdit and review EditMask behavior manually.</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TLabel</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TLabel</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TStaticText</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TLabel</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Static text converts cleanly to an FMX label.</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TPanel</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TPanel</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 visual FMX panel semantics for container controls</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TGroupBox</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TGroupBox</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 visual FMX group box semantics and caption handling</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TFlowPanel</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TFlowLayout</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FMX TFlowLayout as the closest standard flow container.</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TGridPanel</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TGridPanelLayout</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FMX TGridPanelLayout as the closest standard grid layout container.</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TCheckBox</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TCheckBox</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TRadioButton</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TRadioButton</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TListBox</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TListBox</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 objects need conversion</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TCheckListBox</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TListBox</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FMX TListBox and review checked-item behavior manually.</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TDBListBox</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TListBox</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LiveBindings with FMX TListBox and review lookup/list-source behavior manually.</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TNumberBox</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TNumberBox</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FMX TNumberBox is available in FMX.NumberBox</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TSpinEdit</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TSpinBox</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FMX TSpinBox is available in FMX.SpinBox</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TColorBox</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TColorComboBox</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FMX color-selection equivalent is TColorComboBox in FMX.Colors</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TMemo</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TMemo</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TRichEdit</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TMemo</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FMX TMemo and review rich-text formatting behavior manually.</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TPaintBox</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TPaintBox</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FMX TPaintBox is available in FMX.Objects</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TPageControl</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TTabControl</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TTabSheet</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TTabItem</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TScrollBox</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TScrollBox</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TStringGrid</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TStringGrid</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 model completely different - requires LiveBindings</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TDBEdit</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LiveBindings to connect to data source</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TDBCheckBox</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TCheckBox</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LiveBindings to connect to data source</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TDBComboBox</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TComboEdit</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LiveBindings to connect to data source</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TDBGrid</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TStringGrid</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Major architectural difference - requires LiveBindings completely</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TDrawGrid</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TStringGrid</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FMX TStringGrid and review custom drawing/cell rendering manually.</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TDBCtrlGrid</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TStringGrid</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Major structural difference - requires LiveBindings and manual layout review.</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TDBNavigator</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TBindNavigator</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FMX LiveBindings navigator with generated TBindSourceDB hookup</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TMainMenu</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TMenuBar</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TMenuItem</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TMenuItem</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TPopupMenu</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TPopupMenu</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TTimer</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TTimer</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TOpenDialog</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TOpenDialog</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TFileOpenDialog</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TOpenDialog</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FMX TOpenDialog as the closest standard substitute</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TSaveDialog</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TSaveDialog</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TFileSaveDialog</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TSaveDialog</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FMX TSaveDialog as the closest standard substitute.</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TFontDialog</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TFontDialog</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Generated compatibility dialog with a streamed Font property and Execute support</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TRadioGroup</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TRadioGroup</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Generated compatibility group that rebuilds internal FMX radio buttons from Items</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TLinkLabel</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TLabel</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Hyperlink behavior requires manual review, but the visual text target is an FMX label.</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TTrayIcon</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Unmapped</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 standard FMX tray icon component - requires platform-specific code</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TApdComPort</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Unmapped</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Third-party serial communications component - requires a custom FMX/WinAPI replacement</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TColorDialog</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TColorDialog</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Generated compatibility dialog with a Color property and Execute support</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TActionList</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TActionList</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TAction</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TAction</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TImageList</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TImageList</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TSplitter</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TSplitter</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TStatusBar</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TStatusBar</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TToolBar</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TToolBar</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TProgressBar</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TProgressBar</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TTrackBar</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TTrackBar</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TUpDown</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TSpinBox</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TDateTimePicker</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TDateEdit</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TMonthCalendar</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TCalendar</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TTreeView</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TTreeView</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TListView</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TListView</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TWebBrowser</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TWebBrowser</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TShape</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TShape</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TBevel</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TRectangle</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TRectangle with appropriate Fill and Stroke</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TScrollBar</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TScrollBar</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TSpeedButton</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TSpeedButton</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TBitBtn</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TButton</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TButton with Images property</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TLabeledEdit</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Create TLayout with TLabel and TEdit</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TValueListEditor</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TGrid</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Substitute</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Complex - requires custom grid implementation</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TChart</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Unmapped</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Requires TMS FMX Chart or similar third-party component</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TTaskDialog</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Unmapped</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 standard FMX task dialog component - requires a custom dialog implementation.</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TClientDataSet</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Unmapped</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Dataset component requires manual review; preserve only if the target platform and supporting units are appropriate.</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TQuery</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Unmapped</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Legacy query component requires manual review or replacement.</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TADODataSet</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Unmapped</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Windows-specific ADO dataset requires manual review for FMX targets.</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TSQLDataSet</w:t>
            </w:r>
          </w:p>
        </w:tc>
        <w:tc>
          <w:tcPr>
            <w:tcW w:w="19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4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Unmapped</w:t>
            </w:r>
          </w:p>
        </w:tc>
        <w:tc>
          <w:tcPr>
            <w:tcW w:w="125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0</w:t>
            </w:r>
          </w:p>
        </w:tc>
        <w:tc>
          <w:tcPr>
            <w:tcW w:w="361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dbExpress dataset requires manual review for FMX targets.</w:t>
            </w:r>
          </w:p>
        </w:tc>
      </w:tr>
      <w:tr>
        <w:trPr>
          <w:cantSplit/>
        </w:trPr>
        <w:tc>
          <w:tcPr>
            <w:tcW w:w="19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TMediaPlayer</w:t>
            </w:r>
          </w:p>
        </w:tc>
        <w:tc>
          <w:tcPr>
            <w:tcW w:w="19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TMediaPlayer</w:t>
            </w:r>
          </w:p>
        </w:tc>
        <w:tc>
          <w:tcPr>
            <w:tcW w:w="14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Direct</w:t>
            </w:r>
          </w:p>
        </w:tc>
        <w:tc>
          <w:tcPr>
            <w:tcW w:w="12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361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Heading1"/>
        <w:pageBreakBefore w:val="false"/>
        <w:spacing w:before="0" w:after="0"/>
        <w:rPr/>
      </w:pPr>
      <w:bookmarkStart w:id="8" w:name="__RefHeading___Toc24259_239329132"/>
      <w:bookmarkStart w:id="9" w:name="_Toc233481050"/>
      <w:bookmarkEnd w:id="8"/>
      <w:r>
        <w:rPr>
          <w:color w:val="000000"/>
        </w:rPr>
        <w:t>Property Map</w:t>
      </w:r>
      <w:bookmarkEnd w:id="9"/>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2153"/>
        <w:gridCol w:w="2164"/>
        <w:gridCol w:w="2315"/>
        <w:gridCol w:w="1276"/>
        <w:gridCol w:w="2316"/>
      </w:tblGrid>
      <w:tr>
        <w:trPr>
          <w:tblHeader w:val="true"/>
          <w:cantSplit/>
        </w:trPr>
        <w:tc>
          <w:tcPr>
            <w:tcW w:w="2153"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Component</w:t>
            </w:r>
          </w:p>
        </w:tc>
        <w:tc>
          <w:tcPr>
            <w:tcW w:w="216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VCL property</w:t>
            </w:r>
          </w:p>
        </w:tc>
        <w:tc>
          <w:tcPr>
            <w:tcW w:w="2315"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FMX property</w:t>
            </w:r>
          </w:p>
        </w:tc>
        <w:tc>
          <w:tcPr>
            <w:tcW w:w="1276"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Transform</w:t>
            </w:r>
          </w:p>
        </w:tc>
        <w:tc>
          <w:tcPr>
            <w:tcW w:w="2316"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Transformer</w:t>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TForm</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Caption</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Caption</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TForm</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ClientWidth</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ClientWidth</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TForm</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ClientHeight</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ClientHeight</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TButton</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Caption</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TButton</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Enabled</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Enabled</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ReadOnly</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ReadOnly</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MaxLength</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MaxLength</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TMaskEdit</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TMaskEdit</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ReadOnly</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ReadOnly</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TMaskEdit</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MaxLength</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MaxLength</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TMaskEdit</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EditMask</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omitted</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TLabel</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Caption</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TLabel</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Layout</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TextSettings.VertAlign</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TStaticText</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Caption</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TGroupBox</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Caption</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TCheckBox</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Caption</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TCheckBox</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Checked</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IsChecked</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TRadioButton</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Caption</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TRadioButton</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Checked</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IsChecked</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TListBox</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Items</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Items</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TListBox</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ItemIndex</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ItemIndex</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TCheckListBox</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Items</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Items</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TCheckListBox</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ItemIndex</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ItemIndex</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Items</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Items</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ItemIndex</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ItemIndex</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Style</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omitted</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TNumberBox</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MinValue</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Min</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TNumberBox</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MaxValue</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Max</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TNumberBox</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Decimal</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DecimalDigits</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TSpinEdit</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MinValue</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Min</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TSpinEdit</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MaxValue</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Max</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TSpinEdit</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Increment</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Increment</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TMemo</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Lines</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Lines</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TMemo</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ReadOnly</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ReadOnly</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TMemo</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WordWrap</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WordWrap</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TRichEdit</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Lines</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Lines</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TRichEdit</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ReadOnly</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ReadOnly</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TRichEdit</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WordWrap</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WordWrap</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Picture</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Bitmap</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TransformPicture</w:t>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TOpenDialog</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FileName</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FileName</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TOpenDialog</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Filter</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Filter</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TOpenDialog</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DefaultExt</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DefaultExt</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TOpenDialog</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InitialDir</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InitialDir</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TOpenDialog</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Title</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Title</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TSaveDialog</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FileName</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FileName</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TSaveDialog</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Filter</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Filter</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TSaveDialog</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DefaultExt</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DefaultExt</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TSaveDialog</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InitialDir</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InitialDir</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TSaveDialog</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Title</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Title</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TFileSaveDialog</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FileName</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FileName</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TFileSaveDialog</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DefaultExtension</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DefaultExt</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TFileSaveDialog</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DefaultFolder</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InitialDir</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TFileSaveDialog</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Title</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Title</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TRadioGroup</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Items</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Items</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TRadioGroup</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ItemIndex</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ItemIndex</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TLinkLabel</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Caption</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Text</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TProgressBar</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Position</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Value</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TTrackBar</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Position</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Value</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TUpDown</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Position</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Value</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TUpDown</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Min</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Min</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TUpDown</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Max</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Max</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TDateTimePicker</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Date</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Date</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TDateTimePicker</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Time</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Time</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TDateTimePicker</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Checked</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IsChecked</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TDateTimePicker</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ShowCheckBox</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ShowCheckBox</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TDateTimePicker</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Format</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Format</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TMonthCalendar</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Date</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Date</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no</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TShape</w:t>
            </w:r>
          </w:p>
        </w:tc>
        <w:tc>
          <w:tcPr>
            <w:tcW w:w="216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Brush</w:t>
            </w:r>
          </w:p>
        </w:tc>
        <w:tc>
          <w:tcPr>
            <w:tcW w:w="231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Fill</w:t>
            </w:r>
          </w:p>
        </w:tc>
        <w:tc>
          <w:tcPr>
            <w:tcW w:w="127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c>
          <w:tcPr>
            <w:tcW w:w="231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TransformBrush</w:t>
            </w:r>
          </w:p>
        </w:tc>
      </w:tr>
      <w:tr>
        <w:trPr>
          <w:cantSplit/>
        </w:trPr>
        <w:tc>
          <w:tcPr>
            <w:tcW w:w="21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TShape</w:t>
            </w:r>
          </w:p>
        </w:tc>
        <w:tc>
          <w:tcPr>
            <w:tcW w:w="21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Pen</w:t>
            </w:r>
          </w:p>
        </w:tc>
        <w:tc>
          <w:tcPr>
            <w:tcW w:w="231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Stroke</w:t>
            </w:r>
          </w:p>
        </w:tc>
        <w:tc>
          <w:tcPr>
            <w:tcW w:w="12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c>
          <w:tcPr>
            <w:tcW w:w="23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TransformPen</w:t>
            </w:r>
          </w:p>
        </w:tc>
      </w:tr>
    </w:tbl>
    <w:p>
      <w:pPr>
        <w:pStyle w:val="Heading1"/>
        <w:pageBreakBefore w:val="false"/>
        <w:spacing w:before="0" w:after="0"/>
        <w:rPr/>
      </w:pPr>
      <w:bookmarkStart w:id="10" w:name="__RefHeading___Toc24261_239329132"/>
      <w:bookmarkStart w:id="11" w:name="_Toc233481051"/>
      <w:bookmarkEnd w:id="10"/>
      <w:r>
        <w:rPr>
          <w:color w:val="000000"/>
        </w:rPr>
        <w:t>Event Map</w:t>
      </w:r>
      <w:bookmarkEnd w:id="11"/>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2942"/>
        <w:gridCol w:w="2773"/>
        <w:gridCol w:w="2771"/>
        <w:gridCol w:w="1738"/>
      </w:tblGrid>
      <w:tr>
        <w:trPr>
          <w:tblHeader w:val="true"/>
          <w:cantSplit/>
        </w:trPr>
        <w:tc>
          <w:tcPr>
            <w:tcW w:w="294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Component</w:t>
            </w:r>
          </w:p>
        </w:tc>
        <w:tc>
          <w:tcPr>
            <w:tcW w:w="2773"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VCL event</w:t>
            </w:r>
          </w:p>
        </w:tc>
        <w:tc>
          <w:tcPr>
            <w:tcW w:w="2771"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FMX event</w:t>
            </w:r>
          </w:p>
        </w:tc>
        <w:tc>
          <w:tcPr>
            <w:tcW w:w="173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Signature</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TForm</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OnCreate</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OnCreate</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TForm</w:t>
            </w:r>
          </w:p>
        </w:tc>
        <w:tc>
          <w:tcPr>
            <w:tcW w:w="277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OnShow</w:t>
            </w:r>
          </w:p>
        </w:tc>
        <w:tc>
          <w:tcPr>
            <w:tcW w:w="27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OnShow</w:t>
            </w:r>
          </w:p>
        </w:tc>
        <w:tc>
          <w:tcPr>
            <w:tcW w:w="173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TForm</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OnMouseMove</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OnMouseMove</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TButton</w:t>
            </w:r>
          </w:p>
        </w:tc>
        <w:tc>
          <w:tcPr>
            <w:tcW w:w="277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OnClick</w:t>
            </w:r>
          </w:p>
        </w:tc>
        <w:tc>
          <w:tcPr>
            <w:tcW w:w="27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OnClick</w:t>
            </w:r>
          </w:p>
        </w:tc>
        <w:tc>
          <w:tcPr>
            <w:tcW w:w="173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OnChange</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OnChange</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277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OnEnter</w:t>
            </w:r>
          </w:p>
        </w:tc>
        <w:tc>
          <w:tcPr>
            <w:tcW w:w="27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OnEnter</w:t>
            </w:r>
          </w:p>
        </w:tc>
        <w:tc>
          <w:tcPr>
            <w:tcW w:w="173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OnExit</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OnExit</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277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OnKeyDown</w:t>
            </w:r>
          </w:p>
        </w:tc>
        <w:tc>
          <w:tcPr>
            <w:tcW w:w="27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OnKeyDown</w:t>
            </w:r>
          </w:p>
        </w:tc>
        <w:tc>
          <w:tcPr>
            <w:tcW w:w="173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OnKeyUp</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OnKeyUp</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TMaskEdit</w:t>
            </w:r>
          </w:p>
        </w:tc>
        <w:tc>
          <w:tcPr>
            <w:tcW w:w="277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OnChange</w:t>
            </w:r>
          </w:p>
        </w:tc>
        <w:tc>
          <w:tcPr>
            <w:tcW w:w="27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OnChange</w:t>
            </w:r>
          </w:p>
        </w:tc>
        <w:tc>
          <w:tcPr>
            <w:tcW w:w="173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TCheckBox</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OnClick</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OnClick</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TRadioButton</w:t>
            </w:r>
          </w:p>
        </w:tc>
        <w:tc>
          <w:tcPr>
            <w:tcW w:w="277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OnClick</w:t>
            </w:r>
          </w:p>
        </w:tc>
        <w:tc>
          <w:tcPr>
            <w:tcW w:w="27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OnClick</w:t>
            </w:r>
          </w:p>
        </w:tc>
        <w:tc>
          <w:tcPr>
            <w:tcW w:w="173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TListBox</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OnChange</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OnChange</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TListBox</w:t>
            </w:r>
          </w:p>
        </w:tc>
        <w:tc>
          <w:tcPr>
            <w:tcW w:w="277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OnClick</w:t>
            </w:r>
          </w:p>
        </w:tc>
        <w:tc>
          <w:tcPr>
            <w:tcW w:w="27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OnClick</w:t>
            </w:r>
          </w:p>
        </w:tc>
        <w:tc>
          <w:tcPr>
            <w:tcW w:w="173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OnChange</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OnChange</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277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OnDropDown</w:t>
            </w:r>
          </w:p>
        </w:tc>
        <w:tc>
          <w:tcPr>
            <w:tcW w:w="27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OnPopup</w:t>
            </w:r>
          </w:p>
        </w:tc>
        <w:tc>
          <w:tcPr>
            <w:tcW w:w="173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OnCloseUp</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OnClosePopup</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277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OnSelect</w:t>
            </w:r>
          </w:p>
        </w:tc>
        <w:tc>
          <w:tcPr>
            <w:tcW w:w="27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OnChange</w:t>
            </w:r>
          </w:p>
        </w:tc>
        <w:tc>
          <w:tcPr>
            <w:tcW w:w="173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OnKeyDown</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OnKeyDown</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277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OnKeyUp</w:t>
            </w:r>
          </w:p>
        </w:tc>
        <w:tc>
          <w:tcPr>
            <w:tcW w:w="27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OnKeyUp</w:t>
            </w:r>
          </w:p>
        </w:tc>
        <w:tc>
          <w:tcPr>
            <w:tcW w:w="173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TMemo</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OnChange</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OnChange</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TMemo</w:t>
            </w:r>
          </w:p>
        </w:tc>
        <w:tc>
          <w:tcPr>
            <w:tcW w:w="277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OnKeyDown</w:t>
            </w:r>
          </w:p>
        </w:tc>
        <w:tc>
          <w:tcPr>
            <w:tcW w:w="27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OnKeyDown</w:t>
            </w:r>
          </w:p>
        </w:tc>
        <w:tc>
          <w:tcPr>
            <w:tcW w:w="173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TMemo</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OnKeyUp</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OnKeyUp</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TTimer</w:t>
            </w:r>
          </w:p>
        </w:tc>
        <w:tc>
          <w:tcPr>
            <w:tcW w:w="277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OnTimer</w:t>
            </w:r>
          </w:p>
        </w:tc>
        <w:tc>
          <w:tcPr>
            <w:tcW w:w="27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OnTimer</w:t>
            </w:r>
          </w:p>
        </w:tc>
        <w:tc>
          <w:tcPr>
            <w:tcW w:w="173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TDateTimePicker</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OnChange</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OnChange</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TDateTimePicker</w:t>
            </w:r>
          </w:p>
        </w:tc>
        <w:tc>
          <w:tcPr>
            <w:tcW w:w="277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OnDropDown</w:t>
            </w:r>
          </w:p>
        </w:tc>
        <w:tc>
          <w:tcPr>
            <w:tcW w:w="27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OnOpenPicker</w:t>
            </w:r>
          </w:p>
        </w:tc>
        <w:tc>
          <w:tcPr>
            <w:tcW w:w="173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r>
        <w:trPr>
          <w:cantSplit/>
        </w:trPr>
        <w:tc>
          <w:tcPr>
            <w:tcW w:w="29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TDateTimePicker</w:t>
            </w:r>
          </w:p>
        </w:tc>
        <w:tc>
          <w:tcPr>
            <w:tcW w:w="27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OnCloseUp</w:t>
            </w:r>
          </w:p>
        </w:tc>
        <w:tc>
          <w:tcPr>
            <w:tcW w:w="27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OnClosePicker</w:t>
            </w:r>
          </w:p>
        </w:tc>
        <w:tc>
          <w:tcPr>
            <w:tcW w:w="173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yes</w:t>
            </w:r>
          </w:p>
        </w:tc>
      </w:tr>
    </w:tbl>
    <w:p>
      <w:pPr>
        <w:pStyle w:val="Heading1"/>
        <w:pageBreakBefore w:val="false"/>
        <w:spacing w:before="0" w:after="0"/>
        <w:rPr/>
      </w:pPr>
      <w:bookmarkStart w:id="12" w:name="__RefHeading___Toc24263_239329132"/>
      <w:bookmarkStart w:id="13" w:name="_Toc233481052"/>
      <w:bookmarkEnd w:id="12"/>
      <w:r>
        <w:rPr>
          <w:color w:val="000000"/>
        </w:rPr>
        <w:t>Mapping-Pack Summary</w:t>
      </w:r>
      <w:bookmarkEnd w:id="13"/>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7125"/>
        <w:gridCol w:w="3099"/>
      </w:tblGrid>
      <w:tr>
        <w:trPr>
          <w:tblHeader w:val="true"/>
          <w:cantSplit/>
        </w:trPr>
        <w:tc>
          <w:tcPr>
            <w:tcW w:w="7125"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Action</w:t>
            </w:r>
          </w:p>
        </w:tc>
        <w:tc>
          <w:tcPr>
            <w:tcW w:w="309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Count</w:t>
            </w:r>
          </w:p>
        </w:tc>
      </w:tr>
      <w:tr>
        <w:trPr>
          <w:cantSplit/>
        </w:trPr>
        <w:tc>
          <w:tcPr>
            <w:tcW w:w="712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309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21</w:t>
            </w:r>
          </w:p>
        </w:tc>
      </w:tr>
      <w:tr>
        <w:trPr>
          <w:cantSplit/>
        </w:trPr>
        <w:tc>
          <w:tcPr>
            <w:tcW w:w="712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309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186</w:t>
            </w:r>
          </w:p>
        </w:tc>
      </w:tr>
      <w:tr>
        <w:trPr>
          <w:cantSplit/>
        </w:trPr>
        <w:tc>
          <w:tcPr>
            <w:tcW w:w="712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309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100</w:t>
            </w:r>
          </w:p>
        </w:tc>
      </w:tr>
      <w:tr>
        <w:trPr>
          <w:cantSplit/>
        </w:trPr>
        <w:tc>
          <w:tcPr>
            <w:tcW w:w="712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309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105</w:t>
            </w:r>
          </w:p>
        </w:tc>
      </w:tr>
      <w:tr>
        <w:trPr>
          <w:cantSplit/>
        </w:trPr>
        <w:tc>
          <w:tcPr>
            <w:tcW w:w="712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309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81</w:t>
            </w:r>
          </w:p>
        </w:tc>
      </w:tr>
    </w:tbl>
    <w:p>
      <w:pPr>
        <w:pStyle w:val="Normal"/>
        <w:spacing w:lineRule="exact" w:line="20" w:before="0" w:after="100"/>
        <w:rPr/>
      </w:pPr>
      <w:r>
        <w:rPr/>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2959"/>
        <w:gridCol w:w="1396"/>
        <w:gridCol w:w="1380"/>
        <w:gridCol w:w="1155"/>
        <w:gridCol w:w="1275"/>
        <w:gridCol w:w="2059"/>
      </w:tblGrid>
      <w:tr>
        <w:trPr>
          <w:tblHeader w:val="true"/>
          <w:cantSplit/>
        </w:trPr>
        <w:tc>
          <w:tcPr>
            <w:tcW w:w="295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Pack</w:t>
            </w:r>
          </w:p>
        </w:tc>
        <w:tc>
          <w:tcPr>
            <w:tcW w:w="1396"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VCL class</w:t>
            </w:r>
          </w:p>
        </w:tc>
        <w:tc>
          <w:tcPr>
            <w:tcW w:w="138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FMX target</w:t>
            </w:r>
          </w:p>
        </w:tc>
        <w:tc>
          <w:tcPr>
            <w:tcW w:w="1155"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Action</w:t>
            </w:r>
          </w:p>
        </w:tc>
        <w:tc>
          <w:tcPr>
            <w:tcW w:w="1275"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Confidence</w:t>
            </w:r>
          </w:p>
        </w:tc>
        <w:tc>
          <w:tcPr>
            <w:tcW w:w="205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color w:val="FFFFFF"/>
                <w:kern w:val="0"/>
                <w:sz w:val="19"/>
                <w:szCs w:val="22"/>
                <w:lang w:val="en-US" w:eastAsia="en-US" w:bidi="ar-SA"/>
              </w:rPr>
              <w:t>Notes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TclHttp</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TclHttp</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72</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TLS, proxy, authentication, async callbacks, and platform networking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TclFtp</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TclFtp</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passive/active mode, TLS, filesystem paths, and deployment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TclSFtp</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TclSFtp</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key files, host-key validation, local paths, and platform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TclSmtp</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TclSmtp</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72</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OAuth/TLS configuration, attachments, and async event handling.</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TclPop3</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TclPop3</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72</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OAuth/TLS configuration, message storage paths, and threading.</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TclImap4</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TclImap4</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72</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folder synchronization, OAuth/TLS configuration, and background operations.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TclOAuth</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TclOAuth</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OAuth callback browser/redirect behavior may need platform-specific FMX UI and deployment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TclJsonParser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TclJsonParser</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JSON parser is nonvisual and may be preserved.</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TclSoapMessage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TclSoapMessage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generated service code, TLS, and XML namespace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TclMailMessage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TclMailMessage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attachments, encodings, inline images, and filesystem paths.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TclCertificateStore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TclCertificateStore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Certificate stores can be OS-specific and require target-platform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TclThreadPool</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TclThreadPool</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synchronization with FMX UI thread.</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TclDBComparer</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 comparer/migration components require database and UI workflow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CleverComponents_MappingPack_v4_1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TclTaskRunner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Task execution may depend on Windows shell paths, scripts, and process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TnxSession</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TnxSession</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package support, embedded/remote engine setup, aliases, and target platform.</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TnxDatabase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TnxDatabase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aliases, paths, transactions, and deployment.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TnxTable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TnxTable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68</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table paths, indexes, field definitions, and binding strategy.</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TnxQuery</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TnxQuery</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68</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SQL dialect, parameters, updates, and connection references.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TnxServerEngine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Embedded server engine lifecycle, threading, and deployment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TEDBSession</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TEDBSession</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ElevateDB edition/platform support and deployment libraries.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TEDBDatabase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TEDBDatabase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database paths, configuration, and platform storage.</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TEDBTable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TEDBTable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68</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table metadata, indexes, and binding.</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TEDBQuery</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TEDBQuery</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68</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SQL, parameters, transactions, and update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TApolloDatabase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Apollo VCL data components wrap a legacy data engine and require package/platform review before preservation.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TApolloTable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Apollo table migration should be reviewed with the database-engine modernization plan.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TApolloQuery</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Apollo query migration requires SQL, connection, and package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TABSDatabase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TABSDatabase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Absolute Database preservation depends on package/platform support and deployment needs.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TABSTable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TABSTable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table paths, encryption, indexes, and binding.</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TABSQuery</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TABSQuery</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SQL dialect, parameters, and update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TDBISAMDatabase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DBISAM migration should be reviewed for engine version, platform support, and possible ElevateDB/FireDAC modernization.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TDBISAMTable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DBISAM table migration requires database-engine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TDBISAMQuery</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DBISAM SQL migration requires dialect and package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TAdsConnection</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Advantage Database Server is legacy/Windows-oriented in many projects and requires explicit migration planning.</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TAdsTable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Advantage table migration requires database-engine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TAdsQuery</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Advantage SQL migration requires database-engine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TIB_Connection</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TIB_Connection</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IBObjects preservation depends on package support, transaction handling, and target-platform deployment.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TIB_Transaction</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TIB_Transaction</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transaction scope and connection references.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TIB_Query</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TIB_Query</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SQL, parameters, live queries, and dataset binding.</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TIBOQuery</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TIBOQuery</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58</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TDataSet-compatible IBObjects query may be preservable but requires binding and package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TIBOTable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TIBOTable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58</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table metadata, indexes, and binding.</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DatabaseEngines_MappingPack_v4_1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TIB_Grid</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IBObjects visual/data-aware controls require manual FMX UI and binding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TUniConnection</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TUniConnection</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provider packages, connection options, deployment libraries, and target-platform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TUniQuery</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TUniQuery</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SQL, parameters, update behavior, and connection references.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TUniTable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TUniTable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table names, indexes, update behavior, and target-platform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TUniStoredProc</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TUniStoredProc</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parameter metadata and provider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TUniSQL</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TUniSQL</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SQL statements and provider-specific options.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TUniScript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TUniScript</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script execution, delimiters, error handling, and deployment.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TUniTransaction</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TUniTransaction</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transaction scope and connection references.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TUniUpdateSQL</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TUniUpdateSQL</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generated/handwritten update SQL and dataset references.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TUniDataSource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TUniDataSource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DataSource preservation depends on FMX LiveBindings/data-aware strategy and component package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TUniMetaData</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TUniMetaData</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provider support and runtime usage.</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TUniLoader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TUniLoader</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platform-specific provider libraries and bulk-load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TUniDump</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TUniDump</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file paths, platform storage, and provider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TUniSQLMonitor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Monitoring/logging integration may be platform/package-specific.</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TUniConnectDialog</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Connection dialog UI is VCL-specific and should be rebuilt or replaced for FMX.</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TUniAlerter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TUniAlerter</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provider event support and platform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TVirtualTable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TVirtualTable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In-memory dataset may be preserved with Devart packages, but fields, indexes, persistence, and FMX binding should be reviewed.</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TVirtualDataSet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TVirtualDataSet</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Custom virtual dataset callbacks and binding behavior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TVirtualQuery</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TVirtualQuery</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Virtual query behavior and in-memory source datasets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TOracleUniProvider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TOracleUniProvider</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deployment libraries and target-platform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TSQLServerUniProvider</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TSQLServerUniProvider</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deployment libraries and target-platform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TMySQLUniProvider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TMySQLUniProvider</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deployment libraries and target-platform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TInterBaseUniProvider</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TInterBaseUniProvider</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deployment libraries and target-platform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TPostgreSQLUniProvider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TPostgreSQLUniProvider</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deployment libraries and target-platform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Devart_MappingPack_v4_1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TSQLiteUniProvider</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TSQLiteUniProvider</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preserve</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deployment libraries and target-platform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TcxButton</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TButton</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Basic button behavior only. DevExpress glyphs, skins, and look-and-feel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TcxTextEdit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Basic text entry only. Masks, repository items, button collections, and DevExpress style controllers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TcxDBTextEdit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LiveBindings or data-aware conversion output for DataSource/DataField semantics.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TcxMemo</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TMemo</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Basic memo text only. DevExpress style, scrollbars, and repository settings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TcxDBMemo</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TMemo</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LiveBindings or data-aware conversion output for memo field semantics.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TcxLabel</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TLabel</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Caption/text and visibility are mapped. DevExpress appearance and style controller settings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TcxCheckBox</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TCheckBox</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Basic checked/caption behavior only. Multi-state and style settings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TcxDBCheckBox</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TCheckBox</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checked/unchecked database values and LiveBindings after conversion.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TcxComboBox</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Basic items and selection behavior only. DevExpress item objects, filtering, and lookup behavior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TcxDBComboBox</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Items, ItemIndex, field value mapping, and LiveBindings after conversion.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TcxPageControl</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TTabControl</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Pages map to FMX tab control structure. Images, styles, and owner-drawn tab behavior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TcxTabSheet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TTabItem</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90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Tab captions map to FMX tab text.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TcxMaskEdit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Recreate mask validation with FMX edit rules or custom validation code.</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TcxDBMaskEdit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Recreate mask validation and verify LiveBindings/DataField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TcxDateEdit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TDateEdit</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Date editor generated. DevExpress calendar buttons, formatting, null handling, and validation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TcxTimeEdit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TTimeEdit</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Time editor generated when FMX TTimeEdit is available. Formatting, null handling, and validation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TcxSpinEdit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TSpinBox</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Numeric spin input generated. Min/max, increment, display formatting, and validation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TcxCalcEdit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Replace with a custom numeric editor or recreate calculator behavior manually.</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TcxButtonEdit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Add explicit FMX buttons or redesign the editor interaction.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TcxDBButtonEdit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Button editor plus data binding is too application-specific for safe automatic conversion.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TcxLookupComboBox</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Recreate lookup binding and display/key field behavior manually or through LiveBindings.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TcxDBLookupComboBox</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Database lookup semantics are too application-specific for a basic automatic rule.</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TcxRadioButton</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TRadioButton</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Basic radio button state and caption are mapped. Grouping semantics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TcxRadioGroup</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Radio group item layout and value semantics require a deliberate FMX 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TcxGroupBox</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TGroupBox</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Container and caption can map to TGroupBox. DevExpress border/style details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TdxToggleSwitch</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TSwitch</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Switch state can map to FMX TSwitch. Caption/label placement and DevExpress styling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TdxDBToggleSwitch</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TSwitch</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LiveBindings and checked/unchecked database values.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TdxMemData</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In-memory dataset usage may be replaceable with FireDAC memory tables, but field definitions and runtime population need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TdxLayoutControl</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Only very simple layout cases are plausible; automatic conversion needs layout-tree support before generating FMX containers.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 grids have view, column, repository, style, and data-controller behavior that cannot be safely mapped by a basic pack.</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TcxGridLevel</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Grid level hierarchy must be reviewed with the owning TcxGrid.</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TcxGridTableView</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Grid views require manual redesign or a custom tested mapping pack.</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TcxGridDBTableView</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grid views require manual redesign or a custom tested mapping pack.</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TcxGridBandedTableView</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Banded grid views are report-only in the basic pack.</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TcxGridDBBandedTableView</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banded grid views are report-only in the basic pack.</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TcxGridCardView</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Card views require manual FMX layout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TcxGridDBCardView</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card views require manual FMX layout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TcxGridLayoutView</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Layout views are report-only in the basic pack.</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TcxGridDBLayoutView</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layout views are report-only in the basic pack.</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TcxGridChartView</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Chart views require manual chart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TcxGridDBChartView</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chart views require manual chart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TcxGridColumn</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Grid columns must be migrated together with their grid 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TcxGridBand</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Grid bands must be migrated together with their banded grid 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TcxTreeList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TreeList structure and data binding require a custom migration plan.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TcxDBTreeList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TreeList structure requires a custom migration plan.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TcxVerticalGrid</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Vertical grid rows, editors, and data binding require manual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TcxDBVerticalGrid</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vertical grids require manual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TcxPivotGrid</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Pivot grid conversion is report-only in the starter pack.</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TcxDBPivotGrid</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pivot grid conversion is report-only in the starter pack.</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TdxBarManager</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 bar and ribbon systems require manual FMX navigation/menu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TdxBar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 bars require manual FMX menu/toolbutton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TdxBarButton</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Bar buttons must be migrated with their bar manager or ribbon context.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TdxBarSubItem</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Nested bar menu structures require manual FMX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TdxBarPopupMenu</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Popup menu structures require manual FMX menu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TdxRibbon</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Ribbon conversion is report-only in the starter pack.</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TdxRibbonTab</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Ribbon tabs must be redesigned with the ribbon/navigation model.</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TdxRibbonTabGroup</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Ribbon tab groups must be redesigned with the ribbon/navigation model.</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TdxRibbonStatusBar</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Ribbon status bars require manual FMX status/navigation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TdxDockingManager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Docking systems require manual FMX layout and window-management 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TdxDockSite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Dock sites require manual FMX layout 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TdxDockPanel</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Dock panels require manual FMX layout 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TdxLayoutDockSite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Layout dock sites require manual FMX layout 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TcxScheduler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Scheduler conversion is report-only in the basic pack.</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TcxSchedulerStorage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Scheduler storage requires manual data-model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TcxSchedulerDBStorage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scheduler storage requires manual data-model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TdxGanttControl</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Gantt controls require manual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TdxChartControl</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Chart controls require manual chart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TdxGaugeControl</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Gauge controls require manual visual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TdxMapControl</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Map controls require manual platform/service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TdxDashboardControl</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Dashboard controls require manual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TdxBarCode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Barcode controls may have FMX alternatives, but symbology and rendering must be reviewed.</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TdxDBBarCode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barcode controls require manual rendering and binding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TdxTokenEdit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Token editors require custom FMX interaction 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TdxDBTokenEdit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token editors require custom FMX interaction and binding 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TcxRichEdit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Rich edit controls require manual document/editor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TcxDBRichEdit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rich edit controls require manual document/editor and binding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TdxSpellChecker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Spell checker integration requires manual replacement.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TdxPDFViewer</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PDF viewer conversion is report-only in the basic pack.</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TdxSpreadSheet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Spreadsheet controls require manual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TdxSkinController</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VCL skin systems do not directly translate to FMX styles.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TcxColorComboBox</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Recreate color display logic using custom item painting or a color picker dialog in FMX.</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TcxCurrencyEdit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Implement currency formatting and validation manually or use a TNumberBox/TSpinBox with custom format string.</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TcxHyperLinkEdit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Add OnClick handler to open the URL via TLauncher.LaunchURL or equivalent FMX approach.</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TcxImageComboBox</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Review item images, display text, and any ImageList references. Recreate image display using custom item templates.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TcxListView</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 ListView structure, item templates, groups, virtual mode, and custom drawing require manual FMX redesign. Consider FMX TListView with custom item appearances.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TcxProgressBar</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TProgressBar</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Basic progress value and range map to FMX TProgressBar. DevExpress styling, text overlay, and animation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TcxTrackBar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TTrackBar</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Trackbar value and range map conceptually to FMX TTrackBar. Tick marks, DevExpress skin, and custom thumb rendering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TdxRatingControl</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Rating/star controls have no direct FMX stock equivalent. Requires custom FMX visual design using TImage or TPath components for star rendering.</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DevExpress_MappingPack_v4_1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TdxScrollBox</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TScrollBox</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Scroll container behavior maps to FMX TScrollBox. DevExpress style, virtual scrolling, and touch behavior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TEditEh</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Plain text entry can map to TEdit. Edit buttons, masks, lookup behavior, and validation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TDBEditEh</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DataSource/DataField conversion and LiveBindings output.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TComboBoxEh</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Basic item list can map. MRU, edit buttons, lookup behavior, and custom dropdowns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TDBComboBoxEh</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field values, lookup lists, and LiveBindings.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TDBDateTimeEditEh</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TDateEdit</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date/time formatting and data binding.</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TDBNumberEditEh</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 TSpinBox/TNumberBox/custom validation where appropriate.</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TDBCheckBoxEh</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TCheckBox</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field values and LiveBindings.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TDBGridEh</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 DBGrid has rich columns, editors, footers, filters, and data behavior requiring a grid-specific migration plan.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TDBVertGridEh</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Vertical data grid requires manual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TDBLookupComboboxEh</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Lookup key/display/list-source semantics are too application-specific for automatic conversion.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TDBLookupListBoxEh</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Lookup list semantics require manual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TMemTableEh</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In-memory dataset may need FireDAC TFDMemTable or another FMX-compatible replacement; review fields, indexes, and persistence.</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TDataSetDriverEh</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Dataset driver/update behavior requires data-layer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TPlannerControlEh</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Planner controls require manual scheduler/data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TDBPlannerControlEh</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planner controls require manual scheduler/data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TDBLabelEh</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TLabel</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DataSource/DataField conversion and LiveBindings output for label field display.</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TDateTimeEditEh</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TDateEdit</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date/time formatting, null date behavior, and DataSource/DataField if data-aware.</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TCalcEditEh</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Replace calculator popup with a custom numeric input approach or TSpinBox/TNumberBox with appropriate range and format.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TPopupDateTimePickerEh</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TDateEdit</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popup behavior, date formatting, and time portion handling after conversion.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TLookupEh</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EhLib standalone lookup control with dataset/key/display semantics requires manual FMX redesign. Consider a TComboBox with LiveBindings lookup or a custom FMX lookup editor.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TfrxReport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 reports may be portable only if the target project owns a compatible FastReport FMX/runtime package and report templates are reviewed.</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TfrxDBDataSet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Dataset connectors must be reviewed with the target data layer and FastReport package.</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TfrxUserDataSet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User dataset callbacks and report data feeding are application-specific.</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TfrxIBODataSet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IB Objects connector behavior depends on the source data-access stack.</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TfrxPreview</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Preview UI must be matched to the FastReport FMX viewer or redesigned.</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TfrxDesigner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Report designer integration is package/version/license-specific.</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TfrxPDFExport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Exporter may have a compatible runtime class, but output settings and package references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TfrxXLSExport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Legacy XLS export settings and package references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TfrxXLSXExport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XLSX export settings and package references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TfrxHTMLExport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HTML export settings and package references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TfrxRTFExport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RTF export settings and package references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TfrxCSVExport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CSV export settings and package references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TfrxMailExport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Mail export depends on platform mail/network behavior and package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TfrxReportServer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 server components require architecture-level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TfrxServerConnection</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Client/server report connection behavior requires architecture-level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TfrxReportClient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Report client behavior depends on FastReport server/client architecture.</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FastReport_MappingPack_v4_1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TfrxHTTPClient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HTTP report client behavior requires manual network/runtime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TgtPDFViewer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Gnostice PDF viewer UI requires PDF-library-specific FMX replacement or manual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TgtPDFDocument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TgtPDFDocument</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PDF document component may be preservable if the target owns compatible packages; review licensing, deployment, and platform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TgtPDFPrinter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PDF printing is platform-specific and must be reviewed manually.</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TgtPDFOutlineViewer</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PDF outline/navigation UI requires manual FMX replacement.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TgtPDFSearch</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PDF search behavior depends on the document engine and UI integration.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TImageEnView</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ImageEn visual image viewer/editor behavior requires manual FMX replacement or package-specific support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TImageEnMView</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Multi-image thumbnail/browser UI requires manual FMX replacement.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TImageEnVect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Vector/image editing features do not map safely to stock FMX controls.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TImageEnLayerMView</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Layered image editing UI requires package-specific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TImageEnProc</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TImageEnProc</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Image processing component may be preservable, but package/platform support and bitmap type usage must be reviewed.</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TImageEnIO</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TImageEnIO</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Image I/O may be preservable, but codec deployment, file paths, and target-platform support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TImageEnFolderMView</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Folder/image browser UI requires manual FMX replacement and platform storage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TImageEnDBView</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image viewing requires dataset, blob field, and LiveBindings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TImageEnDBMView</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Data-aware thumbnail browsing requires manual dataset and UI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TPdfViewer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Generic PDF viewer class detected; confirm actual vendor/library and choose an FMX-compatible PDF strategy.</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Imaging_PDF_MappingPack_v4_1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TPdfDocument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Generic PDF document class detected; verify library, licensing, deployment, and platform support.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TwwDBEdit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DataSource/DataField conversion and any PictureMask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TwwDBRichEdit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Rich text data-aware editing requires manual document/editor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TwwDBMemo</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TMemo</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LiveBindings and memo field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TwwDBComboBox</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TComboBox</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item/value mapping and LiveBindings.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TwwCheckBox</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TCheckBox</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DB value mapping.</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TwwDBDateTimePicker</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TDateEdit</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date/time field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TwwDBLookupCombo</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Lookup combo table/key/display/filter behavior is too application-specific for automatic conversion.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TwwDBLookupComboDlg</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Lookup dialog behavior requires explicit FMX UI and data-binding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TwwDBGrid</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 DBGrid has rich columns, embedded controls, lookup editors, filtering, and searching that need a grid-specific migration plan.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TwwRecordViewPanel</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Record view layout is application-specific and should be redesigned manually.</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TwwDBNavigator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40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Atlas commands should be reviewed with the target data-binding approach.</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TwwIncrementalSearch</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manual_review</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35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Incremental dataset search behavior needs manual data-layer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TwwFilterDialog</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Visual filtering dialog and SQL/filter generation require manual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TwwLocateDialog</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Locate/search dialogs require manual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TwwSearchDialog</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Search dialog behavior requires manual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TwwLabel</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TLabel</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that any HTML-formatted caption content is reviewed and replaced with plain text or an FMX HTML-capable label.</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TwwImage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60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image resource loading and any DataSource/DataField wiring if data-aware.</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TwwDBImage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TImage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LiveBindings setup for blob/image fields and review image loading from dataset.</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TwwStatusBar</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25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 status bar panels and owner-drawn panes require manual FMX layout redesign using TLayout and TLabel combinations at the bottom of the form.</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InfoPower_MappingPack_v4_1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TwwCalendar</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TCalendar</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Verify date selection events and any custom day rendering or highlighting behavior.</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TIWAppForm</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 forms are web forms, not FMX forms. Migration requires architecture-level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TIWButton</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 controls execute in a browser/server lifecycle and should not be automatically converted to FMX controls.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TIWEdit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 edit controls require web-framework or app-architecture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TIWMemo</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 memo controls require web-framework or app-architecture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TIWLabel</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 labels render HTML and should be reviewed in the web/app migration plan.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TIWCheckBox</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 controls use browser/server state and should not be auto-converted.</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TIWComboBox</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 combo boxes require web-framework or app-architecture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TIWListBox</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 list controls require web-framework or app-architecture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TIWImage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 image/resource handling requires manual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TIWRegion</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 layout regions require manual FMX or web layout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TIWGrid</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 grids require web-framework or app-architecture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TIWDBGrid</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 data grids require web-framework/data 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TUniForm</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forms are web application forms, not FMX forms. Migration requires architecture-level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TUniButton</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controls use Ext JS/web lifecycle and should not be automatically converted to FMX.</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TUniEdit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edit controls require web-framework or app-architecture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TUniMemo</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memo controls require web-framework or app-architecture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TUniLabel</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labels are browser-rendered controls and require migration planning.</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TUniCheckBox</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controls use web state and should not be auto-converted.</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TUniComboBox</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combo boxes require web-framework or app-architecture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TUniDBComboBox</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data-aware controls require web/data 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TUniDBEdit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data-aware controls require web/data 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TUniDBGrid</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data grids require web/data 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TUniPanel</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panels are web layout controls and require manual UI redesign.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TUniPageControl</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page controls require web/app 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TUniTabSheet</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10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tab sheets require web/app architecture migration.</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TUniMainModule</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application modules are architecture-level web framework components.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IntraWeb_UniGUI_MappingPack_v4_1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TUniServerModule</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Manual review / none</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detect_only</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uniGUI server modules are architecture-level web framework components.</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JVCL_MappingPack_v4_1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TJvButton</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TButton</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Basic button behavior maps. JVCL glyph/layout extras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JVCL_MappingPack_v4_1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TJvBitBtn</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TButton</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partial</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75</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Button action maps. Glyph/kind/layout behavior requires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JVCL_MappingPack_v4_1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TJvEdit</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TEdit</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Basic text edit maps. JVCL validation and visual extras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JVCL_MappingPack_v4_1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TJvMemo</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TMemo</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Basic memo text maps. JVCL additions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JVCL_MappingPack_v4_1</w:t>
            </w:r>
          </w:p>
        </w:tc>
        <w:tc>
          <w:tcPr>
            <w:tcW w:w="139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TJvCheckBox</w:t>
            </w:r>
          </w:p>
        </w:tc>
        <w:tc>
          <w:tcPr>
            <w:tcW w:w="138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TCheckBox</w:t>
            </w:r>
          </w:p>
        </w:tc>
        <w:tc>
          <w:tcPr>
            <w:tcW w:w="115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85</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Basic checked/caption behavior maps. JVCL visual extras require review.</w:t>
            </w:r>
          </w:p>
        </w:tc>
      </w:tr>
      <w:tr>
        <w:trPr>
          <w:cantSplit/>
        </w:trPr>
        <w:tc>
          <w:tcPr>
            <w:tcW w:w="29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JVCL_MappingPack_v4_1</w:t>
            </w:r>
          </w:p>
        </w:tc>
        <w:tc>
          <w:tcPr>
            <w:tcW w:w="139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TJvRadioButton</w:t>
            </w:r>
          </w:p>
        </w:tc>
        <w:tc>
          <w:tcPr>
            <w:tcW w:w="138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TRadioButton</w:t>
            </w:r>
          </w:p>
        </w:tc>
        <w:tc>
          <w:tcPr>
            <w:tcW w:w="115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convert</w:t>
            </w:r>
          </w:p>
        </w:tc>
        <w:tc>
          <w:tcPr>
            <w:tcW w:w="127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80</w:t>
            </w:r>
          </w:p>
        </w:tc>
        <w:tc>
          <w:tcPr>
            <w:tcW w:w="205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color w:val="000000"/>
                <w:kern w:val="0"/>
                <w:sz w:val="19"/>
                <w:szCs w:val="22"/>
                <w:lang w:val="en-US" w:eastAsia="en-US" w:bidi="ar-SA"/>
              </w:rPr>
              <w:t>Basic checked/caption behavior maps. Group semantics require review.</w:t>
            </w:r>
          </w:p>
        </w:tc>
      </w:tr>
    </w:tbl>
    <w:p>
      <w:pPr>
        <w:pStyle w:val="Heading1"/>
        <w:pageBreakBefore w:val="false"/>
        <w:rPr/>
      </w:pPr>
      <w:bookmarkStart w:id="14" w:name="__RefHeading___Toc24265_239329132"/>
      <w:bookmarkStart w:id="15" w:name="_Toc233481053"/>
      <w:bookmarkEnd w:id="14"/>
      <w:r>
        <w:rPr>
          <w:color w:val="000000"/>
        </w:rPr>
        <w:t>Notes on Scope</w:t>
      </w:r>
      <w:bookmarkEnd w:id="15"/>
    </w:p>
    <w:p>
      <w:pPr>
        <w:pStyle w:val="Normal"/>
        <w:pageBreakBefore w:val="false"/>
        <w:rPr/>
      </w:pPr>
      <w:r>
        <w:rPr/>
        <w:t>This document is a reference surface, not a promise that every listed conversion is final production behavior. Direct mappings still require compile and runtime validation, substitute mappings need inspection, and manual-review rows are intentionally conservative.</w:t>
      </w:r>
    </w:p>
    <w:p>
      <w:pPr>
        <w:pStyle w:val="Normal"/>
        <w:pageBreakBefore w:val="false"/>
        <w:rPr/>
      </w:pPr>
      <w:r>
        <w:rPr/>
        <w:t>The live converter UI remains the best quick view during operation because it is generated from the running mapper. This document gives a release-reference copy in the docs folder.</w:t>
      </w:r>
    </w:p>
    <w:p>
      <w:pPr>
        <w:pStyle w:val="Heading1"/>
        <w:pageBreakBefore w:val="false"/>
        <w:spacing w:before="0" w:after="0"/>
        <w:rPr/>
      </w:pPr>
      <w:bookmarkStart w:id="16" w:name="__RefHeading___Toc24267_239329132"/>
      <w:bookmarkEnd w:id="16"/>
      <w:r>
        <w:rPr>
          <w:color w:val="000000"/>
        </w:rPr>
        <w:t>V7 Atlas language support and operating safeguards</w:t>
      </w:r>
    </w:p>
    <w:p>
      <w:pPr>
        <w:pStyle w:val="Normal"/>
        <w:pageBreakBefore w:val="false"/>
        <w:rPr/>
      </w:pPr>
      <w:r>
        <w:rPr/>
        <w:t>Last changed October 15, 2026</w:t>
      </w:r>
    </w:p>
    <w:p>
      <w:pPr>
        <w:pStyle w:val="Normal"/>
        <w:pageBreakBefore w:val="false"/>
        <w:rPr/>
      </w:pPr>
      <w:r>
        <w:rPr/>
        <w:t>VCL2FMXConverter v7.0 Atlas retains the established conversion workflow and adds 35 selectable interface language packs, translated display messages and reports, and online translation of Help. Language packs do not add conversion rules or translate generated applications. V7 also includes input, output and encoding safeguards described in this edition; it is not strictly a language-only code change.</w:t>
      </w:r>
    </w:p>
    <w:p>
      <w:pPr>
        <w:pStyle w:val="Heading2"/>
        <w:pageBreakBefore w:val="false"/>
        <w:rPr/>
      </w:pPr>
      <w:bookmarkStart w:id="17" w:name="__RefHeading___Toc24269_239329132"/>
      <w:bookmarkEnd w:id="17"/>
      <w:r>
        <w:rPr>
          <w:color w:val="000000"/>
        </w:rPr>
        <w:t>Choosing a language</w:t>
      </w:r>
    </w:p>
    <w:p>
      <w:pPr>
        <w:pStyle w:val="Normal"/>
        <w:pageBreakBefore w:val="false"/>
        <w:rPr/>
      </w:pPr>
      <w:r>
        <w:rPr/>
        <w:t>Choose a language in the header. The 35 bundled interface packs work offline and the preference is saved. On first use the language manager can select a matching system language. Missing packs fall back to English. Display messages and reference descriptions are translated; technical identifiers retain their spelling. The language selected when conversion starts is used for saved text and HTML reports. Existing reports are not rewritten when the interface language changes. Canonical JSON reports retain their English schema and data.</w:t>
      </w:r>
    </w:p>
    <w:p>
      <w:pPr>
        <w:pStyle w:val="Heading2"/>
        <w:pageBreakBefore w:val="false"/>
        <w:rPr/>
      </w:pPr>
      <w:bookmarkStart w:id="18" w:name="__RefHeading___Toc24271_239329132"/>
      <w:bookmarkEnd w:id="18"/>
      <w:r>
        <w:rPr>
          <w:color w:val="000000"/>
        </w:rPr>
        <w:t>Reading translated Help</w:t>
      </w:r>
    </w:p>
    <w:p>
      <w:pPr>
        <w:pStyle w:val="Normal"/>
        <w:pageBreakBefore w:val="false"/>
        <w:rPr/>
      </w:pPr>
      <w:r>
        <w:rPr/>
        <w:t>Help opened from Atlas uses a local HTTP server and passes the selected language to the manual. Keep Atlas running while browsing that Help session. Automatic Help translation requires Internet access; English Help remains available offline. Help hosted as ordinary web pages uses its language selector and can inherit the website selection. Opening local HTML directly with file:// does not provide the same online translation behavior. PDF and DOCX guides are supplied in English.</w:t>
      </w:r>
    </w:p>
    <w:p>
      <w:pPr>
        <w:pStyle w:val="Heading2"/>
        <w:pageBreakBefore w:val="false"/>
        <w:rPr/>
      </w:pPr>
      <w:bookmarkStart w:id="19" w:name="__RefHeading___Toc24273_239329132"/>
      <w:bookmarkEnd w:id="19"/>
      <w:r>
        <w:rPr>
          <w:color w:val="000000"/>
        </w:rPr>
        <w:t>Editing and adding translations</w:t>
      </w:r>
    </w:p>
    <w:p>
      <w:pPr>
        <w:pStyle w:val="Normal"/>
        <w:pageBreakBefore w:val="false"/>
        <w:rPr/>
      </w:pPr>
      <w:r>
        <w:rPr/>
        <w:t>Use the Delphi App Translation Studio with the matching V7 source workspace. Open the translation project/catalog under Localization/Development, scan the application, edit translations and glossary entries, run Validation, then Export Runtime Pack. Install the locale JSON under Localization/Languages beside the executable and restart Atlas. Back up customized packs before replacement. For a new language, create a catalog for that target locale rather than relabeling an existing pack. Check placeholders, technical names, long labels and right-to-left layout. A new Help language also needs a supported language mapping in the separate Help selector. Editing an interface pack does not change the online Help translation service.</w:t>
      </w:r>
    </w:p>
    <w:p>
      <w:pPr>
        <w:pStyle w:val="Heading2"/>
        <w:pageBreakBefore w:val="false"/>
        <w:rPr/>
      </w:pPr>
      <w:bookmarkStart w:id="20" w:name="__RefHeading___Toc24275_239329132"/>
      <w:bookmarkEnd w:id="20"/>
      <w:r>
        <w:rPr>
          <w:color w:val="000000"/>
        </w:rPr>
        <w:t>Translation review</w:t>
      </w:r>
    </w:p>
    <w:p>
      <w:pPr>
        <w:pStyle w:val="Normal"/>
        <w:pageBreakBefore w:val="false"/>
        <w:rPr/>
      </w:pPr>
      <w:r>
        <w:rPr/>
        <w:t>The included language packs are machine-generated and have not been reviewed by native speakers. Translation problems can be corrected using the Delphi App Translation Studio or reported to the developer with the locale, current wording and proposed correction. For a complete procedure, see the V7 Translation Guide and the Help topic Using and maintaining translations.</w:t>
      </w:r>
    </w:p>
    <w:p>
      <w:pPr>
        <w:pStyle w:val="Heading2"/>
        <w:pageBreakBefore w:val="false"/>
        <w:rPr/>
      </w:pPr>
      <w:bookmarkStart w:id="21" w:name="__RefHeading___Toc24277_239329132"/>
      <w:bookmarkEnd w:id="21"/>
      <w:r>
        <w:rPr>
          <w:color w:val="000000"/>
        </w:rPr>
        <w:t>Source and output checks</w:t>
      </w:r>
    </w:p>
    <w:p>
      <w:pPr>
        <w:pStyle w:val="Normal"/>
        <w:pageBreakBefore w:val="false"/>
        <w:rPr/>
      </w:pPr>
      <w:r>
        <w:rPr/>
        <w:t>Select one original VCL project and a separate output folder. V7 resolves paths before conversion, checks project selection before output cleanup, rejects ambiguous or mismatched DPR/DPROJ selections, and blocks empty input and unreadable source files. Scanned directory links and reparse points, and hard-linked output files, are rejected. Dry-run preview may write reports and create the output directory, but does not write converted source or remove existing build/history folders. Report actions use only paths produced by the current run.</w:t>
      </w:r>
    </w:p>
    <w:p>
      <w:pPr>
        <w:pStyle w:val="Heading2"/>
        <w:pageBreakBefore w:val="false"/>
        <w:rPr/>
      </w:pPr>
      <w:bookmarkStart w:id="22" w:name="__RefHeading___Toc24279_239329132"/>
      <w:bookmarkEnd w:id="22"/>
      <w:r>
        <w:rPr>
          <w:color w:val="000000"/>
        </w:rPr>
        <w:t>Text encoding</w:t>
      </w:r>
    </w:p>
    <w:p>
      <w:pPr>
        <w:pStyle w:val="Normal"/>
        <w:pageBreakBefore w:val="false"/>
        <w:widowControl/>
        <w:bidi w:val="0"/>
        <w:spacing w:lineRule="auto" w:line="276" w:before="0" w:after="200"/>
        <w:jc w:val="start"/>
        <w:rPr/>
      </w:pPr>
      <w:r>
        <w:rPr/>
        <w:t>Input text detection supports UTF-8, UTF-16 and explicit supported Pascal code-page directives. Without a byte-order mark or directive, valid UTF-8 is preferred; other legacy bytes use Windows-1252. Convert other legacy encodings to UTF-8 in Delphi before conversion. Generated Pascal output is UTF-8, and active code-page directives are normalized to {$CODEPAGE UTF8}. This can change generated text without changing the intended conversion rule.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432" w:top="1008" w:footer="432" w:bottom="93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end"/>
      <w:rPr/>
    </w:pPr>
    <w:r>
      <w:rPr/>
      <w:fldChar w:fldCharType="begin"/>
    </w:r>
    <w:r>
      <w:rPr/>
      <w:instrText xml:space="preserve"> PAGE </w:instrText>
    </w:r>
    <w:r>
      <w:rPr/>
      <w:fldChar w:fldCharType="separate"/>
    </w:r>
    <w:r>
      <w:rPr/>
      <w:t>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40"/>
      <w:jc w:val="start"/>
      <w:rPr/>
    </w:pPr>
    <w:r>
      <w:rPr>
        <w:sz w:val="18"/>
      </w:rPr>
      <w:t>VCL2FMXConverter v7.0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59" w:before="0" w:after="140"/>
      <w:jc w:val="start"/>
    </w:pPr>
    <w:rPr>
      <w:rFonts w:ascii="Calibri" w:hAnsi="Calibri" w:eastAsia="" w:cs="" w:cstheme="minorBidi" w:eastAsiaTheme="minorEastAsia"/>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val="false"/>
      <w:spacing w:before="300" w:after="120"/>
      <w:outlineLvl w:val="0"/>
    </w:pPr>
    <w:rPr>
      <w:rFonts w:ascii="Calibri" w:hAnsi="Calibri" w:eastAsia=""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pageBreakBefore w:val="false"/>
      <w:spacing w:before="300" w:after="120"/>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pageBreakBefore w:val="false"/>
      <w:spacing w:before="300" w:after="120"/>
      <w:outlineLvl w:val="2"/>
    </w:pPr>
    <w:rPr>
      <w:rFonts w:ascii="Calibri" w:hAnsi="Calibri" w:eastAsia=""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c87e42"/>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Microsoft YaHei" w:cs="Lucida Sans"/>
      <w:color w:val="000000"/>
      <w:sz w:val="28"/>
      <w:szCs w:val="28"/>
    </w:rPr>
  </w:style>
  <w:style w:type="paragraph" w:styleId="BodyText">
    <w:name w:val="Body Text"/>
    <w:basedOn w:val="Normal"/>
    <w:link w:val="BodyTextChar"/>
    <w:uiPriority w:val="99"/>
    <w:unhideWhenUsed/>
    <w:rsid w:val="00aa1d8d"/>
    <w:pPr>
      <w:spacing w:before="0" w:after="120"/>
    </w:pPr>
    <w:rPr>
      <w:rFonts w:ascii="Calibri" w:hAnsi="Calibri"/>
      <w:color w:val="000000"/>
    </w:rPr>
  </w:style>
  <w:style w:type="paragraph" w:styleId="List">
    <w:name w:val="List"/>
    <w:basedOn w:val="Normal"/>
    <w:uiPriority w:val="99"/>
    <w:unhideWhenUsed/>
    <w:rsid w:val="00aa1d8d"/>
    <w:pPr>
      <w:spacing w:before="0" w:after="20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spacing w:lineRule="auto" w:line="240"/>
    </w:pPr>
    <w:rPr>
      <w:rFonts w:ascii="Calibri" w:hAnsi="Calibri"/>
      <w:b/>
      <w:bCs/>
      <w:color w:val="000000"/>
      <w:sz w:val="18"/>
      <w:szCs w:val="18"/>
    </w:rPr>
  </w:style>
  <w:style w:type="paragraph" w:styleId="Index">
    <w:name w:val="Index"/>
    <w:basedOn w:val="Normal"/>
    <w:qFormat/>
    <w:pPr>
      <w:suppressLineNumbers/>
    </w:pPr>
    <w:rPr>
      <w:rFonts w:ascii="Calibri" w:hAnsi="Calibri" w:cs="Lucida Sans"/>
      <w:color w:val="000000"/>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000000"/>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 w:cs="" w:asciiTheme="majorHAnsi" w:cstheme="majorBidi" w:eastAsiaTheme="majorEastAsia" w:hAnsiTheme="majorHAnsi"/>
      <w:b w:val="false"/>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200"/>
      <w:ind w:start="720"/>
      <w:contextualSpacing/>
    </w:pPr>
    <w:rPr>
      <w:rFonts w:ascii="Calibri" w:hAnsi="Calibri"/>
      <w:color w:val="000000"/>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color w:val="000000"/>
    </w:rPr>
  </w:style>
  <w:style w:type="paragraph" w:styleId="BodyText3">
    <w:name w:val="Body Text 3"/>
    <w:basedOn w:val="Normal"/>
    <w:link w:val="BodyText3Char"/>
    <w:uiPriority w:val="99"/>
    <w:unhideWhenUsed/>
    <w:qFormat/>
    <w:rsid w:val="00aa1d8d"/>
    <w:pPr>
      <w:spacing w:before="0" w:after="120"/>
    </w:pPr>
    <w:rPr>
      <w:rFonts w:ascii="Calibri" w:hAnsi="Calibri"/>
      <w:color w:val="000000"/>
      <w:sz w:val="16"/>
      <w:szCs w:val="16"/>
    </w:rPr>
  </w:style>
  <w:style w:type="paragraph" w:styleId="List2">
    <w:name w:val="List 2"/>
    <w:basedOn w:val="Normal"/>
    <w:uiPriority w:val="99"/>
    <w:unhideWhenUsed/>
    <w:qFormat/>
    <w:rsid w:val="00326f90"/>
    <w:pPr>
      <w:spacing w:before="0" w:after="20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20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20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20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20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20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20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20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alibri" w:hAnsi="Calibri" w:eastAsia="" w:cs="" w:cstheme="minorBidi" w:eastAsiaTheme="minorEastAsia"/>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unhideWhenUsed/>
    <w:qFormat/>
    <w:rsid w:val="00fc693f"/>
    <w:pPr>
      <w:outlineLvl w:val="9"/>
    </w:pPr>
    <w:rPr>
      <w:rFonts w:ascii="Calibri" w:hAnsi="Calibri"/>
      <w:color w:val="000000"/>
    </w:rPr>
  </w:style>
  <w:style w:type="paragraph" w:styleId="TOC2" w:customStyle="1">
    <w:name w:val="toc 2"/>
    <w:next w:val="Normal"/>
    <w:autoRedefine/>
    <w:pPr>
      <w:widowControl/>
      <w:tabs>
        <w:tab w:val="clear" w:pos="720"/>
        <w:tab w:val="right" w:pos="10224" w:leader="dot"/>
      </w:tabs>
      <w:suppressAutoHyphens w:val="true"/>
      <w:bidi w:val="0"/>
      <w:spacing w:before="0" w:after="79"/>
      <w:ind w:start="227" w:end="0"/>
      <w:jc w:val="start"/>
    </w:pPr>
    <w:rPr>
      <w:rFonts w:ascii="Calibri" w:hAnsi="Calibri" w:eastAsia="" w:cs=""/>
      <w:color w:val="000000"/>
      <w:kern w:val="0"/>
      <w:sz w:val="22"/>
      <w:szCs w:val="22"/>
      <w:lang w:val="en-US" w:eastAsia="en-US" w:bidi="ar-SA"/>
    </w:rPr>
  </w:style>
  <w:style w:type="paragraph" w:styleId="TOC1" w:customStyle="1">
    <w:name w:val="toc 1"/>
    <w:next w:val="Normal"/>
    <w:autoRedefine/>
    <w:pPr>
      <w:widowControl/>
      <w:tabs>
        <w:tab w:val="clear" w:pos="720"/>
        <w:tab w:val="right" w:pos="10224" w:leader="dot"/>
      </w:tabs>
      <w:suppressAutoHyphens w:val="true"/>
      <w:bidi w:val="0"/>
      <w:spacing w:before="0" w:after="79"/>
      <w:ind w:start="0" w:end="0"/>
      <w:jc w:val="start"/>
    </w:pPr>
    <w:rPr>
      <w:rFonts w:ascii="Calibri" w:hAnsi="Calibri" w:eastAsia="" w:cs=""/>
      <w:color w:val="000000"/>
      <w:kern w:val="0"/>
      <w:sz w:val="22"/>
      <w:szCs w:val="22"/>
      <w:lang w:val="en-US" w:eastAsia="en-US" w:bidi="ar-SA"/>
    </w:rPr>
  </w:style>
  <w:style w:type="paragraph" w:styleId="TOC3" w:customStyle="1">
    <w:name w:val="toc 3"/>
    <w:pPr>
      <w:widowControl/>
      <w:tabs>
        <w:tab w:val="clear" w:pos="720"/>
        <w:tab w:val="right" w:pos="10224" w:leader="dot"/>
      </w:tabs>
      <w:suppressAutoHyphens w:val="true"/>
      <w:bidi w:val="0"/>
      <w:spacing w:before="0" w:after="100"/>
      <w:jc w:val="start"/>
    </w:pPr>
    <w:rPr>
      <w:rFonts w:ascii="Calibri" w:hAnsi="Calibri" w:eastAsia="" w:cs=""/>
      <w:color w:val="000000"/>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LibreOffice/26.2.5.2$Windows_X86_64 LibreOffice_project/cd7284b4cbbfeb507e630c1aac019f4157393acb</Application>
  <AppVersion>15.0000</AppVersion>
  <Pages>3</Pages>
  <Words>7721</Words>
  <Characters>44012</Characters>
  <CharactersWithSpaces>51630</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VCL2FMXConverter</dc:creator>
  <dc:description>generated by python-docx</dc:description>
  <dc:language>en-US</dc:language>
  <cp:lastModifiedBy/>
  <dcterms:modified xsi:type="dcterms:W3CDTF">2026-10-18T16:42:31Z</dcterms:modified>
  <cp:revision>24</cp:revision>
  <dc:subject/>
  <dc:title>VCL2FMXConverter v7.0 Atlas Rules and Mapping Reference</dc:title>
</cp:coreProperties>
</file>

<file path=docProps/custom.xml><?xml version="1.0" encoding="utf-8"?>
<Properties xmlns="http://schemas.openxmlformats.org/officeDocument/2006/custom-properties" xmlns:vt="http://schemas.openxmlformats.org/officeDocument/2006/docPropsVTypes"/>
</file>