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7FA7" w14:textId="77777777" w:rsidR="008967D8" w:rsidRDefault="008967D8">
      <w:pPr>
        <w:jc w:val="center"/>
        <w:rPr>
          <w:b/>
          <w:color w:val="1F4E79"/>
          <w:sz w:val="48"/>
        </w:rPr>
      </w:pPr>
    </w:p>
    <w:p w14:paraId="59B40A66" w14:textId="77777777" w:rsidR="008967D8" w:rsidRDefault="008967D8">
      <w:pPr>
        <w:jc w:val="center"/>
        <w:rPr>
          <w:b/>
          <w:color w:val="1F4E79"/>
          <w:sz w:val="48"/>
        </w:rPr>
      </w:pPr>
    </w:p>
    <w:p w14:paraId="6AFFD800" w14:textId="77777777" w:rsidR="008967D8" w:rsidRDefault="008967D8">
      <w:pPr>
        <w:jc w:val="center"/>
        <w:rPr>
          <w:b/>
          <w:color w:val="1F4E79"/>
          <w:sz w:val="48"/>
        </w:rPr>
      </w:pPr>
    </w:p>
    <w:p w14:paraId="740E55E2" w14:textId="77777777" w:rsidR="00E50540" w:rsidRDefault="00E50540">
      <w:pPr>
        <w:jc w:val="center"/>
        <w:rPr>
          <w:b/>
          <w:color w:val="1F4E79"/>
          <w:sz w:val="48"/>
        </w:rPr>
      </w:pPr>
    </w:p>
    <w:p w14:paraId="6501AFDE" w14:textId="77777777" w:rsidR="00E50540" w:rsidRDefault="00E50540">
      <w:pPr>
        <w:jc w:val="center"/>
        <w:rPr>
          <w:b/>
          <w:color w:val="1F4E79"/>
          <w:sz w:val="48"/>
        </w:rPr>
      </w:pPr>
    </w:p>
    <w:p w14:paraId="0CC4BFBA" w14:textId="77777777" w:rsidR="001B2202" w:rsidRDefault="00CD1855">
      <w:pPr>
        <w:jc w:val="center"/>
      </w:pPr>
      <w:r>
        <w:rPr>
          <w:b/>
          <w:color w:val="1F4E79"/>
          <w:sz w:val="48"/>
        </w:rPr>
        <w:t>VCL2FMXConverter v5.0 Runtime Flow</w:t>
      </w:r>
    </w:p>
    <w:p w14:paraId="72FC0182" w14:textId="77777777" w:rsidR="008967D8" w:rsidRDefault="008967D8">
      <w:pPr>
        <w:jc w:val="center"/>
        <w:rPr>
          <w:i/>
          <w:sz w:val="22"/>
        </w:rPr>
      </w:pPr>
    </w:p>
    <w:p w14:paraId="48D2C83F" w14:textId="77777777" w:rsidR="008967D8" w:rsidRDefault="008967D8">
      <w:pPr>
        <w:jc w:val="center"/>
        <w:rPr>
          <w:i/>
          <w:sz w:val="22"/>
        </w:rPr>
      </w:pPr>
    </w:p>
    <w:p w14:paraId="5958E1A4" w14:textId="77777777" w:rsidR="008967D8" w:rsidRDefault="008967D8">
      <w:pPr>
        <w:jc w:val="center"/>
        <w:rPr>
          <w:i/>
          <w:sz w:val="22"/>
        </w:rPr>
      </w:pPr>
    </w:p>
    <w:p w14:paraId="41D538BB" w14:textId="77777777" w:rsidR="008967D8" w:rsidRDefault="008967D8">
      <w:pPr>
        <w:jc w:val="center"/>
        <w:rPr>
          <w:i/>
          <w:sz w:val="22"/>
        </w:rPr>
      </w:pPr>
    </w:p>
    <w:p w14:paraId="2BEE23D8" w14:textId="77777777" w:rsidR="008967D8" w:rsidRDefault="008967D8">
      <w:pPr>
        <w:jc w:val="center"/>
        <w:rPr>
          <w:i/>
          <w:sz w:val="22"/>
        </w:rPr>
      </w:pPr>
    </w:p>
    <w:p w14:paraId="69E1DB00" w14:textId="77777777" w:rsidR="00E50540" w:rsidRDefault="00E50540">
      <w:pPr>
        <w:jc w:val="center"/>
        <w:rPr>
          <w:i/>
          <w:sz w:val="22"/>
        </w:rPr>
      </w:pPr>
    </w:p>
    <w:p w14:paraId="189B7E6C" w14:textId="77777777" w:rsidR="008967D8" w:rsidRDefault="008967D8">
      <w:pPr>
        <w:jc w:val="center"/>
        <w:rPr>
          <w:i/>
          <w:sz w:val="22"/>
        </w:rPr>
      </w:pPr>
    </w:p>
    <w:p w14:paraId="204DAC89" w14:textId="77777777" w:rsidR="008967D8" w:rsidRDefault="008967D8">
      <w:pPr>
        <w:jc w:val="center"/>
        <w:rPr>
          <w:i/>
          <w:sz w:val="22"/>
        </w:rPr>
      </w:pPr>
    </w:p>
    <w:p w14:paraId="5EE0B931" w14:textId="77777777" w:rsidR="008967D8" w:rsidRDefault="008967D8">
      <w:pPr>
        <w:jc w:val="center"/>
        <w:rPr>
          <w:i/>
          <w:sz w:val="22"/>
        </w:rPr>
      </w:pPr>
    </w:p>
    <w:p w14:paraId="6E2D7A32" w14:textId="77777777" w:rsidR="008967D8" w:rsidRDefault="008967D8">
      <w:pPr>
        <w:jc w:val="center"/>
        <w:rPr>
          <w:i/>
          <w:sz w:val="22"/>
        </w:rPr>
      </w:pPr>
    </w:p>
    <w:p w14:paraId="61B5B17F" w14:textId="77777777" w:rsidR="008967D8" w:rsidRDefault="008967D8">
      <w:pPr>
        <w:jc w:val="center"/>
        <w:rPr>
          <w:i/>
          <w:sz w:val="22"/>
        </w:rPr>
      </w:pPr>
    </w:p>
    <w:p w14:paraId="12672D2E" w14:textId="77777777" w:rsidR="008967D8" w:rsidRDefault="008967D8">
      <w:pPr>
        <w:jc w:val="center"/>
        <w:rPr>
          <w:i/>
          <w:sz w:val="22"/>
        </w:rPr>
      </w:pPr>
    </w:p>
    <w:p w14:paraId="1B3D0199" w14:textId="77777777" w:rsidR="001B2202" w:rsidRDefault="00CD1855">
      <w:pPr>
        <w:jc w:val="center"/>
      </w:pPr>
      <w:r>
        <w:rPr>
          <w:i/>
          <w:sz w:val="22"/>
        </w:rPr>
        <w:t>Operational flow from startup through contract-backed conversion, mapping, report generation, and validation</w:t>
      </w:r>
    </w:p>
    <w:p w14:paraId="0E7313CA" w14:textId="77777777" w:rsidR="001B2202" w:rsidRDefault="00CD1855">
      <w:pPr>
        <w:pStyle w:val="Heading2"/>
        <w:jc w:val="center"/>
      </w:pPr>
      <w:bookmarkStart w:id="0" w:name="_Toc233481033"/>
      <w:r>
        <w:t>Version 5.0 Vanguard</w:t>
      </w:r>
      <w:bookmarkEnd w:id="0"/>
    </w:p>
    <w:p w14:paraId="6FCAF19D" w14:textId="77777777" w:rsidR="001B2202" w:rsidRDefault="00CD1855">
      <w:pPr>
        <w:jc w:val="center"/>
      </w:pPr>
      <w:r>
        <w:t>Revision date: June 27, 2026</w:t>
      </w:r>
    </w:p>
    <w:sdt>
      <w:sdtPr>
        <w:rPr>
          <w:rFonts w:ascii="Segoe UI" w:eastAsiaTheme="minorEastAsia" w:hAnsi="Segoe UI" w:cstheme="minorBidi"/>
          <w:b w:val="0"/>
          <w:bCs w:val="0"/>
          <w:color w:val="auto"/>
          <w:sz w:val="20"/>
          <w:szCs w:val="22"/>
        </w:rPr>
        <w:id w:val="-509603355"/>
        <w:docPartObj>
          <w:docPartGallery w:val="Table of Contents"/>
          <w:docPartUnique/>
        </w:docPartObj>
      </w:sdtPr>
      <w:sdtEndPr>
        <w:rPr>
          <w:noProof/>
        </w:rPr>
      </w:sdtEndPr>
      <w:sdtContent>
        <w:p w14:paraId="57A40DF1" w14:textId="77777777" w:rsidR="00E50540" w:rsidRDefault="00E50540">
          <w:pPr>
            <w:pStyle w:val="TOCHeading"/>
          </w:pPr>
          <w:r>
            <w:t>Table of Contents</w:t>
          </w:r>
        </w:p>
        <w:p w14:paraId="6CB4F787" w14:textId="2A308D60" w:rsidR="00265565" w:rsidRDefault="00E50540">
          <w:pPr>
            <w:pStyle w:val="TOC2"/>
            <w:tabs>
              <w:tab w:val="right" w:leader="dot" w:pos="1007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3481033" w:history="1">
            <w:r w:rsidR="00265565" w:rsidRPr="005522FA">
              <w:rPr>
                <w:rStyle w:val="Hyperlink"/>
                <w:noProof/>
              </w:rPr>
              <w:t>Version 5.0 Vanguard</w:t>
            </w:r>
            <w:r w:rsidR="00265565">
              <w:rPr>
                <w:noProof/>
                <w:webHidden/>
              </w:rPr>
              <w:tab/>
            </w:r>
            <w:r w:rsidR="00265565">
              <w:rPr>
                <w:noProof/>
                <w:webHidden/>
              </w:rPr>
              <w:fldChar w:fldCharType="begin"/>
            </w:r>
            <w:r w:rsidR="00265565">
              <w:rPr>
                <w:noProof/>
                <w:webHidden/>
              </w:rPr>
              <w:instrText xml:space="preserve"> PAGEREF _Toc233481033 \h </w:instrText>
            </w:r>
            <w:r w:rsidR="00265565">
              <w:rPr>
                <w:noProof/>
                <w:webHidden/>
              </w:rPr>
            </w:r>
            <w:r w:rsidR="00265565">
              <w:rPr>
                <w:noProof/>
                <w:webHidden/>
              </w:rPr>
              <w:fldChar w:fldCharType="separate"/>
            </w:r>
            <w:r w:rsidR="00B80A5C">
              <w:rPr>
                <w:noProof/>
                <w:webHidden/>
              </w:rPr>
              <w:t>1</w:t>
            </w:r>
            <w:r w:rsidR="00265565">
              <w:rPr>
                <w:noProof/>
                <w:webHidden/>
              </w:rPr>
              <w:fldChar w:fldCharType="end"/>
            </w:r>
          </w:hyperlink>
        </w:p>
        <w:p w14:paraId="7588F412" w14:textId="0B437333"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34" w:history="1">
            <w:r w:rsidRPr="005522FA">
              <w:rPr>
                <w:rStyle w:val="Hyperlink"/>
                <w:noProof/>
              </w:rPr>
              <w:t>Foreword</w:t>
            </w:r>
            <w:r>
              <w:rPr>
                <w:noProof/>
                <w:webHidden/>
              </w:rPr>
              <w:tab/>
            </w:r>
            <w:r>
              <w:rPr>
                <w:noProof/>
                <w:webHidden/>
              </w:rPr>
              <w:fldChar w:fldCharType="begin"/>
            </w:r>
            <w:r>
              <w:rPr>
                <w:noProof/>
                <w:webHidden/>
              </w:rPr>
              <w:instrText xml:space="preserve"> PAGEREF _Toc233481034 \h </w:instrText>
            </w:r>
            <w:r>
              <w:rPr>
                <w:noProof/>
                <w:webHidden/>
              </w:rPr>
            </w:r>
            <w:r>
              <w:rPr>
                <w:noProof/>
                <w:webHidden/>
              </w:rPr>
              <w:fldChar w:fldCharType="separate"/>
            </w:r>
            <w:r w:rsidR="00B80A5C">
              <w:rPr>
                <w:noProof/>
                <w:webHidden/>
              </w:rPr>
              <w:t>3</w:t>
            </w:r>
            <w:r>
              <w:rPr>
                <w:noProof/>
                <w:webHidden/>
              </w:rPr>
              <w:fldChar w:fldCharType="end"/>
            </w:r>
          </w:hyperlink>
        </w:p>
        <w:p w14:paraId="22084476" w14:textId="679E3DF1"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35" w:history="1">
            <w:r w:rsidRPr="005522FA">
              <w:rPr>
                <w:rStyle w:val="Hyperlink"/>
                <w:noProof/>
              </w:rPr>
              <w:t>v5.0 Current Standing</w:t>
            </w:r>
            <w:r>
              <w:rPr>
                <w:noProof/>
                <w:webHidden/>
              </w:rPr>
              <w:tab/>
            </w:r>
            <w:r>
              <w:rPr>
                <w:noProof/>
                <w:webHidden/>
              </w:rPr>
              <w:fldChar w:fldCharType="begin"/>
            </w:r>
            <w:r>
              <w:rPr>
                <w:noProof/>
                <w:webHidden/>
              </w:rPr>
              <w:instrText xml:space="preserve"> PAGEREF _Toc233481035 \h </w:instrText>
            </w:r>
            <w:r>
              <w:rPr>
                <w:noProof/>
                <w:webHidden/>
              </w:rPr>
            </w:r>
            <w:r>
              <w:rPr>
                <w:noProof/>
                <w:webHidden/>
              </w:rPr>
              <w:fldChar w:fldCharType="separate"/>
            </w:r>
            <w:r w:rsidR="00B80A5C">
              <w:rPr>
                <w:noProof/>
                <w:webHidden/>
              </w:rPr>
              <w:t>3</w:t>
            </w:r>
            <w:r>
              <w:rPr>
                <w:noProof/>
                <w:webHidden/>
              </w:rPr>
              <w:fldChar w:fldCharType="end"/>
            </w:r>
          </w:hyperlink>
        </w:p>
        <w:p w14:paraId="32372854" w14:textId="3ADE4E13"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36" w:history="1">
            <w:r w:rsidRPr="005522FA">
              <w:rPr>
                <w:rStyle w:val="Hyperlink"/>
                <w:noProof/>
              </w:rPr>
              <w:t>System at a Glance</w:t>
            </w:r>
            <w:r>
              <w:rPr>
                <w:noProof/>
                <w:webHidden/>
              </w:rPr>
              <w:tab/>
            </w:r>
            <w:r>
              <w:rPr>
                <w:noProof/>
                <w:webHidden/>
              </w:rPr>
              <w:fldChar w:fldCharType="begin"/>
            </w:r>
            <w:r>
              <w:rPr>
                <w:noProof/>
                <w:webHidden/>
              </w:rPr>
              <w:instrText xml:space="preserve"> PAGEREF _Toc233481036 \h </w:instrText>
            </w:r>
            <w:r>
              <w:rPr>
                <w:noProof/>
                <w:webHidden/>
              </w:rPr>
            </w:r>
            <w:r>
              <w:rPr>
                <w:noProof/>
                <w:webHidden/>
              </w:rPr>
              <w:fldChar w:fldCharType="separate"/>
            </w:r>
            <w:r w:rsidR="00B80A5C">
              <w:rPr>
                <w:noProof/>
                <w:webHidden/>
              </w:rPr>
              <w:t>3</w:t>
            </w:r>
            <w:r>
              <w:rPr>
                <w:noProof/>
                <w:webHidden/>
              </w:rPr>
              <w:fldChar w:fldCharType="end"/>
            </w:r>
          </w:hyperlink>
        </w:p>
        <w:p w14:paraId="0912E09B" w14:textId="17E4BE81"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37" w:history="1">
            <w:r w:rsidRPr="005522FA">
              <w:rPr>
                <w:rStyle w:val="Hyperlink"/>
                <w:noProof/>
              </w:rPr>
              <w:t>Startup Sequence</w:t>
            </w:r>
            <w:r>
              <w:rPr>
                <w:noProof/>
                <w:webHidden/>
              </w:rPr>
              <w:tab/>
            </w:r>
            <w:r>
              <w:rPr>
                <w:noProof/>
                <w:webHidden/>
              </w:rPr>
              <w:fldChar w:fldCharType="begin"/>
            </w:r>
            <w:r>
              <w:rPr>
                <w:noProof/>
                <w:webHidden/>
              </w:rPr>
              <w:instrText xml:space="preserve"> PAGEREF _Toc233481037 \h </w:instrText>
            </w:r>
            <w:r>
              <w:rPr>
                <w:noProof/>
                <w:webHidden/>
              </w:rPr>
            </w:r>
            <w:r>
              <w:rPr>
                <w:noProof/>
                <w:webHidden/>
              </w:rPr>
              <w:fldChar w:fldCharType="separate"/>
            </w:r>
            <w:r w:rsidR="00B80A5C">
              <w:rPr>
                <w:noProof/>
                <w:webHidden/>
              </w:rPr>
              <w:t>4</w:t>
            </w:r>
            <w:r>
              <w:rPr>
                <w:noProof/>
                <w:webHidden/>
              </w:rPr>
              <w:fldChar w:fldCharType="end"/>
            </w:r>
          </w:hyperlink>
        </w:p>
        <w:p w14:paraId="343F55BA" w14:textId="6D72780D"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38" w:history="1">
            <w:r w:rsidRPr="005522FA">
              <w:rPr>
                <w:rStyle w:val="Hyperlink"/>
                <w:noProof/>
              </w:rPr>
              <w:t>Mapping Load and Reference Surface</w:t>
            </w:r>
            <w:r>
              <w:rPr>
                <w:noProof/>
                <w:webHidden/>
              </w:rPr>
              <w:tab/>
            </w:r>
            <w:r>
              <w:rPr>
                <w:noProof/>
                <w:webHidden/>
              </w:rPr>
              <w:fldChar w:fldCharType="begin"/>
            </w:r>
            <w:r>
              <w:rPr>
                <w:noProof/>
                <w:webHidden/>
              </w:rPr>
              <w:instrText xml:space="preserve"> PAGEREF _Toc233481038 \h </w:instrText>
            </w:r>
            <w:r>
              <w:rPr>
                <w:noProof/>
                <w:webHidden/>
              </w:rPr>
            </w:r>
            <w:r>
              <w:rPr>
                <w:noProof/>
                <w:webHidden/>
              </w:rPr>
              <w:fldChar w:fldCharType="separate"/>
            </w:r>
            <w:r w:rsidR="00B80A5C">
              <w:rPr>
                <w:noProof/>
                <w:webHidden/>
              </w:rPr>
              <w:t>4</w:t>
            </w:r>
            <w:r>
              <w:rPr>
                <w:noProof/>
                <w:webHidden/>
              </w:rPr>
              <w:fldChar w:fldCharType="end"/>
            </w:r>
          </w:hyperlink>
        </w:p>
        <w:p w14:paraId="7CC89BFB" w14:textId="631ACEA9"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39" w:history="1">
            <w:r w:rsidRPr="005522FA">
              <w:rPr>
                <w:rStyle w:val="Hyperlink"/>
                <w:noProof/>
              </w:rPr>
              <w:t>v5.0 Include Analysis Flow</w:t>
            </w:r>
            <w:r>
              <w:rPr>
                <w:noProof/>
                <w:webHidden/>
              </w:rPr>
              <w:tab/>
            </w:r>
            <w:r>
              <w:rPr>
                <w:noProof/>
                <w:webHidden/>
              </w:rPr>
              <w:fldChar w:fldCharType="begin"/>
            </w:r>
            <w:r>
              <w:rPr>
                <w:noProof/>
                <w:webHidden/>
              </w:rPr>
              <w:instrText xml:space="preserve"> PAGEREF _Toc233481039 \h </w:instrText>
            </w:r>
            <w:r>
              <w:rPr>
                <w:noProof/>
                <w:webHidden/>
              </w:rPr>
            </w:r>
            <w:r>
              <w:rPr>
                <w:noProof/>
                <w:webHidden/>
              </w:rPr>
              <w:fldChar w:fldCharType="separate"/>
            </w:r>
            <w:r w:rsidR="00B80A5C">
              <w:rPr>
                <w:noProof/>
                <w:webHidden/>
              </w:rPr>
              <w:t>4</w:t>
            </w:r>
            <w:r>
              <w:rPr>
                <w:noProof/>
                <w:webHidden/>
              </w:rPr>
              <w:fldChar w:fldCharType="end"/>
            </w:r>
          </w:hyperlink>
        </w:p>
        <w:p w14:paraId="3714DD1A" w14:textId="77229626"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40" w:history="1">
            <w:r w:rsidRPr="005522FA">
              <w:rPr>
                <w:rStyle w:val="Hyperlink"/>
                <w:noProof/>
              </w:rPr>
              <w:t>v5.0 Windows Messaging Flow</w:t>
            </w:r>
            <w:r>
              <w:rPr>
                <w:noProof/>
                <w:webHidden/>
              </w:rPr>
              <w:tab/>
            </w:r>
            <w:r>
              <w:rPr>
                <w:noProof/>
                <w:webHidden/>
              </w:rPr>
              <w:fldChar w:fldCharType="begin"/>
            </w:r>
            <w:r>
              <w:rPr>
                <w:noProof/>
                <w:webHidden/>
              </w:rPr>
              <w:instrText xml:space="preserve"> PAGEREF _Toc233481040 \h </w:instrText>
            </w:r>
            <w:r>
              <w:rPr>
                <w:noProof/>
                <w:webHidden/>
              </w:rPr>
            </w:r>
            <w:r>
              <w:rPr>
                <w:noProof/>
                <w:webHidden/>
              </w:rPr>
              <w:fldChar w:fldCharType="separate"/>
            </w:r>
            <w:r w:rsidR="00B80A5C">
              <w:rPr>
                <w:noProof/>
                <w:webHidden/>
              </w:rPr>
              <w:t>4</w:t>
            </w:r>
            <w:r>
              <w:rPr>
                <w:noProof/>
                <w:webHidden/>
              </w:rPr>
              <w:fldChar w:fldCharType="end"/>
            </w:r>
          </w:hyperlink>
        </w:p>
        <w:p w14:paraId="3672FE18" w14:textId="09C10EA2"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41" w:history="1">
            <w:r w:rsidRPr="005522FA">
              <w:rPr>
                <w:rStyle w:val="Hyperlink"/>
                <w:noProof/>
              </w:rPr>
              <w:t>Uses-Clause and Runtime Cleanup</w:t>
            </w:r>
            <w:r>
              <w:rPr>
                <w:noProof/>
                <w:webHidden/>
              </w:rPr>
              <w:tab/>
            </w:r>
            <w:r>
              <w:rPr>
                <w:noProof/>
                <w:webHidden/>
              </w:rPr>
              <w:fldChar w:fldCharType="begin"/>
            </w:r>
            <w:r>
              <w:rPr>
                <w:noProof/>
                <w:webHidden/>
              </w:rPr>
              <w:instrText xml:space="preserve"> PAGEREF _Toc233481041 \h </w:instrText>
            </w:r>
            <w:r>
              <w:rPr>
                <w:noProof/>
                <w:webHidden/>
              </w:rPr>
            </w:r>
            <w:r>
              <w:rPr>
                <w:noProof/>
                <w:webHidden/>
              </w:rPr>
              <w:fldChar w:fldCharType="separate"/>
            </w:r>
            <w:r w:rsidR="00B80A5C">
              <w:rPr>
                <w:noProof/>
                <w:webHidden/>
              </w:rPr>
              <w:t>5</w:t>
            </w:r>
            <w:r>
              <w:rPr>
                <w:noProof/>
                <w:webHidden/>
              </w:rPr>
              <w:fldChar w:fldCharType="end"/>
            </w:r>
          </w:hyperlink>
        </w:p>
        <w:p w14:paraId="748ABBC7" w14:textId="5F78E51C"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42" w:history="1">
            <w:r w:rsidRPr="005522FA">
              <w:rPr>
                <w:rStyle w:val="Hyperlink"/>
                <w:noProof/>
              </w:rPr>
              <w:t>DFM/FMXL and Encoding Flow</w:t>
            </w:r>
            <w:r>
              <w:rPr>
                <w:noProof/>
                <w:webHidden/>
              </w:rPr>
              <w:tab/>
            </w:r>
            <w:r>
              <w:rPr>
                <w:noProof/>
                <w:webHidden/>
              </w:rPr>
              <w:fldChar w:fldCharType="begin"/>
            </w:r>
            <w:r>
              <w:rPr>
                <w:noProof/>
                <w:webHidden/>
              </w:rPr>
              <w:instrText xml:space="preserve"> PAGEREF _Toc233481042 \h </w:instrText>
            </w:r>
            <w:r>
              <w:rPr>
                <w:noProof/>
                <w:webHidden/>
              </w:rPr>
            </w:r>
            <w:r>
              <w:rPr>
                <w:noProof/>
                <w:webHidden/>
              </w:rPr>
              <w:fldChar w:fldCharType="separate"/>
            </w:r>
            <w:r w:rsidR="00B80A5C">
              <w:rPr>
                <w:noProof/>
                <w:webHidden/>
              </w:rPr>
              <w:t>5</w:t>
            </w:r>
            <w:r>
              <w:rPr>
                <w:noProof/>
                <w:webHidden/>
              </w:rPr>
              <w:fldChar w:fldCharType="end"/>
            </w:r>
          </w:hyperlink>
        </w:p>
        <w:p w14:paraId="0952B210" w14:textId="1B290E73"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43" w:history="1">
            <w:r w:rsidRPr="005522FA">
              <w:rPr>
                <w:rStyle w:val="Hyperlink"/>
                <w:noProof/>
              </w:rPr>
              <w:t>Contract Runner Relationship</w:t>
            </w:r>
            <w:r>
              <w:rPr>
                <w:noProof/>
                <w:webHidden/>
              </w:rPr>
              <w:tab/>
            </w:r>
            <w:r>
              <w:rPr>
                <w:noProof/>
                <w:webHidden/>
              </w:rPr>
              <w:fldChar w:fldCharType="begin"/>
            </w:r>
            <w:r>
              <w:rPr>
                <w:noProof/>
                <w:webHidden/>
              </w:rPr>
              <w:instrText xml:space="preserve"> PAGEREF _Toc233481043 \h </w:instrText>
            </w:r>
            <w:r>
              <w:rPr>
                <w:noProof/>
                <w:webHidden/>
              </w:rPr>
            </w:r>
            <w:r>
              <w:rPr>
                <w:noProof/>
                <w:webHidden/>
              </w:rPr>
              <w:fldChar w:fldCharType="separate"/>
            </w:r>
            <w:r w:rsidR="00B80A5C">
              <w:rPr>
                <w:noProof/>
                <w:webHidden/>
              </w:rPr>
              <w:t>5</w:t>
            </w:r>
            <w:r>
              <w:rPr>
                <w:noProof/>
                <w:webHidden/>
              </w:rPr>
              <w:fldChar w:fldCharType="end"/>
            </w:r>
          </w:hyperlink>
        </w:p>
        <w:p w14:paraId="4485D186" w14:textId="0B3E9EE4"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44" w:history="1">
            <w:r w:rsidRPr="005522FA">
              <w:rPr>
                <w:rStyle w:val="Hyperlink"/>
                <w:noProof/>
              </w:rPr>
              <w:t>End-to-End Runtime Flow</w:t>
            </w:r>
            <w:r>
              <w:rPr>
                <w:noProof/>
                <w:webHidden/>
              </w:rPr>
              <w:tab/>
            </w:r>
            <w:r>
              <w:rPr>
                <w:noProof/>
                <w:webHidden/>
              </w:rPr>
              <w:fldChar w:fldCharType="begin"/>
            </w:r>
            <w:r>
              <w:rPr>
                <w:noProof/>
                <w:webHidden/>
              </w:rPr>
              <w:instrText xml:space="preserve"> PAGEREF _Toc233481044 \h </w:instrText>
            </w:r>
            <w:r>
              <w:rPr>
                <w:noProof/>
                <w:webHidden/>
              </w:rPr>
            </w:r>
            <w:r>
              <w:rPr>
                <w:noProof/>
                <w:webHidden/>
              </w:rPr>
              <w:fldChar w:fldCharType="separate"/>
            </w:r>
            <w:r w:rsidR="00B80A5C">
              <w:rPr>
                <w:noProof/>
                <w:webHidden/>
              </w:rPr>
              <w:t>6</w:t>
            </w:r>
            <w:r>
              <w:rPr>
                <w:noProof/>
                <w:webHidden/>
              </w:rPr>
              <w:fldChar w:fldCharType="end"/>
            </w:r>
          </w:hyperlink>
        </w:p>
        <w:p w14:paraId="2C7FC812" w14:textId="5CC3E6FB" w:rsidR="00E50540" w:rsidRDefault="00E50540">
          <w:r>
            <w:rPr>
              <w:b/>
              <w:bCs/>
              <w:noProof/>
            </w:rPr>
            <w:fldChar w:fldCharType="end"/>
          </w:r>
        </w:p>
      </w:sdtContent>
    </w:sdt>
    <w:p w14:paraId="3D2B258B" w14:textId="77777777" w:rsidR="001B2202" w:rsidRDefault="00CD1855">
      <w:r>
        <w:br w:type="page"/>
      </w:r>
    </w:p>
    <w:p w14:paraId="3B4C1884" w14:textId="77777777" w:rsidR="001B2202" w:rsidRDefault="00CD1855">
      <w:pPr>
        <w:pStyle w:val="Heading1"/>
      </w:pPr>
      <w:bookmarkStart w:id="1" w:name="_Toc233481034"/>
      <w:r>
        <w:lastRenderedPageBreak/>
        <w:t>Foreword</w:t>
      </w:r>
      <w:bookmarkEnd w:id="1"/>
    </w:p>
    <w:p w14:paraId="715563AE" w14:textId="77777777" w:rsidR="00E50540" w:rsidRPr="00E50540" w:rsidRDefault="00E50540" w:rsidP="00E50540"/>
    <w:p w14:paraId="73DE0158" w14:textId="77777777" w:rsidR="00E50540" w:rsidRDefault="00E50540">
      <w:r w:rsidRPr="00E50540">
        <w:t>This document updates the runtime-flow reference for the v5.0 Vanguard release. Vanguard is the most capable VCL-to-FMX converter release to date and supersedes all previous versions. It adds expanded analysis, stronger conversion safeguards, and new validation capabilities to help users move legacy VCL projects toward FMX with greater confidence.</w:t>
      </w:r>
    </w:p>
    <w:p w14:paraId="26E685FB" w14:textId="77777777" w:rsidR="001B2202" w:rsidRDefault="00E50540">
      <w:r>
        <w:t>This document explains how the converter starts, loads mapping knowledge, scans a project, converts Pascal and DFM content, applies v5.0 include and Windows-message analysis, generates output, and reports the result.</w:t>
      </w:r>
    </w:p>
    <w:p w14:paraId="74AEAF25" w14:textId="77777777" w:rsidR="001B2202" w:rsidRDefault="00CD1855">
      <w:r>
        <w:t>Version 5.0 is contract driven. The converter still uses the same runtime pipeline for normal user conversions, but structural behavior is now guarded by executable conversion contracts before release.</w:t>
      </w:r>
    </w:p>
    <w:p w14:paraId="6C820AC9" w14:textId="77777777" w:rsidR="001B2202" w:rsidRDefault="00CD1855">
      <w:pPr>
        <w:pStyle w:val="Heading1"/>
      </w:pPr>
      <w:bookmarkStart w:id="2" w:name="_Toc233481035"/>
      <w:r>
        <w:t>v5.0 Current Standing</w:t>
      </w:r>
      <w:bookmarkEnd w:id="2"/>
    </w:p>
    <w:tbl>
      <w:tblPr>
        <w:tblStyle w:val="TableGrid"/>
        <w:tblW w:w="0" w:type="auto"/>
        <w:jc w:val="center"/>
        <w:tblLook w:val="04A0" w:firstRow="1" w:lastRow="0" w:firstColumn="1" w:lastColumn="0" w:noHBand="0" w:noVBand="1"/>
      </w:tblPr>
      <w:tblGrid>
        <w:gridCol w:w="3168"/>
        <w:gridCol w:w="6768"/>
      </w:tblGrid>
      <w:tr w:rsidR="001B2202" w14:paraId="0D386ABF" w14:textId="77777777">
        <w:trPr>
          <w:jc w:val="center"/>
        </w:trPr>
        <w:tc>
          <w:tcPr>
            <w:tcW w:w="3168" w:type="dxa"/>
          </w:tcPr>
          <w:p w14:paraId="53E4B409" w14:textId="77777777" w:rsidR="001B2202" w:rsidRDefault="00CD1855">
            <w:r>
              <w:rPr>
                <w:b/>
              </w:rPr>
              <w:t>Area</w:t>
            </w:r>
          </w:p>
        </w:tc>
        <w:tc>
          <w:tcPr>
            <w:tcW w:w="6768" w:type="dxa"/>
          </w:tcPr>
          <w:p w14:paraId="07DB9038" w14:textId="77777777" w:rsidR="001B2202" w:rsidRDefault="00CD1855">
            <w:r>
              <w:rPr>
                <w:b/>
              </w:rPr>
              <w:t>Current v5.0 state</w:t>
            </w:r>
          </w:p>
        </w:tc>
      </w:tr>
      <w:tr w:rsidR="001B2202" w14:paraId="14198A9D" w14:textId="77777777">
        <w:trPr>
          <w:jc w:val="center"/>
        </w:trPr>
        <w:tc>
          <w:tcPr>
            <w:tcW w:w="3168" w:type="dxa"/>
          </w:tcPr>
          <w:p w14:paraId="4863CFEB" w14:textId="77777777" w:rsidR="001B2202" w:rsidRDefault="00CD1855">
            <w:r>
              <w:rPr>
                <w:sz w:val="16"/>
              </w:rPr>
              <w:t>Release line</w:t>
            </w:r>
          </w:p>
        </w:tc>
        <w:tc>
          <w:tcPr>
            <w:tcW w:w="6768" w:type="dxa"/>
          </w:tcPr>
          <w:p w14:paraId="382C3C7E" w14:textId="77777777" w:rsidR="001B2202" w:rsidRDefault="00CD1855">
            <w:r>
              <w:rPr>
                <w:sz w:val="16"/>
              </w:rPr>
              <w:t>Version 5.0 Vanguard</w:t>
            </w:r>
          </w:p>
        </w:tc>
      </w:tr>
      <w:tr w:rsidR="001B2202" w14:paraId="52F311C7" w14:textId="77777777">
        <w:trPr>
          <w:jc w:val="center"/>
        </w:trPr>
        <w:tc>
          <w:tcPr>
            <w:tcW w:w="3168" w:type="dxa"/>
          </w:tcPr>
          <w:p w14:paraId="32E75E89" w14:textId="77777777" w:rsidR="001B2202" w:rsidRDefault="00CD1855">
            <w:r>
              <w:rPr>
                <w:sz w:val="16"/>
              </w:rPr>
              <w:t>Contract expectations</w:t>
            </w:r>
          </w:p>
        </w:tc>
        <w:tc>
          <w:tcPr>
            <w:tcW w:w="6768" w:type="dxa"/>
          </w:tcPr>
          <w:p w14:paraId="71227BC4" w14:textId="74BBF1A7" w:rsidR="001B2202" w:rsidRDefault="002B3736">
            <w:r>
              <w:rPr>
                <w:sz w:val="16"/>
              </w:rPr>
              <w:t>198</w:t>
            </w:r>
          </w:p>
        </w:tc>
      </w:tr>
      <w:tr w:rsidR="001B2202" w14:paraId="2C4FDCC2" w14:textId="77777777">
        <w:trPr>
          <w:jc w:val="center"/>
        </w:trPr>
        <w:tc>
          <w:tcPr>
            <w:tcW w:w="3168" w:type="dxa"/>
          </w:tcPr>
          <w:p w14:paraId="51FDD7A2" w14:textId="77777777" w:rsidR="001B2202" w:rsidRDefault="00CD1855">
            <w:r>
              <w:rPr>
                <w:sz w:val="16"/>
              </w:rPr>
              <w:t>Mapping packs</w:t>
            </w:r>
          </w:p>
        </w:tc>
        <w:tc>
          <w:tcPr>
            <w:tcW w:w="6768" w:type="dxa"/>
          </w:tcPr>
          <w:p w14:paraId="1246419D" w14:textId="77777777" w:rsidR="001B2202" w:rsidRDefault="00CD1855">
            <w:r>
              <w:rPr>
                <w:sz w:val="16"/>
              </w:rPr>
              <w:t>22 JSON packs carried forward from v4.1.8</w:t>
            </w:r>
          </w:p>
        </w:tc>
      </w:tr>
      <w:tr w:rsidR="001B2202" w14:paraId="3FF1B75A" w14:textId="77777777">
        <w:trPr>
          <w:jc w:val="center"/>
        </w:trPr>
        <w:tc>
          <w:tcPr>
            <w:tcW w:w="3168" w:type="dxa"/>
          </w:tcPr>
          <w:p w14:paraId="0ED4C536" w14:textId="77777777" w:rsidR="001B2202" w:rsidRDefault="00CD1855">
            <w:r>
              <w:rPr>
                <w:sz w:val="16"/>
              </w:rPr>
              <w:t>Built-in component mappings</w:t>
            </w:r>
          </w:p>
        </w:tc>
        <w:tc>
          <w:tcPr>
            <w:tcW w:w="6768" w:type="dxa"/>
          </w:tcPr>
          <w:p w14:paraId="139E6E14" w14:textId="77777777" w:rsidR="001B2202" w:rsidRDefault="00CD1855">
            <w:r>
              <w:rPr>
                <w:sz w:val="16"/>
              </w:rPr>
              <w:t>77</w:t>
            </w:r>
          </w:p>
        </w:tc>
      </w:tr>
      <w:tr w:rsidR="001B2202" w14:paraId="61750ED9" w14:textId="77777777">
        <w:trPr>
          <w:jc w:val="center"/>
        </w:trPr>
        <w:tc>
          <w:tcPr>
            <w:tcW w:w="3168" w:type="dxa"/>
          </w:tcPr>
          <w:p w14:paraId="3713D97A" w14:textId="77777777" w:rsidR="001B2202" w:rsidRDefault="00CD1855">
            <w:r>
              <w:rPr>
                <w:sz w:val="16"/>
              </w:rPr>
              <w:t>Mapping-pack component rules</w:t>
            </w:r>
          </w:p>
        </w:tc>
        <w:tc>
          <w:tcPr>
            <w:tcW w:w="6768" w:type="dxa"/>
          </w:tcPr>
          <w:p w14:paraId="0F8AF8BC" w14:textId="77777777" w:rsidR="001B2202" w:rsidRDefault="00CD1855">
            <w:r>
              <w:rPr>
                <w:sz w:val="16"/>
              </w:rPr>
              <w:t>493</w:t>
            </w:r>
          </w:p>
        </w:tc>
      </w:tr>
      <w:tr w:rsidR="001B2202" w14:paraId="170B40EC" w14:textId="77777777">
        <w:trPr>
          <w:jc w:val="center"/>
        </w:trPr>
        <w:tc>
          <w:tcPr>
            <w:tcW w:w="3168" w:type="dxa"/>
          </w:tcPr>
          <w:p w14:paraId="62C790C4" w14:textId="77777777" w:rsidR="001B2202" w:rsidRDefault="00CD1855">
            <w:r>
              <w:rPr>
                <w:sz w:val="16"/>
              </w:rPr>
              <w:t>Primary v5.0 additions</w:t>
            </w:r>
          </w:p>
        </w:tc>
        <w:tc>
          <w:tcPr>
            <w:tcW w:w="6768" w:type="dxa"/>
          </w:tcPr>
          <w:p w14:paraId="1D09ABA9" w14:textId="77777777" w:rsidR="001B2202" w:rsidRDefault="00CD1855">
            <w:r>
              <w:rPr>
                <w:sz w:val="16"/>
              </w:rPr>
              <w:t>Contracts, include analysis, Windows messaging categories, protected uses cleanup, GDI reporting/conversion contracts, dry-run preview, semantic checks, and updated UI/reference surfaces.</w:t>
            </w:r>
          </w:p>
        </w:tc>
      </w:tr>
    </w:tbl>
    <w:p w14:paraId="25C65F00" w14:textId="77777777" w:rsidR="001B2202" w:rsidRDefault="001B2202"/>
    <w:p w14:paraId="46373E7E" w14:textId="77777777" w:rsidR="001B2202" w:rsidRDefault="00CD1855">
      <w:pPr>
        <w:pStyle w:val="Heading1"/>
      </w:pPr>
      <w:bookmarkStart w:id="3" w:name="_Toc233481036"/>
      <w:r>
        <w:t>System at a Glance</w:t>
      </w:r>
      <w:bookmarkEnd w:id="3"/>
    </w:p>
    <w:tbl>
      <w:tblPr>
        <w:tblStyle w:val="TableGrid"/>
        <w:tblW w:w="0" w:type="auto"/>
        <w:jc w:val="center"/>
        <w:tblLook w:val="04A0" w:firstRow="1" w:lastRow="0" w:firstColumn="1" w:lastColumn="0" w:noHBand="0" w:noVBand="1"/>
      </w:tblPr>
      <w:tblGrid>
        <w:gridCol w:w="2016"/>
        <w:gridCol w:w="3600"/>
        <w:gridCol w:w="4320"/>
      </w:tblGrid>
      <w:tr w:rsidR="001B2202" w14:paraId="6BCCE2C8" w14:textId="77777777">
        <w:trPr>
          <w:jc w:val="center"/>
        </w:trPr>
        <w:tc>
          <w:tcPr>
            <w:tcW w:w="2016" w:type="dxa"/>
          </w:tcPr>
          <w:p w14:paraId="50654A27" w14:textId="77777777" w:rsidR="001B2202" w:rsidRDefault="00CD1855">
            <w:r>
              <w:rPr>
                <w:b/>
              </w:rPr>
              <w:t>Phase</w:t>
            </w:r>
          </w:p>
        </w:tc>
        <w:tc>
          <w:tcPr>
            <w:tcW w:w="3600" w:type="dxa"/>
          </w:tcPr>
          <w:p w14:paraId="58DAA6F6" w14:textId="77777777" w:rsidR="001B2202" w:rsidRDefault="00CD1855">
            <w:r>
              <w:rPr>
                <w:b/>
              </w:rPr>
              <w:t>Runtime purpose</w:t>
            </w:r>
          </w:p>
        </w:tc>
        <w:tc>
          <w:tcPr>
            <w:tcW w:w="4320" w:type="dxa"/>
          </w:tcPr>
          <w:p w14:paraId="574421AE" w14:textId="77777777" w:rsidR="001B2202" w:rsidRDefault="00CD1855">
            <w:r>
              <w:rPr>
                <w:b/>
              </w:rPr>
              <w:t>v5.0 notes</w:t>
            </w:r>
          </w:p>
        </w:tc>
      </w:tr>
      <w:tr w:rsidR="001B2202" w14:paraId="003F6D6A" w14:textId="77777777">
        <w:trPr>
          <w:jc w:val="center"/>
        </w:trPr>
        <w:tc>
          <w:tcPr>
            <w:tcW w:w="2016" w:type="dxa"/>
          </w:tcPr>
          <w:p w14:paraId="2E24F2F1" w14:textId="77777777" w:rsidR="001B2202" w:rsidRDefault="00CD1855">
            <w:r>
              <w:rPr>
                <w:sz w:val="16"/>
              </w:rPr>
              <w:t>Startup</w:t>
            </w:r>
          </w:p>
        </w:tc>
        <w:tc>
          <w:tcPr>
            <w:tcW w:w="3600" w:type="dxa"/>
          </w:tcPr>
          <w:p w14:paraId="5A88CAC3" w14:textId="77777777" w:rsidR="001B2202" w:rsidRDefault="00CD1855">
            <w:r>
              <w:rPr>
                <w:sz w:val="16"/>
              </w:rPr>
              <w:t>Create the main FMX form, initialize tabs, options, UI state, and reference browsers.</w:t>
            </w:r>
          </w:p>
        </w:tc>
        <w:tc>
          <w:tcPr>
            <w:tcW w:w="4320" w:type="dxa"/>
          </w:tcPr>
          <w:p w14:paraId="4CD7720E" w14:textId="77777777" w:rsidR="001B2202" w:rsidRDefault="00CD1855">
            <w:r>
              <w:rPr>
                <w:sz w:val="16"/>
              </w:rPr>
              <w:t>The Vanguard UI exposes Dashboard, Project Scan, Component Map, Property Map, Event Map, Conversion Output, and Rules.</w:t>
            </w:r>
          </w:p>
        </w:tc>
      </w:tr>
      <w:tr w:rsidR="001B2202" w14:paraId="52F38389" w14:textId="77777777">
        <w:trPr>
          <w:jc w:val="center"/>
        </w:trPr>
        <w:tc>
          <w:tcPr>
            <w:tcW w:w="2016" w:type="dxa"/>
          </w:tcPr>
          <w:p w14:paraId="1C552552" w14:textId="77777777" w:rsidR="001B2202" w:rsidRDefault="00CD1855">
            <w:r>
              <w:rPr>
                <w:sz w:val="16"/>
              </w:rPr>
              <w:t>Input selection</w:t>
            </w:r>
          </w:p>
        </w:tc>
        <w:tc>
          <w:tcPr>
            <w:tcW w:w="3600" w:type="dxa"/>
          </w:tcPr>
          <w:p w14:paraId="09857BE8" w14:textId="77777777" w:rsidR="001B2202" w:rsidRDefault="00CD1855">
            <w:r>
              <w:rPr>
                <w:sz w:val="16"/>
              </w:rPr>
              <w:t>Collect source folder, output folder, file scope, subfolder option, and rule toggles.</w:t>
            </w:r>
          </w:p>
        </w:tc>
        <w:tc>
          <w:tcPr>
            <w:tcW w:w="4320" w:type="dxa"/>
          </w:tcPr>
          <w:p w14:paraId="60EF2F39" w14:textId="77777777" w:rsidR="001B2202" w:rsidRDefault="00CD1855">
            <w:r>
              <w:rPr>
                <w:sz w:val="16"/>
              </w:rPr>
              <w:t>Normal conversion remains user-project based; contracts are not runtime data for user conversions.</w:t>
            </w:r>
          </w:p>
        </w:tc>
      </w:tr>
      <w:tr w:rsidR="001B2202" w14:paraId="4A38D709" w14:textId="77777777">
        <w:trPr>
          <w:jc w:val="center"/>
        </w:trPr>
        <w:tc>
          <w:tcPr>
            <w:tcW w:w="2016" w:type="dxa"/>
          </w:tcPr>
          <w:p w14:paraId="6309F2D6" w14:textId="77777777" w:rsidR="001B2202" w:rsidRDefault="00CD1855">
            <w:r>
              <w:rPr>
                <w:sz w:val="16"/>
              </w:rPr>
              <w:t>Mapper load</w:t>
            </w:r>
          </w:p>
        </w:tc>
        <w:tc>
          <w:tcPr>
            <w:tcW w:w="3600" w:type="dxa"/>
          </w:tcPr>
          <w:p w14:paraId="0FB5F44E" w14:textId="77777777" w:rsidR="001B2202" w:rsidRDefault="00CD1855">
            <w:r>
              <w:rPr>
                <w:sz w:val="16"/>
              </w:rPr>
              <w:t>Load built-in component mappings and optional JSON mapping packs.</w:t>
            </w:r>
          </w:p>
        </w:tc>
        <w:tc>
          <w:tcPr>
            <w:tcW w:w="4320" w:type="dxa"/>
          </w:tcPr>
          <w:p w14:paraId="526A11C7" w14:textId="77777777" w:rsidR="001B2202" w:rsidRDefault="00CD1855">
            <w:r>
              <w:rPr>
                <w:sz w:val="16"/>
              </w:rPr>
              <w:t>22 mapping packs remain available; pack usage is reported.</w:t>
            </w:r>
          </w:p>
        </w:tc>
      </w:tr>
      <w:tr w:rsidR="001B2202" w14:paraId="43C2BEA0" w14:textId="77777777">
        <w:trPr>
          <w:jc w:val="center"/>
        </w:trPr>
        <w:tc>
          <w:tcPr>
            <w:tcW w:w="2016" w:type="dxa"/>
          </w:tcPr>
          <w:p w14:paraId="019E42A6" w14:textId="77777777" w:rsidR="001B2202" w:rsidRDefault="00CD1855">
            <w:r>
              <w:rPr>
                <w:sz w:val="16"/>
              </w:rPr>
              <w:t>Pascal analysis</w:t>
            </w:r>
          </w:p>
        </w:tc>
        <w:tc>
          <w:tcPr>
            <w:tcW w:w="3600" w:type="dxa"/>
          </w:tcPr>
          <w:p w14:paraId="2F6F8DA2" w14:textId="77777777" w:rsidR="001B2202" w:rsidRDefault="00CD1855">
            <w:r>
              <w:rPr>
                <w:sz w:val="16"/>
              </w:rPr>
              <w:t>Parse and rewrite source units, uses clauses, Winapi/VCL references, runtime helper needs, and report issues.</w:t>
            </w:r>
          </w:p>
        </w:tc>
        <w:tc>
          <w:tcPr>
            <w:tcW w:w="4320" w:type="dxa"/>
          </w:tcPr>
          <w:p w14:paraId="65994396" w14:textId="77777777" w:rsidR="001B2202" w:rsidRDefault="00CD1855">
            <w:r>
              <w:rPr>
                <w:sz w:val="16"/>
              </w:rPr>
              <w:t>v5.0 analyzes include directives, nested includes, recursive includes, and include boundaries.</w:t>
            </w:r>
          </w:p>
        </w:tc>
      </w:tr>
      <w:tr w:rsidR="001B2202" w14:paraId="3EC02BB6" w14:textId="77777777">
        <w:trPr>
          <w:jc w:val="center"/>
        </w:trPr>
        <w:tc>
          <w:tcPr>
            <w:tcW w:w="2016" w:type="dxa"/>
          </w:tcPr>
          <w:p w14:paraId="2117DC4A" w14:textId="77777777" w:rsidR="001B2202" w:rsidRDefault="00CD1855">
            <w:r>
              <w:rPr>
                <w:sz w:val="16"/>
              </w:rPr>
              <w:t>DFM/FMXL generation</w:t>
            </w:r>
          </w:p>
        </w:tc>
        <w:tc>
          <w:tcPr>
            <w:tcW w:w="3600" w:type="dxa"/>
          </w:tcPr>
          <w:p w14:paraId="2B6AC665" w14:textId="77777777" w:rsidR="001B2202" w:rsidRDefault="00CD1855">
            <w:r>
              <w:rPr>
                <w:sz w:val="16"/>
              </w:rPr>
              <w:t>Convert DFM form trees into FMX form output.</w:t>
            </w:r>
          </w:p>
        </w:tc>
        <w:tc>
          <w:tcPr>
            <w:tcW w:w="4320" w:type="dxa"/>
          </w:tcPr>
          <w:p w14:paraId="3A49DD6B" w14:textId="77777777" w:rsidR="001B2202" w:rsidRDefault="00CD1855">
            <w:r>
              <w:rPr>
                <w:sz w:val="16"/>
              </w:rPr>
              <w:t>TMemo/TStrings collection handling, TStringGrid event ordering, and UTF-8 BOM FMX output remain preserved.</w:t>
            </w:r>
          </w:p>
        </w:tc>
      </w:tr>
      <w:tr w:rsidR="001B2202" w14:paraId="0E911828" w14:textId="77777777">
        <w:trPr>
          <w:jc w:val="center"/>
        </w:trPr>
        <w:tc>
          <w:tcPr>
            <w:tcW w:w="2016" w:type="dxa"/>
          </w:tcPr>
          <w:p w14:paraId="6D59B6C9" w14:textId="77777777" w:rsidR="001B2202" w:rsidRDefault="00CD1855">
            <w:r>
              <w:rPr>
                <w:sz w:val="16"/>
              </w:rPr>
              <w:t>Specialized rewrites</w:t>
            </w:r>
          </w:p>
        </w:tc>
        <w:tc>
          <w:tcPr>
            <w:tcW w:w="3600" w:type="dxa"/>
          </w:tcPr>
          <w:p w14:paraId="25C63CC6" w14:textId="77777777" w:rsidR="001B2202" w:rsidRDefault="00CD1855">
            <w:r>
              <w:rPr>
                <w:sz w:val="16"/>
              </w:rPr>
              <w:t>Apply data-aware, LiveBindings, compatibility, WinAPI, GDI, and runtime-normalization rules.</w:t>
            </w:r>
          </w:p>
        </w:tc>
        <w:tc>
          <w:tcPr>
            <w:tcW w:w="4320" w:type="dxa"/>
          </w:tcPr>
          <w:p w14:paraId="4116463B" w14:textId="77777777" w:rsidR="001B2202" w:rsidRDefault="00CD1855">
            <w:r>
              <w:rPr>
                <w:sz w:val="16"/>
              </w:rPr>
              <w:t>Windows messaging remains category based, with false-positive protections and explicit manual-review reporting.</w:t>
            </w:r>
          </w:p>
        </w:tc>
      </w:tr>
      <w:tr w:rsidR="001B2202" w14:paraId="0E79D489" w14:textId="77777777">
        <w:trPr>
          <w:jc w:val="center"/>
        </w:trPr>
        <w:tc>
          <w:tcPr>
            <w:tcW w:w="2016" w:type="dxa"/>
          </w:tcPr>
          <w:p w14:paraId="6F587E63" w14:textId="77777777" w:rsidR="001B2202" w:rsidRDefault="00CD1855">
            <w:r>
              <w:rPr>
                <w:sz w:val="16"/>
              </w:rPr>
              <w:t>Project generation</w:t>
            </w:r>
          </w:p>
        </w:tc>
        <w:tc>
          <w:tcPr>
            <w:tcW w:w="3600" w:type="dxa"/>
          </w:tcPr>
          <w:p w14:paraId="30F57D39" w14:textId="77777777" w:rsidR="001B2202" w:rsidRDefault="00CD1855">
            <w:r>
              <w:rPr>
                <w:sz w:val="16"/>
              </w:rPr>
              <w:t>Create the FMX project shell and copy safe companion files.</w:t>
            </w:r>
          </w:p>
        </w:tc>
        <w:tc>
          <w:tcPr>
            <w:tcW w:w="4320" w:type="dxa"/>
          </w:tcPr>
          <w:p w14:paraId="54D1C4DA" w14:textId="77777777" w:rsidR="001B2202" w:rsidRDefault="00CD1855">
            <w:r>
              <w:rPr>
                <w:sz w:val="16"/>
              </w:rPr>
              <w:t>Source-local include files and source-root companions are copied without searching build-output folders for ambiguous duplicates.</w:t>
            </w:r>
          </w:p>
        </w:tc>
      </w:tr>
      <w:tr w:rsidR="001B2202" w14:paraId="695BBE77" w14:textId="77777777">
        <w:trPr>
          <w:jc w:val="center"/>
        </w:trPr>
        <w:tc>
          <w:tcPr>
            <w:tcW w:w="2016" w:type="dxa"/>
          </w:tcPr>
          <w:p w14:paraId="72DB507A" w14:textId="77777777" w:rsidR="001B2202" w:rsidRDefault="00CD1855">
            <w:r>
              <w:rPr>
                <w:sz w:val="16"/>
              </w:rPr>
              <w:t>Reporting</w:t>
            </w:r>
          </w:p>
        </w:tc>
        <w:tc>
          <w:tcPr>
            <w:tcW w:w="3600" w:type="dxa"/>
          </w:tcPr>
          <w:p w14:paraId="62AB47D0" w14:textId="77777777" w:rsidR="001B2202" w:rsidRDefault="00CD1855">
            <w:r>
              <w:rPr>
                <w:sz w:val="16"/>
              </w:rPr>
              <w:t>Write text/HTML reports and update the UI.</w:t>
            </w:r>
          </w:p>
        </w:tc>
        <w:tc>
          <w:tcPr>
            <w:tcW w:w="4320" w:type="dxa"/>
          </w:tcPr>
          <w:p w14:paraId="5FEEDB31" w14:textId="77777777" w:rsidR="001B2202" w:rsidRDefault="00CD1855">
            <w:r>
              <w:rPr>
                <w:sz w:val="16"/>
              </w:rPr>
              <w:t>Reports include blocking status, manual-review status, issue details, mapping-pack usage, Windows-message categories, include findings, and GDI review notes.</w:t>
            </w:r>
          </w:p>
        </w:tc>
      </w:tr>
    </w:tbl>
    <w:p w14:paraId="7FA6C8FF" w14:textId="77777777" w:rsidR="001B2202" w:rsidRDefault="001B2202"/>
    <w:p w14:paraId="3C79E2D0" w14:textId="77777777" w:rsidR="001B2202" w:rsidRDefault="00CD1855">
      <w:pPr>
        <w:pStyle w:val="Heading1"/>
      </w:pPr>
      <w:bookmarkStart w:id="4" w:name="_Toc233481037"/>
      <w:r>
        <w:t>Startup Sequence</w:t>
      </w:r>
      <w:bookmarkEnd w:id="4"/>
    </w:p>
    <w:p w14:paraId="2AFF08ED" w14:textId="77777777" w:rsidR="001B2202" w:rsidRDefault="00CD1855">
      <w:r>
        <w:t>The application starts by creating the main form and initializing the tabbed workspace. Form creation wires runtime events, prepares the source/target controls, initializes scope options, and loads live reference pages.</w:t>
      </w:r>
    </w:p>
    <w:p w14:paraId="15062AE4" w14:textId="77777777" w:rsidR="001B2202" w:rsidRDefault="00CD1855">
      <w:r>
        <w:t>The UI reference tabs are not static screenshots. Component Map, Property Map, and Event Map are populated from the current mapper knowledge so they match the converter rule surface more closely than old manual tables.</w:t>
      </w:r>
    </w:p>
    <w:p w14:paraId="28A8288C" w14:textId="77777777" w:rsidR="001B2202" w:rsidRDefault="00CD1855">
      <w:r>
        <w:t>The Rules tab exposes the four major specialized rule families used during a normal conversion pass. Those switches affect runtime conversion behavior; contract files do not.</w:t>
      </w:r>
    </w:p>
    <w:p w14:paraId="562853C8" w14:textId="77777777" w:rsidR="001B2202" w:rsidRDefault="00CD1855">
      <w:pPr>
        <w:pStyle w:val="Heading1"/>
      </w:pPr>
      <w:bookmarkStart w:id="5" w:name="_Toc233481038"/>
      <w:r>
        <w:t>Mapping Load and Reference Surface</w:t>
      </w:r>
      <w:bookmarkEnd w:id="5"/>
    </w:p>
    <w:p w14:paraId="64230016" w14:textId="77777777" w:rsidR="001B2202" w:rsidRDefault="00CD1855">
      <w:r>
        <w:t>The mapper loads built-in VCL-to-FMX class mappings first, then mapping packs when enabled. Mapping packs can convert, partially convert, detect only, preserve, or route third-party controls to manual review.</w:t>
      </w:r>
    </w:p>
    <w:tbl>
      <w:tblPr>
        <w:tblStyle w:val="TableGrid"/>
        <w:tblW w:w="0" w:type="auto"/>
        <w:jc w:val="center"/>
        <w:tblLook w:val="04A0" w:firstRow="1" w:lastRow="0" w:firstColumn="1" w:lastColumn="0" w:noHBand="0" w:noVBand="1"/>
      </w:tblPr>
      <w:tblGrid>
        <w:gridCol w:w="2880"/>
        <w:gridCol w:w="7056"/>
      </w:tblGrid>
      <w:tr w:rsidR="001B2202" w14:paraId="57AFE4EC" w14:textId="77777777">
        <w:trPr>
          <w:jc w:val="center"/>
        </w:trPr>
        <w:tc>
          <w:tcPr>
            <w:tcW w:w="2880" w:type="dxa"/>
          </w:tcPr>
          <w:p w14:paraId="2DC7436E" w14:textId="77777777" w:rsidR="001B2202" w:rsidRDefault="00CD1855">
            <w:r>
              <w:rPr>
                <w:b/>
              </w:rPr>
              <w:t>Mapping source</w:t>
            </w:r>
          </w:p>
        </w:tc>
        <w:tc>
          <w:tcPr>
            <w:tcW w:w="7056" w:type="dxa"/>
          </w:tcPr>
          <w:p w14:paraId="50729AF7" w14:textId="77777777" w:rsidR="001B2202" w:rsidRDefault="00CD1855">
            <w:r>
              <w:rPr>
                <w:b/>
              </w:rPr>
              <w:t>What it contributes</w:t>
            </w:r>
          </w:p>
        </w:tc>
      </w:tr>
      <w:tr w:rsidR="001B2202" w14:paraId="0011A33F" w14:textId="77777777">
        <w:trPr>
          <w:jc w:val="center"/>
        </w:trPr>
        <w:tc>
          <w:tcPr>
            <w:tcW w:w="2880" w:type="dxa"/>
          </w:tcPr>
          <w:p w14:paraId="11EE20DB" w14:textId="77777777" w:rsidR="001B2202" w:rsidRDefault="00CD1855">
            <w:r>
              <w:rPr>
                <w:sz w:val="16"/>
              </w:rPr>
              <w:t>Built-in mapper</w:t>
            </w:r>
          </w:p>
        </w:tc>
        <w:tc>
          <w:tcPr>
            <w:tcW w:w="7056" w:type="dxa"/>
          </w:tcPr>
          <w:p w14:paraId="776F3358" w14:textId="77777777" w:rsidR="001B2202" w:rsidRDefault="00CD1855">
            <w:r>
              <w:rPr>
                <w:sz w:val="16"/>
              </w:rPr>
              <w:t>Standard VCL class mappings, property rows, event rows, explicit substitutions, and fallback research behavior.</w:t>
            </w:r>
          </w:p>
        </w:tc>
      </w:tr>
      <w:tr w:rsidR="001B2202" w14:paraId="37DF510D" w14:textId="77777777">
        <w:trPr>
          <w:jc w:val="center"/>
        </w:trPr>
        <w:tc>
          <w:tcPr>
            <w:tcW w:w="2880" w:type="dxa"/>
          </w:tcPr>
          <w:p w14:paraId="3FB04722" w14:textId="77777777" w:rsidR="001B2202" w:rsidRDefault="00CD1855">
            <w:r>
              <w:rPr>
                <w:sz w:val="16"/>
              </w:rPr>
              <w:t>JSON mapping packs</w:t>
            </w:r>
          </w:p>
        </w:tc>
        <w:tc>
          <w:tcPr>
            <w:tcW w:w="7056" w:type="dxa"/>
          </w:tcPr>
          <w:p w14:paraId="68A5B360" w14:textId="77777777" w:rsidR="001B2202" w:rsidRDefault="00CD1855">
            <w:r>
              <w:rPr>
                <w:sz w:val="16"/>
              </w:rPr>
              <w:t>Third-party component identification, action policy, confidence, property/event rows, vendor notes, and manual-review reasons.</w:t>
            </w:r>
          </w:p>
        </w:tc>
      </w:tr>
      <w:tr w:rsidR="001B2202" w14:paraId="09554A45" w14:textId="77777777">
        <w:trPr>
          <w:jc w:val="center"/>
        </w:trPr>
        <w:tc>
          <w:tcPr>
            <w:tcW w:w="2880" w:type="dxa"/>
          </w:tcPr>
          <w:p w14:paraId="0D353E23" w14:textId="77777777" w:rsidR="001B2202" w:rsidRDefault="00CD1855">
            <w:r>
              <w:rPr>
                <w:sz w:val="16"/>
              </w:rPr>
              <w:t>Live reference tabs</w:t>
            </w:r>
          </w:p>
        </w:tc>
        <w:tc>
          <w:tcPr>
            <w:tcW w:w="7056" w:type="dxa"/>
          </w:tcPr>
          <w:p w14:paraId="4E9D7318" w14:textId="77777777" w:rsidR="001B2202" w:rsidRDefault="00CD1855">
            <w:r>
              <w:rPr>
                <w:sz w:val="16"/>
              </w:rPr>
              <w:t>Current Component Map, Property Map, and Event Map views derived from mapper data at runtime.</w:t>
            </w:r>
          </w:p>
        </w:tc>
      </w:tr>
    </w:tbl>
    <w:p w14:paraId="280EF7C8" w14:textId="77777777" w:rsidR="001B2202" w:rsidRDefault="001B2202"/>
    <w:p w14:paraId="61448EC4" w14:textId="77777777" w:rsidR="001B2202" w:rsidRDefault="00CD1855">
      <w:pPr>
        <w:pStyle w:val="Heading1"/>
      </w:pPr>
      <w:bookmarkStart w:id="6" w:name="_Toc233481039"/>
      <w:r>
        <w:t>v5.0 Include Analysis Flow</w:t>
      </w:r>
      <w:bookmarkEnd w:id="6"/>
    </w:p>
    <w:p w14:paraId="1E25F09D" w14:textId="77777777" w:rsidR="001B2202" w:rsidRDefault="00CD1855">
      <w:r>
        <w:t>Pascal include directives are analyzed before conversion decisions are trusted. Supported forms include {$I FileName.inc}, {$INCLUDE FileName.inc}, (*$I FileName.inc*), and (*$INCLUDE FileName.inc*).</w:t>
      </w:r>
    </w:p>
    <w:p w14:paraId="308C70BB" w14:textId="77777777" w:rsidR="001B2202" w:rsidRDefault="00CD1855">
      <w:r>
        <w:t>Include resolution is source-tree aware. Beside-source includes, source-subfolder includes, nested includes, missing includes, outside-tree includes, recursive include loops, conditional include locations, and UTF-8 include content are covered by contracts.</w:t>
      </w:r>
    </w:p>
    <w:p w14:paraId="16CD8A88" w14:textId="77777777" w:rsidR="001B2202" w:rsidRDefault="00CD1855">
      <w:r>
        <w:t>The first v5.0 implementation is analysis-first. Include contents can influence detection and reporting, while original include directives remain in generated Pascal output. Include files are copied to the matching output location when safe.</w:t>
      </w:r>
    </w:p>
    <w:p w14:paraId="664839A7" w14:textId="77777777" w:rsidR="001B2202" w:rsidRDefault="00CD1855">
      <w:pPr>
        <w:pStyle w:val="Heading1"/>
      </w:pPr>
      <w:bookmarkStart w:id="7" w:name="_Toc233481040"/>
      <w:r>
        <w:t>v5.0 Windows Messaging Flow</w:t>
      </w:r>
      <w:bookmarkEnd w:id="7"/>
    </w:p>
    <w:p w14:paraId="7BD8A8FC" w14:textId="77777777" w:rsidR="001B2202" w:rsidRDefault="00CD1855">
      <w:r>
        <w:t>Windows messaging detection is category based rather than a handwritten list of every constant. The converter looks for active SendMessage, PostMessage, DispatchMessage, PeekMessage, GetMessage, Control.Perform, WM/CM/CN/common-control message families, TWM/TCM records, message declarations, WndProc overrides, WM_USER offsets, and system-command handlers.</w:t>
      </w:r>
    </w:p>
    <w:tbl>
      <w:tblPr>
        <w:tblStyle w:val="TableGrid"/>
        <w:tblW w:w="0" w:type="auto"/>
        <w:jc w:val="center"/>
        <w:tblLook w:val="04A0" w:firstRow="1" w:lastRow="0" w:firstColumn="1" w:lastColumn="0" w:noHBand="0" w:noVBand="1"/>
      </w:tblPr>
      <w:tblGrid>
        <w:gridCol w:w="3024"/>
        <w:gridCol w:w="6912"/>
      </w:tblGrid>
      <w:tr w:rsidR="001B2202" w14:paraId="21E2EB9A" w14:textId="77777777">
        <w:trPr>
          <w:jc w:val="center"/>
        </w:trPr>
        <w:tc>
          <w:tcPr>
            <w:tcW w:w="3024" w:type="dxa"/>
          </w:tcPr>
          <w:p w14:paraId="41D7CC46" w14:textId="77777777" w:rsidR="001B2202" w:rsidRDefault="00CD1855">
            <w:r>
              <w:rPr>
                <w:b/>
              </w:rPr>
              <w:t>Category</w:t>
            </w:r>
          </w:p>
        </w:tc>
        <w:tc>
          <w:tcPr>
            <w:tcW w:w="6912" w:type="dxa"/>
          </w:tcPr>
          <w:p w14:paraId="0EC475AB" w14:textId="77777777" w:rsidR="001B2202" w:rsidRDefault="00CD1855">
            <w:r>
              <w:rPr>
                <w:b/>
              </w:rPr>
              <w:t>Runtime result</w:t>
            </w:r>
          </w:p>
        </w:tc>
      </w:tr>
      <w:tr w:rsidR="001B2202" w14:paraId="105218D7" w14:textId="77777777">
        <w:trPr>
          <w:jc w:val="center"/>
        </w:trPr>
        <w:tc>
          <w:tcPr>
            <w:tcW w:w="3024" w:type="dxa"/>
          </w:tcPr>
          <w:p w14:paraId="19753B8E" w14:textId="77777777" w:rsidR="001B2202" w:rsidRDefault="00CD1855">
            <w:r>
              <w:rPr>
                <w:sz w:val="16"/>
              </w:rPr>
              <w:t>Safe conversion</w:t>
            </w:r>
          </w:p>
        </w:tc>
        <w:tc>
          <w:tcPr>
            <w:tcW w:w="6912" w:type="dxa"/>
          </w:tcPr>
          <w:p w14:paraId="417A6A70" w14:textId="77777777" w:rsidR="001B2202" w:rsidRDefault="00CD1855">
            <w:r>
              <w:rPr>
                <w:sz w:val="16"/>
              </w:rPr>
              <w:t>Only applies where an FMX replacement is reliable and covered by a contract.</w:t>
            </w:r>
          </w:p>
        </w:tc>
      </w:tr>
      <w:tr w:rsidR="001B2202" w14:paraId="41158A9B" w14:textId="77777777">
        <w:trPr>
          <w:jc w:val="center"/>
        </w:trPr>
        <w:tc>
          <w:tcPr>
            <w:tcW w:w="3024" w:type="dxa"/>
          </w:tcPr>
          <w:p w14:paraId="388FB4E4" w14:textId="77777777" w:rsidR="001B2202" w:rsidRDefault="00CD1855">
            <w:r>
              <w:rPr>
                <w:sz w:val="16"/>
              </w:rPr>
              <w:t>FMX helper replacement</w:t>
            </w:r>
          </w:p>
        </w:tc>
        <w:tc>
          <w:tcPr>
            <w:tcW w:w="6912" w:type="dxa"/>
          </w:tcPr>
          <w:p w14:paraId="7C1B5EEC" w14:textId="77777777" w:rsidR="001B2202" w:rsidRDefault="00CD1855">
            <w:r>
              <w:rPr>
                <w:sz w:val="16"/>
              </w:rPr>
              <w:t>Used for simple control-message families when the generated helper logic is safer than preserving Winapi calls.</w:t>
            </w:r>
          </w:p>
        </w:tc>
      </w:tr>
      <w:tr w:rsidR="001B2202" w14:paraId="0F04317D" w14:textId="77777777">
        <w:trPr>
          <w:jc w:val="center"/>
        </w:trPr>
        <w:tc>
          <w:tcPr>
            <w:tcW w:w="3024" w:type="dxa"/>
          </w:tcPr>
          <w:p w14:paraId="72733459" w14:textId="77777777" w:rsidR="001B2202" w:rsidRDefault="00CD1855">
            <w:r>
              <w:rPr>
                <w:sz w:val="16"/>
              </w:rPr>
              <w:t>System.Messaging / bridge</w:t>
            </w:r>
          </w:p>
        </w:tc>
        <w:tc>
          <w:tcPr>
            <w:tcW w:w="6912" w:type="dxa"/>
          </w:tcPr>
          <w:p w14:paraId="48AC2495" w14:textId="77777777" w:rsidR="001B2202" w:rsidRDefault="00CD1855">
            <w:r>
              <w:rPr>
                <w:sz w:val="16"/>
              </w:rPr>
              <w:t>Reserved for message-bridge cases that need an FMX event/message model.</w:t>
            </w:r>
          </w:p>
        </w:tc>
      </w:tr>
      <w:tr w:rsidR="001B2202" w14:paraId="1E9F58D6" w14:textId="77777777">
        <w:trPr>
          <w:jc w:val="center"/>
        </w:trPr>
        <w:tc>
          <w:tcPr>
            <w:tcW w:w="3024" w:type="dxa"/>
          </w:tcPr>
          <w:p w14:paraId="2EEB3538" w14:textId="77777777" w:rsidR="001B2202" w:rsidRDefault="00CD1855">
            <w:r>
              <w:rPr>
                <w:sz w:val="16"/>
              </w:rPr>
              <w:t>Platform-specific preservation</w:t>
            </w:r>
          </w:p>
        </w:tc>
        <w:tc>
          <w:tcPr>
            <w:tcW w:w="6912" w:type="dxa"/>
          </w:tcPr>
          <w:p w14:paraId="106570A6" w14:textId="77777777" w:rsidR="001B2202" w:rsidRDefault="00CD1855">
            <w:r>
              <w:rPr>
                <w:sz w:val="16"/>
              </w:rPr>
              <w:t>Kept only when active generated code still requires the Windows unit and the report explains why.</w:t>
            </w:r>
          </w:p>
        </w:tc>
      </w:tr>
      <w:tr w:rsidR="001B2202" w14:paraId="38D9D77C" w14:textId="77777777">
        <w:trPr>
          <w:jc w:val="center"/>
        </w:trPr>
        <w:tc>
          <w:tcPr>
            <w:tcW w:w="3024" w:type="dxa"/>
          </w:tcPr>
          <w:p w14:paraId="621FDCFC" w14:textId="77777777" w:rsidR="001B2202" w:rsidRDefault="00CD1855">
            <w:r>
              <w:rPr>
                <w:sz w:val="16"/>
              </w:rPr>
              <w:t>Manual review</w:t>
            </w:r>
          </w:p>
        </w:tc>
        <w:tc>
          <w:tcPr>
            <w:tcW w:w="6912" w:type="dxa"/>
          </w:tcPr>
          <w:p w14:paraId="7B6DA82E" w14:textId="77777777" w:rsidR="001B2202" w:rsidRDefault="00CD1855">
            <w:r>
              <w:rPr>
                <w:sz w:val="16"/>
              </w:rPr>
              <w:t>Default for WndProc, message handlers, WM_USER, system command side effects, message pumps, and ambiguous behavior.</w:t>
            </w:r>
          </w:p>
        </w:tc>
      </w:tr>
      <w:tr w:rsidR="001B2202" w14:paraId="2F687C12" w14:textId="77777777">
        <w:trPr>
          <w:jc w:val="center"/>
        </w:trPr>
        <w:tc>
          <w:tcPr>
            <w:tcW w:w="3024" w:type="dxa"/>
          </w:tcPr>
          <w:p w14:paraId="182C83BF" w14:textId="77777777" w:rsidR="001B2202" w:rsidRDefault="00CD1855">
            <w:r>
              <w:rPr>
                <w:sz w:val="16"/>
              </w:rPr>
              <w:t>False positive</w:t>
            </w:r>
          </w:p>
        </w:tc>
        <w:tc>
          <w:tcPr>
            <w:tcW w:w="6912" w:type="dxa"/>
          </w:tcPr>
          <w:p w14:paraId="7EC6E5BD" w14:textId="77777777" w:rsidR="001B2202" w:rsidRDefault="00CD1855">
            <w:r>
              <w:rPr>
                <w:sz w:val="16"/>
              </w:rPr>
              <w:t>Comments, strings, user-defined methods, and unrelated identifiers are ignored under contract.</w:t>
            </w:r>
          </w:p>
        </w:tc>
      </w:tr>
    </w:tbl>
    <w:p w14:paraId="566C947B" w14:textId="77777777" w:rsidR="001B2202" w:rsidRDefault="001B2202"/>
    <w:p w14:paraId="1E8919A3" w14:textId="77777777" w:rsidR="001B2202" w:rsidRDefault="00CD1855">
      <w:pPr>
        <w:pStyle w:val="Heading1"/>
      </w:pPr>
      <w:bookmarkStart w:id="8" w:name="_Toc233481041"/>
      <w:r>
        <w:t>Uses-Clause and Runtime Cleanup</w:t>
      </w:r>
      <w:bookmarkEnd w:id="8"/>
    </w:p>
    <w:p w14:paraId="0CA94BB9" w14:textId="77777777" w:rsidR="001B2202" w:rsidRDefault="00CD1855">
      <w:r>
        <w:t>v5.0 strengthens protected and conditional uses cleanup. The former leftover Vcl.Themes case is covered by contract expectations, along with conditional VCL/Winapi units and no-op false-positive paths.</w:t>
      </w:r>
    </w:p>
    <w:p w14:paraId="55CAB2F3" w14:textId="77777777" w:rsidR="001B2202" w:rsidRDefault="00CD1855">
      <w:r>
        <w:t>The converter should add Winapi.Messages, Winapi.Windows, System.Messaging, or FMXMessageBridge only when generated active code still requires those units. It should not inject Windows units for false positives.</w:t>
      </w:r>
    </w:p>
    <w:p w14:paraId="5C3FFDB3" w14:textId="77777777" w:rsidR="001B2202" w:rsidRDefault="00CD1855">
      <w:pPr>
        <w:pStyle w:val="Heading1"/>
      </w:pPr>
      <w:bookmarkStart w:id="9" w:name="_Toc233481042"/>
      <w:r>
        <w:t>DFM/FMXL and Encoding Flow</w:t>
      </w:r>
      <w:bookmarkEnd w:id="9"/>
    </w:p>
    <w:p w14:paraId="1DF4ABAC" w14:textId="77777777" w:rsidR="001B2202" w:rsidRDefault="00CD1855">
      <w:r>
        <w:t>The DFM parser continues to preserve multi-line string collections such as Lines.Strings, Items.Strings, SQL.Strings, and Params.Strings. TStringGrid event properties are emitted before generated column child objects so Delphi can open the FMX form.</w:t>
      </w:r>
    </w:p>
    <w:p w14:paraId="4E6AB1B0" w14:textId="77777777" w:rsidR="001B2202" w:rsidRDefault="00CD1855">
      <w:r>
        <w:t>Generated FMX files are written as UTF-8 with BOM so accented French text and other international characters load correctly in Delphi.</w:t>
      </w:r>
    </w:p>
    <w:p w14:paraId="6E2F7C5C" w14:textId="77777777" w:rsidR="001B2202" w:rsidRDefault="00CD1855">
      <w:pPr>
        <w:pStyle w:val="Heading1"/>
      </w:pPr>
      <w:bookmarkStart w:id="10" w:name="_Toc233481043"/>
      <w:r>
        <w:t>Contract Runner Relationship</w:t>
      </w:r>
      <w:bookmarkEnd w:id="10"/>
    </w:p>
    <w:p w14:paraId="2EC2C3F1" w14:textId="77777777" w:rsidR="001B2202" w:rsidRDefault="00CD1855">
      <w:r>
        <w:t>A conversion contract consists of a small sample Delphi project, form, or source file together with an expectation file that defines the converter output, report items, uses-clause behavior, and required validation behavior.</w:t>
      </w:r>
    </w:p>
    <w:p w14:paraId="00E3CB66" w14:textId="77777777" w:rsidR="001B2202" w:rsidRDefault="00CD1855">
      <w:r>
        <w:t>The contract runner is the test utility that loads each contract, runs the converter against its sample input, and verifies that the actual result matches the expectation file. It does not run during normal user conversions.</w:t>
      </w:r>
    </w:p>
    <w:p w14:paraId="3DFEA92C" w14:textId="44C104CD" w:rsidR="003828AE" w:rsidRDefault="00CD1855">
      <w:r>
        <w:t xml:space="preserve">[v5.0 contract baseline] The current v5.0 suite contains </w:t>
      </w:r>
      <w:r w:rsidR="00B80A5C">
        <w:t>198 executable expectations</w:t>
      </w:r>
      <w:r>
        <w:t>.</w:t>
      </w:r>
    </w:p>
    <w:tbl>
      <w:tblPr>
        <w:tblStyle w:val="TableGrid"/>
        <w:tblW w:w="0" w:type="auto"/>
        <w:jc w:val="center"/>
        <w:tblLook w:val="04A0" w:firstRow="1" w:lastRow="0" w:firstColumn="1" w:lastColumn="0" w:noHBand="0" w:noVBand="1"/>
      </w:tblPr>
      <w:tblGrid>
        <w:gridCol w:w="4320"/>
        <w:gridCol w:w="1872"/>
      </w:tblGrid>
      <w:tr w:rsidR="001B2202" w14:paraId="59702FDE" w14:textId="77777777">
        <w:trPr>
          <w:jc w:val="center"/>
        </w:trPr>
        <w:tc>
          <w:tcPr>
            <w:tcW w:w="4320" w:type="dxa"/>
          </w:tcPr>
          <w:p w14:paraId="6DACE1C3" w14:textId="77777777" w:rsidR="001B2202" w:rsidRDefault="00CD1855">
            <w:r>
              <w:rPr>
                <w:b/>
              </w:rPr>
              <w:t>Contract area</w:t>
            </w:r>
          </w:p>
        </w:tc>
        <w:tc>
          <w:tcPr>
            <w:tcW w:w="1872" w:type="dxa"/>
          </w:tcPr>
          <w:p w14:paraId="1C5DE6E9" w14:textId="77777777" w:rsidR="001B2202" w:rsidRDefault="00CD1855">
            <w:r>
              <w:rPr>
                <w:b/>
              </w:rPr>
              <w:t>Expectation count</w:t>
            </w:r>
          </w:p>
        </w:tc>
      </w:tr>
      <w:tr w:rsidR="001B2202" w14:paraId="2E4AFA58" w14:textId="77777777">
        <w:trPr>
          <w:jc w:val="center"/>
        </w:trPr>
        <w:tc>
          <w:tcPr>
            <w:tcW w:w="4320" w:type="dxa"/>
          </w:tcPr>
          <w:p w14:paraId="3FE92C78" w14:textId="77777777" w:rsidR="001B2202" w:rsidRDefault="00CD1855">
            <w:r>
              <w:rPr>
                <w:sz w:val="16"/>
              </w:rPr>
              <w:t>colors</w:t>
            </w:r>
          </w:p>
        </w:tc>
        <w:tc>
          <w:tcPr>
            <w:tcW w:w="1872" w:type="dxa"/>
          </w:tcPr>
          <w:p w14:paraId="6F5BC2BF" w14:textId="77777777" w:rsidR="001B2202" w:rsidRDefault="00CD1855">
            <w:r>
              <w:rPr>
                <w:sz w:val="16"/>
              </w:rPr>
              <w:t>15</w:t>
            </w:r>
          </w:p>
        </w:tc>
      </w:tr>
      <w:tr w:rsidR="001B2202" w14:paraId="1255E2C8" w14:textId="77777777">
        <w:trPr>
          <w:jc w:val="center"/>
        </w:trPr>
        <w:tc>
          <w:tcPr>
            <w:tcW w:w="4320" w:type="dxa"/>
          </w:tcPr>
          <w:p w14:paraId="0D72DD9C" w14:textId="77777777" w:rsidR="001B2202" w:rsidRDefault="00CD1855">
            <w:r>
              <w:rPr>
                <w:sz w:val="16"/>
              </w:rPr>
              <w:t>comments_and_boundaries</w:t>
            </w:r>
          </w:p>
        </w:tc>
        <w:tc>
          <w:tcPr>
            <w:tcW w:w="1872" w:type="dxa"/>
          </w:tcPr>
          <w:p w14:paraId="0AAC62C5" w14:textId="77777777" w:rsidR="001B2202" w:rsidRDefault="00CD1855">
            <w:r>
              <w:rPr>
                <w:sz w:val="16"/>
              </w:rPr>
              <w:t>20</w:t>
            </w:r>
          </w:p>
        </w:tc>
      </w:tr>
      <w:tr w:rsidR="001B2202" w14:paraId="6965BD65" w14:textId="77777777">
        <w:trPr>
          <w:jc w:val="center"/>
        </w:trPr>
        <w:tc>
          <w:tcPr>
            <w:tcW w:w="4320" w:type="dxa"/>
          </w:tcPr>
          <w:p w14:paraId="03E9C383" w14:textId="77777777" w:rsidR="001B2202" w:rsidRDefault="00CD1855">
            <w:r>
              <w:rPr>
                <w:sz w:val="16"/>
              </w:rPr>
              <w:t>components_and_events</w:t>
            </w:r>
          </w:p>
        </w:tc>
        <w:tc>
          <w:tcPr>
            <w:tcW w:w="1872" w:type="dxa"/>
          </w:tcPr>
          <w:p w14:paraId="39FE3C8D" w14:textId="77777777" w:rsidR="001B2202" w:rsidRDefault="00CD1855">
            <w:r>
              <w:rPr>
                <w:sz w:val="16"/>
              </w:rPr>
              <w:t>19</w:t>
            </w:r>
          </w:p>
        </w:tc>
      </w:tr>
      <w:tr w:rsidR="001B2202" w14:paraId="116A34C2" w14:textId="77777777">
        <w:trPr>
          <w:jc w:val="center"/>
        </w:trPr>
        <w:tc>
          <w:tcPr>
            <w:tcW w:w="4320" w:type="dxa"/>
          </w:tcPr>
          <w:p w14:paraId="7F1FB32A" w14:textId="77777777" w:rsidR="001B2202" w:rsidRDefault="00CD1855">
            <w:r>
              <w:rPr>
                <w:sz w:val="16"/>
              </w:rPr>
              <w:t>data_aware</w:t>
            </w:r>
          </w:p>
        </w:tc>
        <w:tc>
          <w:tcPr>
            <w:tcW w:w="1872" w:type="dxa"/>
          </w:tcPr>
          <w:p w14:paraId="7E294C8A" w14:textId="77777777" w:rsidR="001B2202" w:rsidRDefault="00CD1855">
            <w:r>
              <w:rPr>
                <w:sz w:val="16"/>
              </w:rPr>
              <w:t>8</w:t>
            </w:r>
          </w:p>
        </w:tc>
      </w:tr>
      <w:tr w:rsidR="001B2202" w14:paraId="3CA20EC6" w14:textId="77777777">
        <w:trPr>
          <w:jc w:val="center"/>
        </w:trPr>
        <w:tc>
          <w:tcPr>
            <w:tcW w:w="4320" w:type="dxa"/>
          </w:tcPr>
          <w:p w14:paraId="3276BC3C" w14:textId="77777777" w:rsidR="001B2202" w:rsidRDefault="00CD1855">
            <w:r>
              <w:rPr>
                <w:sz w:val="16"/>
              </w:rPr>
              <w:t>dfm_pairs</w:t>
            </w:r>
          </w:p>
        </w:tc>
        <w:tc>
          <w:tcPr>
            <w:tcW w:w="1872" w:type="dxa"/>
          </w:tcPr>
          <w:p w14:paraId="102027C3" w14:textId="77777777" w:rsidR="001B2202" w:rsidRDefault="00CD1855">
            <w:r>
              <w:rPr>
                <w:sz w:val="16"/>
              </w:rPr>
              <w:t>7</w:t>
            </w:r>
          </w:p>
        </w:tc>
      </w:tr>
      <w:tr w:rsidR="001B2202" w14:paraId="33564111" w14:textId="77777777">
        <w:trPr>
          <w:jc w:val="center"/>
        </w:trPr>
        <w:tc>
          <w:tcPr>
            <w:tcW w:w="4320" w:type="dxa"/>
          </w:tcPr>
          <w:p w14:paraId="301D9ED8" w14:textId="77777777" w:rsidR="001B2202" w:rsidRDefault="00CD1855">
            <w:r>
              <w:rPr>
                <w:sz w:val="16"/>
              </w:rPr>
              <w:t>encoding</w:t>
            </w:r>
          </w:p>
        </w:tc>
        <w:tc>
          <w:tcPr>
            <w:tcW w:w="1872" w:type="dxa"/>
          </w:tcPr>
          <w:p w14:paraId="7B6380EF" w14:textId="77777777" w:rsidR="001B2202" w:rsidRDefault="00CD1855">
            <w:r>
              <w:rPr>
                <w:sz w:val="16"/>
              </w:rPr>
              <w:t>4</w:t>
            </w:r>
          </w:p>
        </w:tc>
      </w:tr>
      <w:tr w:rsidR="001B2202" w14:paraId="00FD6155" w14:textId="77777777">
        <w:trPr>
          <w:jc w:val="center"/>
        </w:trPr>
        <w:tc>
          <w:tcPr>
            <w:tcW w:w="4320" w:type="dxa"/>
          </w:tcPr>
          <w:p w14:paraId="0F0B06EA" w14:textId="77777777" w:rsidR="001B2202" w:rsidRDefault="00CD1855">
            <w:r>
              <w:rPr>
                <w:sz w:val="16"/>
              </w:rPr>
              <w:t>graphics</w:t>
            </w:r>
          </w:p>
        </w:tc>
        <w:tc>
          <w:tcPr>
            <w:tcW w:w="1872" w:type="dxa"/>
          </w:tcPr>
          <w:p w14:paraId="3514FB67" w14:textId="77777777" w:rsidR="001B2202" w:rsidRDefault="00CD1855">
            <w:r>
              <w:rPr>
                <w:sz w:val="16"/>
              </w:rPr>
              <w:t>7</w:t>
            </w:r>
          </w:p>
        </w:tc>
      </w:tr>
      <w:tr w:rsidR="001B2202" w14:paraId="26425259" w14:textId="77777777">
        <w:trPr>
          <w:jc w:val="center"/>
        </w:trPr>
        <w:tc>
          <w:tcPr>
            <w:tcW w:w="4320" w:type="dxa"/>
          </w:tcPr>
          <w:p w14:paraId="138BB53A" w14:textId="77777777" w:rsidR="001B2202" w:rsidRDefault="00CD1855">
            <w:r>
              <w:rPr>
                <w:sz w:val="16"/>
              </w:rPr>
              <w:t>include_analysis</w:t>
            </w:r>
          </w:p>
        </w:tc>
        <w:tc>
          <w:tcPr>
            <w:tcW w:w="1872" w:type="dxa"/>
          </w:tcPr>
          <w:p w14:paraId="71B42026" w14:textId="77777777" w:rsidR="001B2202" w:rsidRDefault="00CD1855">
            <w:r>
              <w:rPr>
                <w:sz w:val="16"/>
              </w:rPr>
              <w:t>11</w:t>
            </w:r>
          </w:p>
        </w:tc>
      </w:tr>
      <w:tr w:rsidR="001B2202" w14:paraId="1B2B0380" w14:textId="77777777">
        <w:trPr>
          <w:jc w:val="center"/>
        </w:trPr>
        <w:tc>
          <w:tcPr>
            <w:tcW w:w="4320" w:type="dxa"/>
          </w:tcPr>
          <w:p w14:paraId="595DD7DA" w14:textId="77777777" w:rsidR="001B2202" w:rsidRDefault="00CD1855">
            <w:r>
              <w:rPr>
                <w:sz w:val="16"/>
              </w:rPr>
              <w:t>livebindings</w:t>
            </w:r>
          </w:p>
        </w:tc>
        <w:tc>
          <w:tcPr>
            <w:tcW w:w="1872" w:type="dxa"/>
          </w:tcPr>
          <w:p w14:paraId="002EB6E4" w14:textId="77777777" w:rsidR="001B2202" w:rsidRDefault="00CD1855">
            <w:r>
              <w:rPr>
                <w:sz w:val="16"/>
              </w:rPr>
              <w:t>6</w:t>
            </w:r>
          </w:p>
        </w:tc>
      </w:tr>
      <w:tr w:rsidR="001B2202" w14:paraId="4E3113C2" w14:textId="77777777">
        <w:trPr>
          <w:jc w:val="center"/>
        </w:trPr>
        <w:tc>
          <w:tcPr>
            <w:tcW w:w="4320" w:type="dxa"/>
          </w:tcPr>
          <w:p w14:paraId="5C320198" w14:textId="77777777" w:rsidR="001B2202" w:rsidRDefault="00CD1855">
            <w:r>
              <w:rPr>
                <w:sz w:val="16"/>
              </w:rPr>
              <w:t>project_files</w:t>
            </w:r>
          </w:p>
        </w:tc>
        <w:tc>
          <w:tcPr>
            <w:tcW w:w="1872" w:type="dxa"/>
          </w:tcPr>
          <w:p w14:paraId="05740003" w14:textId="77777777" w:rsidR="001B2202" w:rsidRDefault="00CD1855">
            <w:r>
              <w:rPr>
                <w:sz w:val="16"/>
              </w:rPr>
              <w:t>5</w:t>
            </w:r>
          </w:p>
        </w:tc>
      </w:tr>
      <w:tr w:rsidR="001B2202" w14:paraId="1CF4A18A" w14:textId="77777777">
        <w:trPr>
          <w:jc w:val="center"/>
        </w:trPr>
        <w:tc>
          <w:tcPr>
            <w:tcW w:w="4320" w:type="dxa"/>
          </w:tcPr>
          <w:p w14:paraId="4BCFDACF" w14:textId="77777777" w:rsidR="001B2202" w:rsidRDefault="00CD1855">
            <w:r>
              <w:rPr>
                <w:sz w:val="16"/>
              </w:rPr>
              <w:t>project_integration</w:t>
            </w:r>
          </w:p>
        </w:tc>
        <w:tc>
          <w:tcPr>
            <w:tcW w:w="1872" w:type="dxa"/>
          </w:tcPr>
          <w:p w14:paraId="000A0F2B" w14:textId="77777777" w:rsidR="001B2202" w:rsidRDefault="00CD1855">
            <w:r>
              <w:rPr>
                <w:sz w:val="16"/>
              </w:rPr>
              <w:t>5</w:t>
            </w:r>
          </w:p>
        </w:tc>
      </w:tr>
      <w:tr w:rsidR="001B2202" w14:paraId="27FD5E2D" w14:textId="77777777">
        <w:trPr>
          <w:jc w:val="center"/>
        </w:trPr>
        <w:tc>
          <w:tcPr>
            <w:tcW w:w="4320" w:type="dxa"/>
          </w:tcPr>
          <w:p w14:paraId="6FE5F875" w14:textId="77777777" w:rsidR="001B2202" w:rsidRDefault="00CD1855">
            <w:r>
              <w:rPr>
                <w:sz w:val="16"/>
              </w:rPr>
              <w:t>reporting</w:t>
            </w:r>
          </w:p>
        </w:tc>
        <w:tc>
          <w:tcPr>
            <w:tcW w:w="1872" w:type="dxa"/>
          </w:tcPr>
          <w:p w14:paraId="6479995D" w14:textId="77777777" w:rsidR="001B2202" w:rsidRDefault="00CD1855">
            <w:r>
              <w:rPr>
                <w:sz w:val="16"/>
              </w:rPr>
              <w:t>4</w:t>
            </w:r>
          </w:p>
        </w:tc>
      </w:tr>
      <w:tr w:rsidR="001B2202" w14:paraId="7A233381" w14:textId="77777777">
        <w:trPr>
          <w:jc w:val="center"/>
        </w:trPr>
        <w:tc>
          <w:tcPr>
            <w:tcW w:w="4320" w:type="dxa"/>
          </w:tcPr>
          <w:p w14:paraId="3E12B293" w14:textId="77777777" w:rsidR="001B2202" w:rsidRDefault="00CD1855">
            <w:r>
              <w:rPr>
                <w:sz w:val="16"/>
              </w:rPr>
              <w:t>third_party</w:t>
            </w:r>
          </w:p>
        </w:tc>
        <w:tc>
          <w:tcPr>
            <w:tcW w:w="1872" w:type="dxa"/>
          </w:tcPr>
          <w:p w14:paraId="6E597D27" w14:textId="77777777" w:rsidR="001B2202" w:rsidRDefault="00CD1855">
            <w:r>
              <w:rPr>
                <w:sz w:val="16"/>
              </w:rPr>
              <w:t>3</w:t>
            </w:r>
          </w:p>
        </w:tc>
      </w:tr>
      <w:tr w:rsidR="001B2202" w14:paraId="13A67899" w14:textId="77777777">
        <w:trPr>
          <w:jc w:val="center"/>
        </w:trPr>
        <w:tc>
          <w:tcPr>
            <w:tcW w:w="4320" w:type="dxa"/>
          </w:tcPr>
          <w:p w14:paraId="337BE343" w14:textId="77777777" w:rsidR="001B2202" w:rsidRDefault="00CD1855">
            <w:r>
              <w:rPr>
                <w:sz w:val="16"/>
              </w:rPr>
              <w:t>uses_clause</w:t>
            </w:r>
          </w:p>
        </w:tc>
        <w:tc>
          <w:tcPr>
            <w:tcW w:w="1872" w:type="dxa"/>
          </w:tcPr>
          <w:p w14:paraId="32CA3D82" w14:textId="77777777" w:rsidR="001B2202" w:rsidRDefault="00CD1855">
            <w:r>
              <w:rPr>
                <w:sz w:val="16"/>
              </w:rPr>
              <w:t>21</w:t>
            </w:r>
          </w:p>
        </w:tc>
      </w:tr>
      <w:tr w:rsidR="001B2202" w14:paraId="0E2B1B22" w14:textId="77777777">
        <w:trPr>
          <w:jc w:val="center"/>
        </w:trPr>
        <w:tc>
          <w:tcPr>
            <w:tcW w:w="4320" w:type="dxa"/>
          </w:tcPr>
          <w:p w14:paraId="746D4D49" w14:textId="77777777" w:rsidR="001B2202" w:rsidRDefault="00CD1855">
            <w:r>
              <w:rPr>
                <w:sz w:val="16"/>
              </w:rPr>
              <w:t>winapi_messages</w:t>
            </w:r>
          </w:p>
        </w:tc>
        <w:tc>
          <w:tcPr>
            <w:tcW w:w="1872" w:type="dxa"/>
          </w:tcPr>
          <w:p w14:paraId="203AE335" w14:textId="77777777" w:rsidR="001B2202" w:rsidRDefault="00CD1855">
            <w:r>
              <w:rPr>
                <w:sz w:val="16"/>
              </w:rPr>
              <w:t>40</w:t>
            </w:r>
          </w:p>
        </w:tc>
      </w:tr>
    </w:tbl>
    <w:p w14:paraId="26BCA7A4" w14:textId="77777777" w:rsidR="001B2202" w:rsidRDefault="001B2202"/>
    <w:p w14:paraId="2E781293" w14:textId="77777777" w:rsidR="001B2202" w:rsidRDefault="00CD1855">
      <w:pPr>
        <w:pStyle w:val="Heading1"/>
      </w:pPr>
      <w:bookmarkStart w:id="11" w:name="_Toc233481044"/>
      <w:r>
        <w:t>End-to-End Runtime Flow</w:t>
      </w:r>
      <w:bookmarkEnd w:id="11"/>
    </w:p>
    <w:p w14:paraId="4F6D5CA1" w14:textId="77777777" w:rsidR="001B2202" w:rsidRDefault="00CD1855">
      <w:r>
        <w:t>1. User selects a source folder and output folder.</w:t>
      </w:r>
    </w:p>
    <w:p w14:paraId="3187746A" w14:textId="77777777" w:rsidR="001B2202" w:rsidRDefault="00CD1855">
      <w:r>
        <w:t>2. Converter initializes context, options, loaded mapping packs, issue lists, and output paths.</w:t>
      </w:r>
    </w:p>
    <w:p w14:paraId="3489DDE0" w14:textId="77777777" w:rsidR="001B2202" w:rsidRDefault="00CD1855">
      <w:r>
        <w:t>3. Built-in and third-party mapping rules are loaded.</w:t>
      </w:r>
    </w:p>
    <w:p w14:paraId="2811AC46" w14:textId="77777777" w:rsidR="001B2202" w:rsidRDefault="00CD1855">
      <w:r>
        <w:t>4. Source files are discovered while build-output folders are avoided for ambiguous companion-file discovery.</w:t>
      </w:r>
    </w:p>
    <w:p w14:paraId="490AC15C" w14:textId="77777777" w:rsidR="001B2202" w:rsidRDefault="00CD1855">
      <w:r>
        <w:t>5. Pascal files are analyzed, include directives are resolved, and rewrite rules are applied.</w:t>
      </w:r>
    </w:p>
    <w:p w14:paraId="3CA8CEA6" w14:textId="77777777" w:rsidR="001B2202" w:rsidRDefault="00CD1855">
      <w:r>
        <w:t>6. DFM files are parsed and emitted as FMX with string-collection and event-order protections.</w:t>
      </w:r>
    </w:p>
    <w:p w14:paraId="330C832F" w14:textId="77777777" w:rsidR="001B2202" w:rsidRDefault="00CD1855">
      <w:r>
        <w:t>7. Project files, companion include files, and safe source-root companions are copied or generated.</w:t>
      </w:r>
    </w:p>
    <w:p w14:paraId="0211637E" w14:textId="77777777" w:rsidR="001B2202" w:rsidRDefault="00CD1855">
      <w:r>
        <w:t>8. Reports are written with conversion status, blocking/manual-review details, mapping-pack usage, include findings, Windows-message findings, and GDI/visual-review items.</w:t>
      </w:r>
    </w:p>
    <w:p w14:paraId="70227BD6" w14:textId="77777777" w:rsidR="00E314C7" w:rsidRDefault="00CD1855">
      <w:r>
        <w:t>[v5.0 dry-run report note] Dry-run mode follows the same analysis path as a real conversion, but generated-file writes are listed as Dry-run notices. Those notices do not count as conversion issues. Total issues is reserved for warnings, grouped manual-review items, and errors.</w:t>
      </w:r>
    </w:p>
    <w:p w14:paraId="75F5C13E" w14:textId="77777777" w:rsidR="001B2202" w:rsidRDefault="00CD1855">
      <w:r>
        <w:t>9. The UI updates the dashboard/log/report actions for the operator.</w:t>
      </w:r>
    </w:p>
    <w:sectPr w:rsidR="001B220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167941">
    <w:abstractNumId w:val="8"/>
  </w:num>
  <w:num w:numId="2" w16cid:durableId="396586201">
    <w:abstractNumId w:val="6"/>
  </w:num>
  <w:num w:numId="3" w16cid:durableId="1656566512">
    <w:abstractNumId w:val="5"/>
  </w:num>
  <w:num w:numId="4" w16cid:durableId="1950548624">
    <w:abstractNumId w:val="4"/>
  </w:num>
  <w:num w:numId="5" w16cid:durableId="755714073">
    <w:abstractNumId w:val="7"/>
  </w:num>
  <w:num w:numId="6" w16cid:durableId="246767016">
    <w:abstractNumId w:val="3"/>
  </w:num>
  <w:num w:numId="7" w16cid:durableId="899482624">
    <w:abstractNumId w:val="2"/>
  </w:num>
  <w:num w:numId="8" w16cid:durableId="977684731">
    <w:abstractNumId w:val="1"/>
  </w:num>
  <w:num w:numId="9" w16cid:durableId="172748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A1C"/>
    <w:rsid w:val="0015074B"/>
    <w:rsid w:val="001B2202"/>
    <w:rsid w:val="001F1085"/>
    <w:rsid w:val="00265565"/>
    <w:rsid w:val="0029639D"/>
    <w:rsid w:val="002B3736"/>
    <w:rsid w:val="00326F90"/>
    <w:rsid w:val="003828AE"/>
    <w:rsid w:val="00501FD2"/>
    <w:rsid w:val="00731A5E"/>
    <w:rsid w:val="008967D8"/>
    <w:rsid w:val="00AA1D8D"/>
    <w:rsid w:val="00B47730"/>
    <w:rsid w:val="00B51BC3"/>
    <w:rsid w:val="00B80A5C"/>
    <w:rsid w:val="00CB0664"/>
    <w:rsid w:val="00E314C7"/>
    <w:rsid w:val="00E50540"/>
    <w:rsid w:val="00F01F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907C2"/>
  <w14:defaultImageDpi w14:val="300"/>
  <w15:docId w15:val="{F2FC290B-C32C-41D8-9A8B-FB53D156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E50540"/>
    <w:pPr>
      <w:spacing w:after="100"/>
      <w:ind w:left="200"/>
    </w:pPr>
  </w:style>
  <w:style w:type="paragraph" w:styleId="TOC1">
    <w:name w:val="toc 1"/>
    <w:basedOn w:val="Normal"/>
    <w:next w:val="Normal"/>
    <w:autoRedefine/>
    <w:uiPriority w:val="39"/>
    <w:unhideWhenUsed/>
    <w:rsid w:val="00E50540"/>
    <w:pPr>
      <w:spacing w:after="100"/>
    </w:pPr>
  </w:style>
  <w:style w:type="character" w:styleId="Hyperlink">
    <w:name w:val="Hyperlink"/>
    <w:basedOn w:val="DefaultParagraphFont"/>
    <w:uiPriority w:val="99"/>
    <w:unhideWhenUsed/>
    <w:rsid w:val="00E505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1521</Words>
  <Characters>8674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7</cp:revision>
  <dcterms:created xsi:type="dcterms:W3CDTF">2013-12-23T23:15:00Z</dcterms:created>
  <dcterms:modified xsi:type="dcterms:W3CDTF">2026-07-17T18:08:00Z</dcterms:modified>
  <cp:category/>
</cp:coreProperties>
</file>