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F184B" w14:textId="77777777" w:rsidR="000E53AE" w:rsidRDefault="000E53AE">
      <w:pPr>
        <w:pStyle w:val="Heading1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VCL2FMXConverter Generic Rules Reference</w:t>
      </w:r>
    </w:p>
    <w:p w14:paraId="75C3CF4F" w14:textId="77777777" w:rsidR="000E53AE" w:rsidRDefault="000E53AE">
      <w:pPr>
        <w:shd w:val="clear" w:color="auto" w:fill="F9F4E8"/>
        <w:divId w:val="1806775793"/>
        <w:rPr>
          <w:rFonts w:ascii="Calibri" w:eastAsia="Times New Roman" w:hAnsi="Calibri" w:cs="Calibri"/>
          <w:color w:val="222222"/>
          <w:sz w:val="22"/>
          <w:szCs w:val="22"/>
          <w:lang w:val="en"/>
        </w:rPr>
      </w:pPr>
      <w:r>
        <w:rPr>
          <w:rStyle w:val="Strong"/>
          <w:rFonts w:ascii="Calibri" w:eastAsia="Times New Roman" w:hAnsi="Calibri" w:cs="Calibri"/>
          <w:color w:val="222222"/>
          <w:sz w:val="22"/>
          <w:szCs w:val="22"/>
          <w:lang w:val="en"/>
        </w:rPr>
        <w:t>Scope: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 This document lists the active generic conversion rules in VCL2FMXConverter v5.0. It covers component mappings, data-aware rules, property and event rewrites, layout and style handling, runtime helper behavior, media conversion logic, project-generation rules, include analysis, Windows messaging policy, and the executable contract-test system. It does </w:t>
      </w:r>
      <w:r>
        <w:rPr>
          <w:rStyle w:val="Strong"/>
          <w:rFonts w:ascii="Calibri" w:eastAsia="Times New Roman" w:hAnsi="Calibri" w:cs="Calibri"/>
          <w:color w:val="222222"/>
          <w:sz w:val="22"/>
          <w:szCs w:val="22"/>
          <w:lang w:val="en"/>
        </w:rPr>
        <w:t>not</w:t>
      </w:r>
      <w:r>
        <w:rPr>
          <w:rFonts w:ascii="Calibri" w:eastAsia="Times New Roman" w:hAnsi="Calibri" w:cs="Calibri"/>
          <w:color w:val="222222"/>
          <w:sz w:val="22"/>
          <w:szCs w:val="22"/>
          <w:lang w:val="en"/>
        </w:rPr>
        <w:t xml:space="preserve"> include project-specific rules. Current v5.0 note: the live Component Map, Property Map, and Event Map screens are backed by the same compiled mapper knowledge used during conversion, and the mapper exports explicit RTTI inventories and class/property/event matrices for audit and maintenance. </w:t>
      </w:r>
    </w:p>
    <w:p w14:paraId="73F4F046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Version:</w:t>
      </w:r>
      <w:r>
        <w:rPr>
          <w:rFonts w:ascii="Calibri" w:hAnsi="Calibri" w:cs="Calibri"/>
          <w:lang w:val="en"/>
        </w:rPr>
        <w:t xml:space="preserve"> 5.0 Vanguard.</w:t>
      </w:r>
    </w:p>
    <w:p w14:paraId="16B2A0E6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Revision date: June 27, 2026 from the current v5.0 codebase.</w:t>
      </w:r>
    </w:p>
    <w:p w14:paraId="5DD34795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Reference data source:</w:t>
      </w:r>
      <w:r>
        <w:rPr>
          <w:rFonts w:ascii="Calibri" w:hAnsi="Calibri" w:cs="Calibri"/>
          <w:lang w:val="en"/>
        </w:rPr>
        <w:t xml:space="preserve"> mapper_source_fallback.</w:t>
      </w:r>
    </w:p>
    <w:p w14:paraId="0D6E0988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Style w:val="Strong"/>
          <w:rFonts w:ascii="Calibri" w:hAnsi="Calibri" w:cs="Calibri"/>
          <w:lang w:val="en"/>
        </w:rPr>
        <w:t>Current matrix snapshot:</w:t>
      </w:r>
      <w:r>
        <w:rPr>
          <w:rFonts w:ascii="Calibri" w:hAnsi="Calibri" w:cs="Calibri"/>
          <w:lang w:val="en"/>
        </w:rPr>
        <w:t xml:space="preserve"> classes: 80 total (36 direct, 33 substitute, 8 manual review); properties: 74 total (45 direct, 22 renamed, 5 transformed, 0 omitted, 2 manual review); events: 27 total (15 direct, 5 renamed, 7 incompatible signature, 0 manual review).</w:t>
      </w:r>
    </w:p>
    <w:p w14:paraId="5170572F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1. Component Mapping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1"/>
        <w:gridCol w:w="1758"/>
        <w:gridCol w:w="1827"/>
        <w:gridCol w:w="1827"/>
        <w:gridCol w:w="3374"/>
      </w:tblGrid>
      <w:tr w:rsidR="00084386" w14:paraId="645269C1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CD89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1E15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2245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D954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9BBA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354D257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AFF9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0BAAD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A5A6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012A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107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E64323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A318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FD1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3C3E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28276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7D0C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8C1092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E721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lastRenderedPageBreak/>
              <w:t>Component mapping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0F3D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779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826E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Mapped according to the current converter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D6FD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06D46F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8A141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324D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CCD97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C092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B22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01231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47FA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6A5D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885C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TActionList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50BA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15FF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4B6A6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D22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1E96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TADODataSet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80AB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31E9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Windows-specific ADO dataset requires manual review for FMX targets.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E25A7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B31C2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2C0E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448A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TApdComPort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8662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80B4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Third-party serial communications component - requires a custom FMX/WinAPI replacement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A467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7A3BE5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86F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A4AD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TBevel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9B57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TRectangle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85E6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TRectangle with appropriate Fill and Stroke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F68D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BF3043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CAD91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62E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TBitBtn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62CF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C7C35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TButton with Images property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E10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630717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F6328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lastRenderedPageBreak/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FD89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85B5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92F9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8339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F8097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7D3EC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EA87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TChart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F0E7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FA25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Requires TMS FMX Chart or similar third-party component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6A56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EAEB03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4EBD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D5E9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5978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5F61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319F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36C583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A7A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2A88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D47C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C5FE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TListBox and review checked-item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B4D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D7F3F4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20B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FA6AD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TClientDataSet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095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DF33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Dataset component requires manual review; preserve only if the target platform and supporting units are appropriate.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E52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6CB4F2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ABA5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F5C1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18BD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3248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color-selection equivalent is TColorComboBox in FMX.Colors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23AD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0F39A1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A905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4D99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1994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75A77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dialog with a Color property and Execute support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A58B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EDE328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C3B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42DF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95DD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F51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88CAF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0D72D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444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42E3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TDateTimePicker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1081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TDateEdit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3DE4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082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C89D2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FBCB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BB7B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76AF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3CD8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4C9F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234137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4C29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ED22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5AE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9990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4549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328752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DBFB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47535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TDBCtrlGrid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5E7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92CC1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Major structural difference - requires LiveBindings and manual layout review.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AC7C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2A52EE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2420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0C4A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A2F4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872E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to connect to data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4FE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EA5ED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050D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EAF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B2AA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699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Major architectural difference - requires LiveBindings completely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4FA6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9FA2F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9DBE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8FFA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9CC4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1A28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LiveBindings with FMX TListBox and review lookup/list-source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9360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1C39E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FF0A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4CD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4E34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TBindNavigator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3738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LiveBindings navigator with generated TBindSourceDB hookup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9235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AFA6EE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E761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874B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TDrawGrid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7851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C997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TStringGrid and review custom drawing/cell rendering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D3F2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5C8728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7CC5E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19E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FA48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CE94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13CD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47A89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DF49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04B8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2F6D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7DD94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TOpenDialog as the closest standard substitute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05743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EF679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1B57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E8C3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A7B8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4FEC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TSaveDialog as the closest standard substitute.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424F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38817A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66D4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F872E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TFlowPanel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5D65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TFlowLayout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9BE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TFlowLayout as the closest standard flow container.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10B8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531C1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FF9A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D951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TFontDialog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1FC2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TFontDialog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86C1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dialog with a streamed Font property and Execute support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B3F1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43A3E9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E1DAE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97C41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TForm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493B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TForm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863F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Root forms are converted through dedicated parser rules; this row keeps form properties and events explicit in the mapping matrix.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4B13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F4BC7F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805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D372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TFrame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D1C4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TFrame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5B34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frames are available and should be treated as first-class matrix entries.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F2C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C037C8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427B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8265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84DE4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TGridPanelLayout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50C1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TGridPanelLayout as the closest standard grid layout container.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221E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508439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CE19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AC433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TGroupBox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9B2B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TGroupBox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E4D4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 visual FMX group box semantics and caption handling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AA51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E754A2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1644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5105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3CB6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1FAB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F28F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78CE73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AA6F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9097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1EEB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TImageList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3F5A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74A9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629B43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F1E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8AF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D29B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A954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0CDA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FF857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F427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8FF1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TLabeledEdit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24CA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1366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Create TLayout with TLabel and 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11E8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15371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AF60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28F6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TLinkLabel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8FBF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A42D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Hyperlink behavior requires manual review, but the visual text target is an FMX label.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74E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F418EE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EEC2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A85F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72D0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BFD8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Item objects need conversion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E661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EFD80B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14AA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E6AE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B6252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TListView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BB74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7852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452ABD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3F19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C653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TMainMenu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805F5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D6E7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8376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A4CE3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9799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771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TMaskEdit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EDAA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B02B0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TEdit and review EditMask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70A3E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ACD04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2C95E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436D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DBB4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B1D3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F9DD5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85FC16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BF42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59D6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94D0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0CAD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85B9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CE02BC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8B29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BDCCF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6C07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TMenuItem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61E9D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54021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C1FE15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FC56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9B94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TMonthCalendar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AA2B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TCalendar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59E2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5864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47FBD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15A5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7224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FE8D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91FF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TNumberBox is available in FMX.NumberBox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09AD3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C36D5C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962D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4ADE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C52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TOpenDialog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269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E8F6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5F104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B34C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95CF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TPageControl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329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TTabControl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C1D4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11E0F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4D6993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43C4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D578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TPaintBox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75F9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TPaintBox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516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TPaintBox is available in FMX.Objects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678E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474E3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C0A2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2EB7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F708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C60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 visual FMX panel semantics for container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9851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D86A1D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3733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CEF80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TPopupMenu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0D75C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TPopupMenu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6C93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5193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58183C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FCC1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85FB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TProgressBar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0626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TProgressBar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F5E2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0406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2B737B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AA1E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64B4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TQuery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5DAE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F842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Legacy query component requires manual review or replacement.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2CE0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CC4B9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E114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E2858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29D96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86D96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018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C57CEE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7BFD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B5185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734C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469E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compatibility group that rebuilds internal FMX radio buttons from Items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3C60B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7C551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A9867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98DB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TRichEdit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1FF3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CD59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 FMX TMemo and review rich-text formatting behavior manually.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F91C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0EA31E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DD20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2BA6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A9C4F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TSaveDialog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9A53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6FED2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EE0F8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88B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6957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47E9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C3EE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B334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0F7167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D5E1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4B9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3D4D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TScrollBox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CED2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5E91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ED4003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24F7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2D0E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TShape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8214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TShape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4C20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8A33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18E28D2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18F6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BD1E3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TSpeedButton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3C56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TSpeedButton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E0B2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3EB6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179302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4D7A7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5FFF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F43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633D2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TSpinBox is available in FMX.SpinBox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D0F5D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00D4FB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3807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A207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TSplitter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CAB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TSplitter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C18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C0DD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2C4509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B7074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FF2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TSQLDataSet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ADB1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531B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dbExpress dataset requires manual review for FMX targets.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59A9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09A2F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54CD4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550D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TStaticText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EE95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EA653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Static text converts cleanly to an FMX label.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39875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0687FB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BEBF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BE66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TStatusBar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6E77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TStatusBar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4F0AB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E71D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80A12F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F905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0D3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C422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65A4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Data model completely different - requires LiveBindings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59B8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2A5288F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86D0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ECE92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TTabSheet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BA18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TTabItem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386C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9DDDC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E96894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5D4B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53438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TTaskDialog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5B5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B9F87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 standard FMX task dialog component - requires a custom dialog implementation.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7E83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76BA34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1E80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396DB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TTimer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3CF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TTimer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BC1F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059D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C81CA4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63FC7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DA20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TToolBar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1DA7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TToolBar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A4C5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EBF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42A9340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3920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94C5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TTrackBar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7AE6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TTrackBar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E6B3B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889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9C0998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DB4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/ 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4289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TTrayIcon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9005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 / unsupported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F040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 standard FMX tray icon component - requires platform-specific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B22B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BFED1F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CECD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A7B79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TTreeView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3B6F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TTreeView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354C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D4DB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75DF65F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CA48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475B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TUpDown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90E1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TSpinBox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3844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closest stock FMX substitute and applies later parser or integration rules where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B7F2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F6568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6571D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Substitute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1C4B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TValueListEditor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8B38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F1ACF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Complex - requires custom grid implementation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85C86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66149DA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646E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Direct component mapping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FB67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TWebBrowser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B86F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TWebBrowser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9FA3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directly to the matching FMX component surface.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5B8B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</w:tbl>
    <w:p w14:paraId="3FF0E83C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2. Data-Aware and Binding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6"/>
        <w:gridCol w:w="2230"/>
        <w:gridCol w:w="1707"/>
        <w:gridCol w:w="1951"/>
        <w:gridCol w:w="3544"/>
      </w:tblGrid>
      <w:tr w:rsidR="00084386" w14:paraId="643CB363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0A14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B1D5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6407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87F2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128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671A43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BAD7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5E076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 / field-style DB-aware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2F454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TEdit + generated bind/sync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16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Detects field-bound editors and generates the helper methods and events needed to keep FMX edits synchronized with dataset values.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1CB5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012D2D9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B5453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Grid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2E3A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743A8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+ binding/selector strategy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F5A1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Captures grid column metadata and routes each form to either a browse-grid path or a selector-grid-with-editors path based on the form structure.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30A4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26BAA4A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B03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Navigator binding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072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TDBNavigator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F930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TBindNavigator + generated bind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D1AC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Detects navigator usage and generates the FMX navigator/bind-source setup needed to drive the dataset.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D9FC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562175A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4BAF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Lookup combo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94CB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TDBLookupComboBox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461F0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Lookup-style LiveBindings setup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2051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Marks lookup combos for fill-control binding behavior so list values and selected keys can be bridged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E3FB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71A0758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AAB5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Display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14D1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C646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 +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8093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Routes read-only DB text fields to an FMX label with text/property binding semantics.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94843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Converter.Advanced.ThirdParty.pas</w:t>
            </w:r>
          </w:p>
        </w:tc>
      </w:tr>
      <w:tr w:rsidR="00084386" w14:paraId="7EEB2D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C923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5F96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1BEC4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TComboEdit + combo text sync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36D1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an editable FMX combo-edit for data-aware combo text and generates selection, popup, and field-sync logic around it.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BC6E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Converter.Core.Integration.pas</w:t>
            </w:r>
          </w:p>
        </w:tc>
      </w:tr>
      <w:tr w:rsidR="00084386" w14:paraId="057FADD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3FA2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Blob image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3ED4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TDBImage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7489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TImage + blob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BDF7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Flags image fields for blob/property binding so visual image content can be pushed into FMX bitmap-based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C0761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08EB968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3D0E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Memo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665A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TDBMemo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9892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+ text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602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Routes memo fields to multiline FMX text components with property binding behavior.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E7EF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3947D1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F9E36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Boolean field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95A8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TDBCheckBox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73FE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TCheckBox + IsChecked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F2EF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boolean database fields to FMX check boxes using IsChecked rather than Checked.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CCDD0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3D8F46F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3716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Enum / radio-group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69FE0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TDBRadioGroup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438A0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TRadioGroup + enum binding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139B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enumerated field groups to FMX radio-group/property binding behavior when the current compatibility path is appropriate.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45CB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Converter.Advanced.DataAware.pas; Converter.Advanced.ThirdParty.pas</w:t>
            </w:r>
          </w:p>
        </w:tc>
      </w:tr>
      <w:tr w:rsidR="00084386" w14:paraId="50379AC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293F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Bind-source code generation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2B4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DB-aware datasets and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AE3E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LiveBindings objects and generated helper code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AF69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Creates the FMX-side bind-source objects and related link components where direct FMX data-aware controls do not exist.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B686D5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Converter.Advanced.DataAware.pas</w:t>
            </w:r>
          </w:p>
        </w:tc>
      </w:tr>
      <w:tr w:rsidR="00084386" w14:paraId="023838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3A1EB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Read-only browse grid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B8F2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source DB grid with separate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2C9B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Browse-only TStringGrid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678C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the grid for browsing/selection and pushes editing responsibility into the already-existing standalone editors on the form.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89A2D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C7C35F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ED49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Selector-grid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310A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source DB grid without separate editors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795D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+ generated editor panel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0C917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Builds a selector grid plus generated editors so inline VCL DB-grid editing is replaced with a safer FMX editing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3467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442E438E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3. Property, Event, and Semantic Translation Rules</w:t>
      </w:r>
    </w:p>
    <w:p w14:paraId="3DE272BB" w14:textId="77777777" w:rsidR="000E53AE" w:rsidRDefault="000E53AE">
      <w:pPr>
        <w:pStyle w:val="small"/>
        <w:spacing w:before="0" w:beforeAutospacing="0"/>
        <w:divId w:val="83572891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The current explicit property matrix classifies 74 rows (45 direct, 22 renamed, 5 transformed, 0 omitted, 2 manual review). The current explicit event matrix classifies 27 rows (15 direct, 5 renamed, 7 incompatible-signature, 0 manual review).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1819"/>
        <w:gridCol w:w="2120"/>
        <w:gridCol w:w="2144"/>
        <w:gridCol w:w="3612"/>
      </w:tblGrid>
      <w:tr w:rsidR="00084386" w14:paraId="1B414F27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84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F923C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DDEE5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0C8AA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2FA1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250610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865B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Caption-to-Text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654BD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Caption-based control 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1B61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Text / TextSettings-based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88384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VCL Caption usage to the appropriate FMX text property or text-setting path depending on the control type.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E305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Converter.Parser.DFM.pas; Converter.Core.Integration.pas</w:t>
            </w:r>
          </w:p>
        </w:tc>
      </w:tr>
      <w:tr w:rsidR="00084386" w14:paraId="0B35AA8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A7FB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Checked-to-IsChecked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5BC3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Checked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73F3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IsChecked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61CF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VCL toggle state access to the FMX boolean property used by check boxes and radio buttons.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7352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7F593F5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DCC8A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Picture-to-Bitmap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0B6C7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TPicture-based image content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24BEB7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Bitmap-based FMX image content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95FC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Bridges the VCL picture model to the bitmap-oriented FMX image control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FE7E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78E052D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DED6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Brush and Pen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E152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Brush / Pen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324E2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Fill / Stroke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ECF32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VCL drawing properties to the FMX rendering property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39EA5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Converter.Core.Integration.pas</w:t>
            </w:r>
          </w:p>
        </w:tc>
      </w:tr>
      <w:tr w:rsidR="00084386" w14:paraId="31B60C2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D6DB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popup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A9A5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OnDropDown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4678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OnPopup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8E7F9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Rewrites combo drop-down events to the FMX popup event used by combo boxes and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C1D2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4DA741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FD64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close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073F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09C6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OnClosePopup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03EB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Rewrites combo close-up events to the FMX popup-close event used by combo boxes and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7B3B8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29D2444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99B8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picker open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4DD3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OnDropDown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CB4167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OnOpenPicker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CEE3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the VCL date-picker open event to the FMX picker-open event.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01DE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7E16B1C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9310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picker close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FCE4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C8C1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OnClosePicker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AA77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Maps the VCL date-picker close event to the FMX picker-close event.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A481D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Converter.Mapper.Component.pas; Converter.Parser.DFM.pas</w:t>
            </w:r>
          </w:p>
        </w:tc>
      </w:tr>
      <w:tr w:rsidR="00084386" w14:paraId="270F220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AE3B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Key event signature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2A26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OnKeyDown / OnKeyUp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15CF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key events with different signatures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BDD1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Marks keyboard events whose FMX handler signatures differ from VCL so the converter can report or adapt them honestly.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24A65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59E2AC6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99B4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mouse-move signature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BAB8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OnMouseMove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3D3D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mouse events with Single coordinates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7CE8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Flags signature differences where FMX expects floating-point coordinates instead of the VCL integer pattern.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F4A8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423FAA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D41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Root-form double-click adaptation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CECFD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OnDblClick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0834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OnMouseUp adapter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BC306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FMX forms from streaming an unsupported OnDblClick property by remapping root-form double-click behavior through a generated mouse-up adapter.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EA07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Converter.Parser.DFM.pas; Converter.Core.Integration.pas</w:t>
            </w:r>
          </w:p>
        </w:tc>
      </w:tr>
      <w:tr w:rsidR="00084386" w14:paraId="21B243C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530C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Masked-edit rule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0F359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EditMask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88A75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 review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8B69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TMaskEdit on the supported class matrix while leaving masking semantics explicit instead of pretending there is a full FMX equivalent.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D237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053FADC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EDF00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message to FMX event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2365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WM_*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FBA26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OnEnter / OnExit / OnClick / OnResize / etc.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91E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Translates common Windows message-handler patterns into the closest FMX event model and marks critical areas for review when needed.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EB198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</w:t>
            </w:r>
          </w:p>
        </w:tc>
      </w:tr>
      <w:tr w:rsidR="00084386" w14:paraId="5917BDE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F9B1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color constant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1128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clBtnFace, clWindow, clActiveCaption, and similar constants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556B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TAlphaColor / FMX-safe color literals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1A27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common VCL color constants into the FMX color system so colors render correctly outside WinAPI painting.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6D59B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Converter.Advanced.WinAPI.pas; Converter.Core.Integration.pas</w:t>
            </w:r>
          </w:p>
        </w:tc>
      </w:tr>
      <w:tr w:rsidR="00084386" w14:paraId="39ACEAD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DE6E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 cast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A23B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TColor(...)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4A11F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TAlphaColor(...)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9FA6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explicit color casts so converted code compiles and uses the FMX color type system.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D6209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7119A0E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B922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MessageDlg button qualification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7F9C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[mbOK], [mbYes, mbNo] and similar sets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A39F8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[TMsgDlgBtn.mbOK], [TMsgDlgBtn.mbYes, TMsgDlgBtn.mbNo]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B233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Qualifies generated FMX message-dialog button sets so they use the FMX/System.UITypes enum surface instead of bare VCL-style identifiers.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1F3629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6A2553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3FAA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Folder picker dialog translation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6F3C8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TFileOpenDialog with fdoPickFolders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73222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SelectDirectory helper path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1F2E5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folder-only browse flows to FMX directory selection and suppresses unsupported VCL dialog option constants from leaking into generated FMX Pascal.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50A3A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702294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AC176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Toggle user-change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0A2D3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check box / radio button OnClick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74B72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OnChange plus generated silent setter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A2FA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user-change behavior generically by separating programmatic state assignment from user-triggered event handling.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6E2EB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76998E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F533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 dialog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FFD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ShowMessage(...)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33AE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ShowMessage(...)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A7652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standard message dialogs rather than routing them through an extra helper layer.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E189A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291B2D89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4. Layout, Text, and Style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1"/>
        <w:gridCol w:w="2135"/>
        <w:gridCol w:w="3167"/>
        <w:gridCol w:w="1504"/>
        <w:gridCol w:w="3023"/>
      </w:tblGrid>
      <w:tr w:rsidR="00084386" w14:paraId="43A488A7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2AE97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F09C01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1B23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3C02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4ABF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0F875F5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1B3A2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Scoped StyledSettings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918D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Styled text-capable controls with custom font/color/alignment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709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Scoped StyledSettings literal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450F3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Clears only the FMX style buckets actually overridden by converted font, color, and alignment settings instead of forcing StyledSettings to an empty set.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547F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38495D0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609F6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Label AutoSize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D14C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AutoSize and non-AutoSize VCL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7388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TLabel sizing that follows the original intent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35331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safe AutoSize behavior where appropriate and avoids over-expanding labels that were fixed-width in VCL.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965BB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71424D2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830F2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Fixed-width label width bump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E8AE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Long single-line fixed-width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8E3B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Wider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7D9B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Adds a mild width increase so slightly larger FMX text does not clip or crowd adjacent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C915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0E4C9D5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970E3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 width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09124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Long wrapped labels and labels with manual line breaks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0DD2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Wider wrapped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5358F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Expands wrapped labels so multiline text fits more naturally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89E6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50C579B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3D6A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 height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B38E8E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labels that need extra vertical space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4C29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Taller TLabel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F16FE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Increases label height so wrapped text fully displays instead of truncating after the first line.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5E75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666AF40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DB03F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Right/centered label alignment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334A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Right-justified or centered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ABFD0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Fixed-width aligned FMX label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17EE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alignment intent and keeps labels visually aligned with nearby controls rather than forcing unsafe autosizing.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2004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1245DEB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1C11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Auto-sized label anchor reset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FA2AF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Auto-sized VCL labels carrying broad anchor sets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D4EE6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Default FMX anchors for auto-sized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E9B86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FMX from stretching centered or auto-sized labels just because the source VCL label carried opposite-edge anchors.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5385E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732B003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D7EEC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DIP-aware font scaling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3DFD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pixel-sized text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3507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Adjusted FMX font sizes and dimensions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736E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Applies component-aware sizing adjustments so text controls look closer to their VCL proportions under FMX device-independent pixels.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51E78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5021536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B48C0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 read-only safeguard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6CFC8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TDBComboBox converted to TComboEdit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2096E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Editable combo-edit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4A80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VCL ReadOnly metadata from incorrectly locking editable converted combo-edit controls.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42B4D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3127F57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8A98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Runtime font-size styled-setting release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50186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Control.Font.Size assignments on FMX styled text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98B0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font-size helper that clears TStyledSetting.Size first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BFCE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Ensures runtime font-size changes are honored on FMX text controls whose styles would otherwise keep Size locked.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4F6D7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E8E9A1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0041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VCL-style text layout math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CB73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Label stacking math that depends on Height after runtime font changes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2913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VCL text-height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CC6F7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vertical spacing in converted dashboards and clock-style layouts by using source label metrics instead of trusting raw FMX auto-size heights.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DC82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35404CE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FB948E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Style-resource background application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22DBD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 styled containers with explicit background colors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C4ED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Styled FMX container tinting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A34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Applies explicit container colors through the FMX style tree so panels, group boxes, toolbars, and status bars keep their visual intent.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F125B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55E4042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D3CE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Recursive container color propagation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96A98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Nested VCL containers with explicit color usage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F200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ApplyContainerBackgroundColor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0436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Walks the FMX control tree and applies compatible background color handling to styled container hierarchies.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AD2EA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</w:tbl>
    <w:p w14:paraId="277F2DD9" w14:textId="77777777" w:rsidR="000E53AE" w:rsidRDefault="000E53AE">
      <w:pPr>
        <w:pStyle w:val="Heading2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5. Runtime Helper and Code-Rewrite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79"/>
        <w:gridCol w:w="2852"/>
        <w:gridCol w:w="3653"/>
        <w:gridCol w:w="1678"/>
        <w:gridCol w:w="3165"/>
      </w:tblGrid>
      <w:tr w:rsidR="00084386" w14:paraId="20CF3EC0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0E98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C05E89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B7EA1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9BCE3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4302C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2DF6A01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A7222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date parser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D5A97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Date text entered into converted bound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D384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GeneratedTryParseBoundDate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8D863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Accepts flexible date text, validates it, and converts it safely before the dataset field is updated.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630D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588547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968DCE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time parser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EEC9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Time text entered into converted bound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AE85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GeneratedTryParseBoundTime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4B99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Accepts flexible 12-hour and 24-hour time input and normalizes it for FMX-bound field updates.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250EC5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18AC92D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1D71B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field assignment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A01F1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updates from converted edits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D5BC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GeneratedAssignBoundFieldValue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B6F43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Centralizes type-aware field assignment so invalid values are rejected cleanly and valid values normalize through the field display logic.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C362A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55CFB08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8AD4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DisplayText refresh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C15256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TDBEdit.Field.DisplayText refresh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49020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GeneratedGetManualFieldDisplayText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E00BD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VCL data-aware display formatting such as OnGetText-driven month/day presentation when converted edits refresh from their bound field display text.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32A7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3ABEDC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1730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Bound edit commit wiring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A413D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TDBEdit-style behavior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9A2FA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OnChangeTracking / OnExit / OnKeyDown wiring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228F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Wakes dataset edit mode while typing, commits on Enter or exit, and re-syncs from the field display value afterward.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DBA11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597F721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7180D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clear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CFEEC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TMemo.Clear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06E8A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Lines.Clear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17611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memo-clearing calls to the FMX multiline text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F5D88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959A36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4933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Numeric Position-to-Value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56F4F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Track and progress Position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002EC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Value semantics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0F3E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common slider-style control reads and writes to FMX Value properties.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2015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25392F2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E36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startup popup suppression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DD335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combo setup on form creation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B54E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Field sync without popup side effects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9F844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Initializes converted combo values from the bound field without calling actual popup-open logic during form startup.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AA335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0243BDC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3944D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Combo popup-close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1236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Existing OnClosePopup handlers on converted combo controls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C89DD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close-popup wrapper plus restore-on-cleanup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5CC2E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Chains original close-popup logic with generated field-sync behavior and restores the original handler for externally owned/shared combo controls during teardown.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AF25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1E35057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D338E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External datasource handler restoration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13BD58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external TDataSource.OnDataChange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7CAA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Restore original OnDataChange on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9D9C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generated binding cleanup from leaving a shared datasource with its handler nilled out after the form closes.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8B5B2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D37DEE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2085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External navigator handler restoration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A2A1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Wrapped external TBindNavigator.BeforeAction handlers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1AEA0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Restore original BeforeAction on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917E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shared navigators from being left pointed at generated wrapper methods on a destroyed form.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AD663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ED3115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EBB8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Startup OnEnter guard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1CF6B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Side-effecting OnEnter handlers that fire during initial FMX display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430DD9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startup-guard enter wrappers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B286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startup focus churn from triggering VCL OnEnter logic too early when a form first appears in FMX.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DF05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F0C500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24DAD4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Deferred FormShow toggle 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FD08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Programmatic toggle state changes followed by click handler calls in FormShow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E385D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ForceQueue-deferred simulated click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3696D4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Lets the FMX form finish showing before the original handler runs, which better matches VCL startup timing.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92C1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2655189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67C51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 duration to milliseconds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019A7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MediaPlayer.Length-style millisecond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8F922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Round((Duration / MediaTimeScale) * 1000)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CE6FA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FMX TMediaTime values into the millisecond units expected by converted VCL code.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435FD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54CB7D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9DA1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 duration to seconds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F5B484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MediaPlayer.Length div 1000-style logic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F1044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Round(Duration / MediaTimeScale)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3D863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FMX TMediaTime values into seconds for countdown and remaining-time calculations.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519E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514DFF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36410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media notify bridge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685A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TMediaPlayer.OnNotify / Notify usage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7697E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media-notify timer bridge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9ADB75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Emulates the VCL-style media notify pattern on FMX players by watching playback state and firing the original callback path generically.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5FFA5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D54C7B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E0A4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Ellipse drawing helper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2119C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VCL-style ellipse fill/stroke drawing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E6FE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FillAndStrokeEllipse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C3FC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Injects a reusable FMX helper for shape-drawing scenarios that do not map cleanly one-to-one from the VCL canvas model.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C7E2C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7256747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7F5B6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Client geometry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8E24BA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CenterX / CenterY and client-size assumptions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7DC3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ClientWidth / ClientHeight-aware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BD151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Normalizes geometry calculations that depend on VCL client sizing so they make sense under FMX layout rules.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DDE2E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0BBA8F6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BEA3B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Hide-to-tray fallback simplification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9B7D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Hide To Tray button or handler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18050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WindowState := wsMinimized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86B4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hide-to-tray niceties to a simpler FMX-safe minimize behavior rather than trying to emulate a platform tray implementation automatically.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C9E7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B1CEFEB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F1AFDA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Form centering float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82278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Mixed Integer/Extended center-position math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133CF9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Rounded integer-safe assignment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AFDAB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Prevents generated form-centering code from assigning Extended expressions directly to integer Top/Left properties.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66E9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Converter.Core.Integration.pas</w:t>
            </w:r>
          </w:p>
        </w:tc>
      </w:tr>
      <w:tr w:rsidR="00084386" w14:paraId="450EADDD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02CF9F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TMemo string collection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7D57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Lines.Strings, Items.Strings, SQL.Strings, Params.Strings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B9D8D9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Structured collection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4CBB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Preserves string-list collection properties without flattening them into invalid FMX text.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C051C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4F75790E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30DE4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StringGrid event-before-child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CD738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TStringGrid event properties and generated column children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4D62BC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Event properties emitted before child objects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5974F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generated FMX forms loadable in Delphi by preserving reader-sensitive ordering.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E9DAA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Converter.Parser.DFM.pas</w:t>
            </w:r>
          </w:p>
        </w:tc>
      </w:tr>
      <w:tr w:rsidR="00084386" w14:paraId="6CED3A9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B1DFC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UTF-8 BOM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AE1EED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Generated .fmx text with international characters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89588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UTF-8 with BOM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BB0C52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Ensures accented text and international captions display correctly when opened in Delphi.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874EF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Converter.Core.FileManager.pas</w:t>
            </w:r>
          </w:p>
        </w:tc>
      </w:tr>
      <w:tr w:rsidR="00084386" w14:paraId="5D5C400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EE6D8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DPR auto-create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EDB63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Application.CreateForm list in the source DPR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74C08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Preserved Application.CreateForm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0A3B9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the source form auto-create list intact and suppresses the immediate extra Show call that caused FMX startup instability.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B9C7C6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Converter.Project.Generator.pas</w:t>
            </w:r>
          </w:p>
        </w:tc>
      </w:tr>
      <w:tr w:rsidR="00084386" w14:paraId="1A96C034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10F52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ShellExecute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099C43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ShellExecute help/document/URL launch calls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0A47A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ShellExecute output in Windows-targeted FMX projects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6BB64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valid Windows shell-launch behavior active instead of commenting it out, restoring help/document buttons and similar utilities.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63D594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0FEA941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58425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Serial and named-pipe handle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F5C6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Comm-resource CreateFile / WriteFile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DED6E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Preserved Windows handle open/write calls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AE67E2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valid Windows serial-port and named-pipe communication paths live instead of downgrading them as ordinary file I/O.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83A1F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  <w:tr w:rsidR="00084386" w14:paraId="1C9849A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3F47B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Process-control preservation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ADF9E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GetExitCodeProcess / TerminateProcess around preserved CreateProcess flows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594AB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Windows process-control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4943DF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Keeps partial process-runner code from breaking by preserving the surrounding Windows process-status and termination calls when the process path is already being preserved.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61A5E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</w:t>
            </w:r>
          </w:p>
        </w:tc>
      </w:tr>
    </w:tbl>
    <w:p w14:paraId="194E9FCE" w14:textId="77777777" w:rsidR="000E53AE" w:rsidRDefault="000E53AE">
      <w:pPr>
        <w:pStyle w:val="Heading2"/>
        <w:spacing w:after="360"/>
        <w:ind w:left="360" w:right="360"/>
        <w:divId w:val="835728913"/>
        <w:rPr>
          <w:rFonts w:ascii="Calibri" w:eastAsia="Times New Roman" w:hAnsi="Calibri" w:cs="Calibri"/>
          <w:lang w:val="en"/>
        </w:rPr>
      </w:pPr>
      <w:r>
        <w:rPr>
          <w:rFonts w:ascii="Calibri" w:eastAsia="Times New Roman" w:hAnsi="Calibri" w:cs="Calibri"/>
          <w:lang w:val="en"/>
        </w:rPr>
        <w:t>6. Analysis, Catalog, and Review Rules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1"/>
        <w:gridCol w:w="2303"/>
        <w:gridCol w:w="1479"/>
        <w:gridCol w:w="2366"/>
        <w:gridCol w:w="3671"/>
      </w:tblGrid>
      <w:tr w:rsidR="00084386" w14:paraId="2A214434" w14:textId="77777777">
        <w:trPr>
          <w:divId w:val="835728913"/>
          <w:tblHeader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555948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Rule Name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4F08E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VCL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C1484F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FMX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A3DE0D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What the New Component / Rule Does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shd w:val="clear" w:color="auto" w:fill="EFE2C2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E8055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color w:val="4B2A1A"/>
                <w:sz w:val="22"/>
                <w:szCs w:val="22"/>
              </w:rPr>
              <w:t>Implemented In</w:t>
            </w:r>
          </w:p>
        </w:tc>
      </w:tr>
      <w:tr w:rsidR="00084386" w14:paraId="0B87E00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9424C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Explicit matrix export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F89C4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Current mapper state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37821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JSON inventory and matrix artifacts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63F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Exports RTTI inventories plus explicit class, property, and event matrices so coverage can be audited from the compiled mapper.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02C38B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Converter.Mapper.Component.pas</w:t>
            </w:r>
          </w:p>
        </w:tc>
      </w:tr>
      <w:tr w:rsidR="00084386" w14:paraId="36D0E623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A949F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Third-party component catalog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86C2F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Known VCL components and compatibility metadata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7F2A03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Catalog-backed FMX suggestions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FA904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Provides a compatibility catalog used during analysis and documentation of what maps directly, what needs bindings, and what needs redesign.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47D52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Converter.Advanced.ThirdParty.pas</w:t>
            </w:r>
          </w:p>
        </w:tc>
      </w:tr>
      <w:tr w:rsidR="00084386" w14:paraId="1355D5E1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71996D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Manual-review comment emission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BBC26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Unsupported or risky VCL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1E4B5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FMX manual review comments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E3CA1D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Leaves review markers only where the converter still needs the user to make a conscious follow-up decision.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1A9F1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Converter.Advanced.CriticalAreas.pas; Converter.Parser.Pascal.pas; Converter.Core.Integration.pas</w:t>
            </w:r>
          </w:p>
        </w:tc>
      </w:tr>
      <w:tr w:rsidR="00084386" w14:paraId="6B90ADB5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EFAC5C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Critical-area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581F6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Message maps, WinAPI-heavy code, unsupported patterns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5E4EC7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Conversion report output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A503F3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Collects risky patterns during conversion so they can be surfaced for later inspection.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396CF0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Converter.Advanced.CriticalAreas.pas; Converter.Core.Engine.pas</w:t>
            </w:r>
          </w:p>
        </w:tc>
      </w:tr>
      <w:tr w:rsidR="00084386" w14:paraId="7CAE5C3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864F01E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Live mapping reference tabs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5C700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Current mapper knowledge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C41F702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Component / Property / Event map pages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9ADF25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Uses the same mapper and discovery paths that drive conversion so the on-screen reference tabs reflect the compiled v5.0 knowledge base.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1372C6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MainForm.pas</w:t>
            </w:r>
          </w:p>
        </w:tc>
      </w:tr>
      <w:tr w:rsidR="00084386" w14:paraId="72F6DF1C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1518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Pascal include analysis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673FB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{$I} and {$INCLUDE} directives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04CF4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Analysis-first include handling with safe copy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391022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Analyzes include contents for VCL, Winapi, and message usage, copies source-tree includes to output, warns on missing/outside-tree files, and guards recursive/nested include chains.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D0C7BD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Converter.Core.Engine.pas</w:t>
            </w:r>
          </w:p>
        </w:tc>
      </w:tr>
      <w:tr w:rsidR="00084386" w14:paraId="32352E59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3DA1B6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Windows messaging contract policy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5902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WM/CM/CN/common-control messages, WndProc, message declarations, message APIs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EBECD31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Category-based conversion or manual-review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D2901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Converts only reliable cases, preserves mixed system-command behavior as manual review, ignores comments/strings/false positives, and emits source-line report details for unsupported messaging.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0EF9507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Converter.Advanced.WinAPI.pas; Converter.Parser.Pascal.pas; Converter.Rewrite.AutoFixes.pas</w:t>
            </w:r>
          </w:p>
        </w:tc>
      </w:tr>
      <w:tr w:rsidR="00084386" w14:paraId="6176F40A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D3FC91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Protected conditional uses cleanup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312A9D5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VCL/Winapi units inside protected or conditional uses blocks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0A43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Contract-tested uses normalization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AD98B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Removes stale VCL units such as Vcl.Themes when active generated output no longer needs them, while preserving Windows units only when active code still requires them.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6D48173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Converter.Rewrite.UsesClause.pas; Converter.Core.Integration.pas</w:t>
            </w:r>
          </w:p>
        </w:tc>
      </w:tr>
      <w:tr w:rsidR="00084386" w14:paraId="5A77C6A6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7D069D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Inventory-based runtime companion reporting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6738CD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Real runtime-support files in the source root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EF5C8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Actionable staged/found report entries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EBDEFC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Copies runtime companions from the source root only, avoids ambiguous build-output duplicates, filters out build folders, and reports only meaningful staged or still-manual items.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7A470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Converter.Project.Generator.pas</w:t>
            </w:r>
          </w:p>
        </w:tc>
      </w:tr>
      <w:tr w:rsidR="00084386" w14:paraId="03C66787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00CBBD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Executable conversion contracts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38F631A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Small Delphi fixtures plus .expected.json files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D9AC2B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 runner assertions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AED1A7" w14:textId="304985A9" w:rsidR="000E53AE" w:rsidRDefault="005F6AA8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Runs 198 v5.0 expectations</w:t>
            </w:r>
            <w:r w:rsidR="00947035"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 xml:space="preserve"> against generated output and report text so structural rules are tested before release.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0ADBA0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contracts; tools/run_conversion_contracts.ps1</w:t>
            </w:r>
          </w:p>
        </w:tc>
      </w:tr>
      <w:tr w:rsidR="00084386" w14:paraId="41B18710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D7E565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Report wording clarity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2C45A6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Distinct-file issue count and staged companion wording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CDA7E4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Clearer text and HTML report labels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9AEBAA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Clarifies that the report count is for distinct files needing attention and uses explicit staged-runtime wording in both report channels.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F3C91C9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Converter.Core.Engine.pas; Converter.Project.Generator.pas</w:t>
            </w:r>
          </w:p>
        </w:tc>
      </w:tr>
      <w:tr w:rsidR="00084386" w14:paraId="4DEA7B3F" w14:textId="77777777">
        <w:trPr>
          <w:divId w:val="835728913"/>
        </w:trPr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2974FBF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Generic release hygiene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DB318C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Project-specific identifiers in converter source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108959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Audit and sweep checks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15E76A6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Supports the generic/public release process by allowing the converter source to be scanned for forbidden project-specific markers.</w:t>
            </w:r>
          </w:p>
        </w:tc>
        <w:tc>
          <w:tcPr>
            <w:tcW w:w="0" w:type="auto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FFAA720" w14:textId="77777777" w:rsidR="000E53AE" w:rsidRDefault="000E53AE">
            <w:pPr>
              <w:spacing w:after="270"/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color w:val="222222"/>
                <w:sz w:val="22"/>
                <w:szCs w:val="22"/>
              </w:rPr>
              <w:t>GENERIC_RULE_AUDIT_2026-03-20.txt; generic sweep process</w:t>
            </w:r>
          </w:p>
        </w:tc>
      </w:tr>
    </w:tbl>
    <w:p w14:paraId="37870D35" w14:textId="77777777" w:rsidR="000E53AE" w:rsidRDefault="000E53AE">
      <w:pPr>
        <w:pStyle w:val="small"/>
        <w:spacing w:before="0" w:beforeAutospacing="0"/>
        <w:ind w:left="360" w:right="360"/>
        <w:divId w:val="835728913"/>
        <w:rPr>
          <w:rFonts w:ascii="Calibri" w:hAnsi="Calibri" w:cs="Calibri"/>
          <w:lang w:val="en"/>
        </w:rPr>
      </w:pPr>
      <w:r>
        <w:rPr>
          <w:rFonts w:ascii="Calibri" w:hAnsi="Calibri" w:cs="Calibri"/>
          <w:lang w:val="en"/>
        </w:rPr>
        <w:t>End of reference.</w:t>
      </w:r>
    </w:p>
    <w:sectPr w:rsidR="000E53A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7FD"/>
    <w:rsid w:val="00084386"/>
    <w:rsid w:val="000E53AE"/>
    <w:rsid w:val="005F6AA8"/>
    <w:rsid w:val="006A25B2"/>
    <w:rsid w:val="009305EA"/>
    <w:rsid w:val="00947035"/>
    <w:rsid w:val="00A127FD"/>
    <w:rsid w:val="00CB3A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9AC17E"/>
  <w15:chartTrackingRefBased/>
  <w15:docId w15:val="{B3BC2C92-74AE-4D9A-B1DA-A30D971CDB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Heading1">
    <w:name w:val="heading 1"/>
    <w:basedOn w:val="Normal"/>
    <w:link w:val="Heading1Char"/>
    <w:uiPriority w:val="9"/>
    <w:qFormat/>
    <w:pPr>
      <w:spacing w:before="100" w:beforeAutospacing="1" w:after="90"/>
      <w:outlineLvl w:val="0"/>
    </w:pPr>
    <w:rPr>
      <w:b/>
      <w:bCs/>
      <w:color w:val="7A0C0C"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pPr>
      <w:spacing w:before="100" w:beforeAutospacing="1" w:after="90"/>
      <w:outlineLvl w:val="1"/>
    </w:pPr>
    <w:rPr>
      <w:b/>
      <w:bCs/>
      <w:color w:val="7A0C0C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msonormal0">
    <w:name w:val="msonormal"/>
    <w:basedOn w:val="Normal"/>
    <w:pPr>
      <w:spacing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after="100" w:afterAutospacing="1"/>
    </w:pPr>
  </w:style>
  <w:style w:type="paragraph" w:customStyle="1" w:styleId="note">
    <w:name w:val="note"/>
    <w:basedOn w:val="Normal"/>
    <w:pPr>
      <w:pBdr>
        <w:top w:val="single" w:sz="6" w:space="6" w:color="D8C49A"/>
        <w:left w:val="single" w:sz="6" w:space="8" w:color="D8C49A"/>
        <w:bottom w:val="single" w:sz="6" w:space="6" w:color="D8C49A"/>
        <w:right w:val="single" w:sz="6" w:space="8" w:color="D8C49A"/>
      </w:pBdr>
      <w:shd w:val="clear" w:color="auto" w:fill="F9F4E8"/>
      <w:spacing w:before="100" w:beforeAutospacing="1" w:after="270"/>
    </w:pPr>
  </w:style>
  <w:style w:type="paragraph" w:customStyle="1" w:styleId="small">
    <w:name w:val="small"/>
    <w:basedOn w:val="Normal"/>
    <w:pPr>
      <w:spacing w:before="100" w:beforeAutospacing="1" w:after="100" w:afterAutospacing="1"/>
    </w:pPr>
    <w:rPr>
      <w:color w:val="555555"/>
      <w:sz w:val="20"/>
      <w:szCs w:val="20"/>
    </w:rPr>
  </w:style>
  <w:style w:type="character" w:styleId="Strong">
    <w:name w:val="Strong"/>
    <w:basedOn w:val="DefaultParagraphFont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35728913">
      <w:bodyDiv w:val="1"/>
      <w:marLeft w:val="360"/>
      <w:marRight w:val="360"/>
      <w:marTop w:val="360"/>
      <w:marBottom w:val="36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775793">
          <w:marLeft w:val="0"/>
          <w:marRight w:val="0"/>
          <w:marTop w:val="0"/>
          <w:marBottom w:val="270"/>
          <w:divBdr>
            <w:top w:val="single" w:sz="6" w:space="6" w:color="D8C49A"/>
            <w:left w:val="single" w:sz="6" w:space="8" w:color="D8C49A"/>
            <w:bottom w:val="single" w:sz="6" w:space="6" w:color="D8C49A"/>
            <w:right w:val="single" w:sz="6" w:space="8" w:color="D8C49A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5237</Words>
  <Characters>29852</Characters>
  <Application>Microsoft Office Word</Application>
  <DocSecurity>0</DocSecurity>
  <Lines>248</Lines>
  <Paragraphs>70</Paragraphs>
  <ScaleCrop>false</ScaleCrop>
  <Company/>
  <LinksUpToDate>false</LinksUpToDate>
  <CharactersWithSpaces>35019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VCL2FMXConverter Generic Rules Reference</dc:title>
  <dc:subject/>
  <dc:creator>Thomas H. Martin</dc:creator>
  <cp:keywords/>
  <dc:description/>
  <cp:lastModifiedBy>Thomas H. Martin</cp:lastModifiedBy>
  <cp:revision>4</cp:revision>
  <dcterms:created xsi:type="dcterms:W3CDTF">2026-06-25T23:40:00Z</dcterms:created>
  <dcterms:modified xsi:type="dcterms:W3CDTF">2026-07-17T18:06:00Z</dcterms:modified>
</cp:coreProperties>
</file>