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2468880" cy="648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cl2fmx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4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 w:after="160"/>
      </w:pPr>
      <w:r>
        <w:rPr>
          <w:rFonts w:ascii="Calibri" w:hAnsi="Calibri"/>
          <w:b/>
          <w:i w:val="0"/>
          <w:color w:val="E68A2E"/>
          <w:sz w:val="20"/>
        </w:rPr>
        <w:t>APPLICATION INVENTORY</w:t>
      </w:r>
    </w:p>
    <w:p>
      <w:pPr>
        <w:spacing w:after="80"/>
      </w:pPr>
      <w:r>
        <w:rPr>
          <w:rFonts w:ascii="Calibri" w:hAnsi="Calibri"/>
          <w:b/>
          <w:i w:val="0"/>
          <w:color w:val="173B65"/>
          <w:sz w:val="60"/>
        </w:rPr>
        <w:t>VCL2FMXConverter</w:t>
      </w:r>
    </w:p>
    <w:p>
      <w:pPr>
        <w:spacing w:after="200"/>
      </w:pPr>
      <w:r>
        <w:rPr>
          <w:rFonts w:ascii="Calibri" w:hAnsi="Calibri"/>
          <w:b/>
          <w:i w:val="0"/>
          <w:color w:val="2478D4"/>
          <w:sz w:val="42"/>
        </w:rPr>
        <w:t xml:space="preserve">v6.0 </w:t>
      </w:r>
      <w:r>
        <w:rPr>
          <w:rFonts w:ascii="Calibri" w:hAnsi="Calibri"/>
          <w:b/>
          <w:i w:val="0"/>
          <w:color w:val="E68A2E"/>
          <w:sz w:val="42"/>
        </w:rPr>
        <w:t>Navigator</w:t>
      </w:r>
    </w:p>
    <w:p>
      <w:pPr>
        <w:spacing w:after="360"/>
      </w:pPr>
      <w:r>
        <w:rPr>
          <w:rFonts w:ascii="Calibri" w:hAnsi="Calibri"/>
          <w:b w:val="0"/>
          <w:i w:val="0"/>
          <w:color w:val="173B65"/>
          <w:sz w:val="28"/>
        </w:rPr>
        <w:t>Build 021 — Codebase, Coverage, and Release Profile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E68A2E"/>
          <w:left w:val="single" w:sz="0" w:space="0" w:color="E68A2E"/>
          <w:bottom w:val="single" w:sz="0" w:space="0" w:color="E68A2E"/>
          <w:right w:val="single" w:sz="0" w:space="0" w:color="E68A2E"/>
          <w:insideH w:val="single" w:sz="0" w:space="0" w:color="E68A2E"/>
          <w:insideV w:val="single" w:sz="0" w:space="0" w:color="E68A2E"/>
        </w:tblBorders>
      </w:tblPr>
      <w:tblGrid>
        <w:gridCol w:w="9360"/>
      </w:tblGrid>
      <w:tr>
        <w:tc>
          <w:tcPr>
            <w:tcW w:type="dxa" w:w="1800"/>
            <w:shd w:fill="E68A2E"/>
            <w:tcMar>
              <w:top w:w="22" w:type="dxa"/>
              <w:start w:w="0" w:type="dxa"/>
              <w:bottom w:w="22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before="320" w:after="200"/>
      </w:pPr>
      <w:r>
        <w:rPr>
          <w:rFonts w:ascii="Calibri" w:hAnsi="Calibri"/>
          <w:b w:val="0"/>
          <w:i w:val="0"/>
          <w:color w:val="263442"/>
          <w:sz w:val="24"/>
        </w:rPr>
        <w:t>A measured inventory of source architecture, mapping intelligence, validation coverage, documentation, and release artifacts.</w:t>
      </w:r>
    </w:p>
    <w:p>
      <w:pPr>
        <w:spacing w:before="1800" w:after="60"/>
      </w:pPr>
      <w:r>
        <w:rPr>
          <w:rFonts w:ascii="Calibri" w:hAnsi="Calibri"/>
          <w:b/>
          <w:i w:val="0"/>
          <w:color w:val="173B65"/>
          <w:sz w:val="20"/>
        </w:rPr>
        <w:t>Prepared August 2, 2026</w:t>
      </w:r>
    </w:p>
    <w:p>
      <w:pPr>
        <w:spacing w:after="0"/>
      </w:pPr>
      <w:r>
        <w:rPr>
          <w:rFonts w:ascii="Calibri" w:hAnsi="Calibri"/>
          <w:b w:val="0"/>
          <w:i w:val="0"/>
          <w:color w:val="647384"/>
          <w:sz w:val="18"/>
        </w:rPr>
        <w:t>Apache License 2.0  •  Release commit db1d31b9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E68A2E"/>
          <w:sz w:val="18"/>
        </w:rPr>
        <w:t>EXECUTIVE PROFILE</w:t>
      </w:r>
    </w:p>
    <w:p>
      <w:pPr>
        <w:pStyle w:val="Heading1"/>
        <w:keepNext w:val="1"/>
      </w:pPr>
      <w:r>
        <w:t>Build 021 at a glance</w:t>
      </w:r>
    </w:p>
    <w:p>
      <w:pPr>
        <w:pStyle w:val="Lead"/>
      </w:pPr>
      <w:r>
        <w:t>Navigator is a contract-driven Delphi conversion application with a designer-owned FireMonkey interface, extensible mapping packs, deterministic reporting, and layered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1FB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33,321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IMPLEMENTATION LINES</w:t>
            </w:r>
          </w:p>
        </w:tc>
        <w:tc>
          <w:tcPr>
            <w:tcW w:type="dxa" w:w="1872"/>
            <w:shd w:fill="F4F8FD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493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MAPPING RULES</w:t>
            </w:r>
          </w:p>
        </w:tc>
        <w:tc>
          <w:tcPr>
            <w:tcW w:type="dxa" w:w="1872"/>
            <w:shd w:fill="E8F1FB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227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CONTRACTS PASSED</w:t>
            </w:r>
          </w:p>
        </w:tc>
        <w:tc>
          <w:tcPr>
            <w:tcW w:type="dxa" w:w="1872"/>
            <w:shd w:fill="F4F8FD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62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ACCEPTANCE CHECKS</w:t>
            </w:r>
          </w:p>
        </w:tc>
        <w:tc>
          <w:tcPr>
            <w:tcW w:type="dxa" w:w="1872"/>
            <w:shd w:fill="E8F1FB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64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REGRESSION GUARDS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Key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120"/>
        <w:gridCol w:w="3120"/>
        <w:gridCol w:w="3120"/>
      </w:tblGrid>
      <w:tr>
        <w:trPr>
          <w:trHeight w:hRule="atLeast"/>
          <w:tblHeader w:val="true"/>
          <w:cantSplit/>
        </w:trPr>
        <w:tc>
          <w:tcPr>
            <w:tcW w:type="dxa" w:w="2088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088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Build 021 measure</w:t>
            </w:r>
          </w:p>
        </w:tc>
        <w:tc>
          <w:tcPr>
            <w:tcW w:type="dxa" w:w="5184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represents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Production source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24 Pascal units + 1 DPR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31,626 physical Pascal lines</w:t>
            </w:r>
          </w:p>
        </w:tc>
      </w:tr>
      <w:tr>
        <w:trPr>
          <w:cantSplit/>
        </w:trPr>
        <w:tc>
          <w:tcPr>
            <w:tcW w:type="dxa" w:w="208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Designer UI</w:t>
            </w:r>
          </w:p>
        </w:tc>
        <w:tc>
          <w:tcPr>
            <w:tcW w:type="dxa" w:w="208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1 MainForm.fmx</w:t>
            </w:r>
          </w:p>
        </w:tc>
        <w:tc>
          <w:tcPr>
            <w:tcW w:type="dxa" w:w="51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1,695 lines of IDE-editable form definition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Mapping intelligence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22 packs / 22 vendors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493 rules with property and event mappings</w:t>
            </w:r>
          </w:p>
        </w:tc>
      </w:tr>
      <w:tr>
        <w:trPr>
          <w:cantSplit/>
        </w:trPr>
        <w:tc>
          <w:tcPr>
            <w:tcW w:type="dxa" w:w="208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Contract validation</w:t>
            </w:r>
          </w:p>
        </w:tc>
        <w:tc>
          <w:tcPr>
            <w:tcW w:type="dxa" w:w="208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227 of 227 passed</w:t>
            </w:r>
          </w:p>
        </w:tc>
        <w:tc>
          <w:tcPr>
            <w:tcW w:type="dxa" w:w="51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19 categories; zero failures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Release validation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Win32 + Win64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Both Release builds succeeded</w:t>
            </w:r>
          </w:p>
        </w:tc>
      </w:tr>
      <w:tr>
        <w:trPr>
          <w:cantSplit/>
        </w:trPr>
        <w:tc>
          <w:tcPr>
            <w:tcW w:type="dxa" w:w="208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Report output</w:t>
            </w:r>
          </w:p>
        </w:tc>
        <w:tc>
          <w:tcPr>
            <w:tcW w:type="dxa" w:w="2088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3 formats</w:t>
            </w:r>
          </w:p>
        </w:tc>
        <w:tc>
          <w:tcPr>
            <w:tcW w:type="dxa" w:w="51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Plain text, HTML, and deterministic JSON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Documentation tree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311 files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Guides, PDFs, notes, help, and supporting material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</w:tblPr>
      <w:tblGrid>
        <w:gridCol w:w="9360"/>
      </w:tblGrid>
      <w:tr>
        <w:tc>
          <w:tcPr>
            <w:tcW w:type="dxa" w:w="9360"/>
            <w:shd w:fill="FFF1E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E68A2E"/>
                <w:sz w:val="18"/>
              </w:rPr>
              <w:t>RELEASE POSITION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B65"/>
                <w:sz w:val="21"/>
              </w:rPr>
              <w:t>Build 021 is the validated Navigator baseline: maintainability, report integrity, designer-owned UI, mapping-pack discipline, and stronger validation are the release priorities.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E68A2E"/>
          <w:sz w:val="18"/>
        </w:rPr>
        <w:t>PROGRAM INVENTORY</w:t>
      </w:r>
    </w:p>
    <w:p>
      <w:pPr>
        <w:pStyle w:val="Heading1"/>
        <w:keepNext w:val="1"/>
      </w:pPr>
      <w:r>
        <w:t>Entry points and project fixtures</w:t>
      </w:r>
    </w:p>
    <w:p>
      <w:pPr>
        <w:pStyle w:val="Lead"/>
      </w:pPr>
      <w:r>
        <w:t>The repository contains one production application and a deliberate set of developer, sample, regression, and contract project entry 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120"/>
        <w:gridCol w:w="3120"/>
        <w:gridCol w:w="3120"/>
      </w:tblGrid>
      <w:tr>
        <w:trPr>
          <w:trHeight w:hRule="atLeast"/>
          <w:tblHeader w:val="true"/>
          <w:cantSplit/>
        </w:trPr>
        <w:tc>
          <w:tcPr>
            <w:tcW w:type="dxa" w:w="3240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Program category</w:t>
            </w:r>
          </w:p>
        </w:tc>
        <w:tc>
          <w:tcPr>
            <w:tcW w:type="dxa" w:w="1080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5040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Production GUI converter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VCL2FMXConverter.dpr</w:t>
            </w:r>
          </w:p>
        </w:tc>
      </w:tr>
      <w:tr>
        <w:trPr>
          <w:cantSplit/>
        </w:trPr>
        <w:tc>
          <w:tcPr>
            <w:tcW w:type="dxa" w:w="32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Developer console harness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</w:t>
            </w:r>
          </w:p>
        </w:tc>
        <w:tc>
          <w:tcPr>
            <w:tcW w:type="dxa" w:w="50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RunConversionEngine.dpr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Sample projects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Demonstration and usage examples</w:t>
            </w:r>
          </w:p>
        </w:tc>
      </w:tr>
      <w:tr>
        <w:trPr>
          <w:cantSplit/>
        </w:trPr>
        <w:tc>
          <w:tcPr>
            <w:tcW w:type="dxa" w:w="32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Regression-test projects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</w:t>
            </w:r>
          </w:p>
        </w:tc>
        <w:tc>
          <w:tcPr>
            <w:tcW w:type="dxa" w:w="50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Focused executable regression coverage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Contract-project fixtures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Project-level conversion behavior</w:t>
            </w:r>
          </w:p>
        </w:tc>
      </w:tr>
      <w:tr>
        <w:trPr>
          <w:cantSplit/>
        </w:trPr>
        <w:tc>
          <w:tcPr>
            <w:tcW w:type="dxa" w:w="32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Total DPR entry points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22</w:t>
            </w:r>
          </w:p>
        </w:tc>
        <w:tc>
          <w:tcPr>
            <w:tcW w:type="dxa" w:w="50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Excludes generated output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Production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120"/>
        <w:gridCol w:w="3120"/>
        <w:gridCol w:w="3120"/>
      </w:tblGrid>
      <w:tr>
        <w:trPr>
          <w:trHeight w:hRule="atLeast"/>
          <w:tblHeader w:val="true"/>
          <w:cantSplit/>
        </w:trPr>
        <w:tc>
          <w:tcPr>
            <w:tcW w:type="dxa" w:w="2232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 group</w:t>
            </w:r>
          </w:p>
        </w:tc>
        <w:tc>
          <w:tcPr>
            <w:tcW w:type="dxa" w:w="936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Units</w:t>
            </w:r>
          </w:p>
        </w:tc>
        <w:tc>
          <w:tcPr>
            <w:tcW w:type="dxa" w:w="6192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Primary responsibility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Advanced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4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Higher-order analysis and semantic groundwork</w:t>
            </w:r>
          </w:p>
        </w:tc>
      </w:tr>
      <w:tr>
        <w:trPr>
          <w:cantSplit/>
        </w:trPr>
        <w:tc>
          <w:tcPr>
            <w:tcW w:type="dxa" w:w="223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Core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4</w:t>
            </w:r>
          </w:p>
        </w:tc>
        <w:tc>
          <w:tcPr>
            <w:tcW w:type="dxa" w:w="61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Engine orchestration, models, options, and shared behavior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Generator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1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FMX source and form generation</w:t>
            </w:r>
          </w:p>
        </w:tc>
      </w:tr>
      <w:tr>
        <w:trPr>
          <w:cantSplit/>
        </w:trPr>
        <w:tc>
          <w:tcPr>
            <w:tcW w:type="dxa" w:w="223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Mapper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2</w:t>
            </w:r>
          </w:p>
        </w:tc>
        <w:tc>
          <w:tcPr>
            <w:tcW w:type="dxa" w:w="61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Component and mapping-pack decisions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Parser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2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Pascal and form input parsing</w:t>
            </w:r>
          </w:p>
        </w:tc>
      </w:tr>
      <w:tr>
        <w:trPr>
          <w:cantSplit/>
        </w:trPr>
        <w:tc>
          <w:tcPr>
            <w:tcW w:type="dxa" w:w="223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Project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1</w:t>
            </w:r>
          </w:p>
        </w:tc>
        <w:tc>
          <w:tcPr>
            <w:tcW w:type="dxa" w:w="61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Project-level discovery and conversion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Reporting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4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Text, HTML, JSON, and fidelity reporting</w:t>
            </w:r>
          </w:p>
        </w:tc>
      </w:tr>
      <w:tr>
        <w:trPr>
          <w:cantSplit/>
        </w:trPr>
        <w:tc>
          <w:tcPr>
            <w:tcW w:type="dxa" w:w="223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Rewrite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5</w:t>
            </w:r>
          </w:p>
        </w:tc>
        <w:tc>
          <w:tcPr>
            <w:tcW w:type="dxa" w:w="61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Targeted Pascal transformation passes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Application UI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1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Designer-owned MainForm implementation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E68A2E"/>
          <w:sz w:val="18"/>
        </w:rPr>
        <w:t>SOURCE PROFILE</w:t>
      </w:r>
    </w:p>
    <w:p>
      <w:pPr>
        <w:pStyle w:val="Heading1"/>
        <w:keepNext w:val="1"/>
      </w:pPr>
      <w:r>
        <w:t>Codebase size and concentration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4680"/>
        <w:gridCol w:w="4680"/>
      </w:tblGrid>
      <w:tr>
        <w:trPr>
          <w:trHeight w:hRule="atLeast"/>
          <w:tblHeader w:val="true"/>
          <w:cantSplit/>
        </w:trPr>
        <w:tc>
          <w:tcPr>
            <w:tcW w:type="dxa" w:w="7056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measure</w:t>
            </w:r>
          </w:p>
        </w:tc>
        <w:tc>
          <w:tcPr>
            <w:tcW w:type="dxa" w:w="2304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rPr>
          <w:cantSplit/>
        </w:trPr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Production Pascal units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705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Production Pascal lines</w:t>
            </w:r>
          </w:p>
        </w:tc>
        <w:tc>
          <w:tcPr>
            <w:tcW w:type="dxa" w:w="23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31,592</w:t>
            </w:r>
          </w:p>
        </w:tc>
      </w:tr>
      <w:tr>
        <w:trPr>
          <w:cantSplit/>
        </w:trPr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Main project DPR lines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34</w:t>
            </w:r>
          </w:p>
        </w:tc>
      </w:tr>
      <w:tr>
        <w:trPr>
          <w:cantSplit/>
        </w:trPr>
        <w:tc>
          <w:tcPr>
            <w:tcW w:type="dxa" w:w="705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Production Pascal total</w:t>
            </w:r>
          </w:p>
        </w:tc>
        <w:tc>
          <w:tcPr>
            <w:tcW w:type="dxa" w:w="23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31,626</w:t>
            </w:r>
          </w:p>
        </w:tc>
      </w:tr>
      <w:tr>
        <w:trPr>
          <w:cantSplit/>
        </w:trPr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Designer-owned MainForm.fmx lines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1,695</w:t>
            </w:r>
          </w:p>
        </w:tc>
      </w:tr>
      <w:tr>
        <w:trPr>
          <w:cantSplit/>
        </w:trPr>
        <w:tc>
          <w:tcPr>
            <w:tcW w:type="dxa" w:w="705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Implementation footprint</w:t>
            </w:r>
          </w:p>
        </w:tc>
        <w:tc>
          <w:tcPr>
            <w:tcW w:type="dxa" w:w="23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33,321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Largest production units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4680"/>
        <w:gridCol w:w="4680"/>
      </w:tblGrid>
      <w:tr>
        <w:trPr>
          <w:trHeight w:hRule="atLeast"/>
          <w:tblHeader w:val="true"/>
          <w:cantSplit/>
        </w:trPr>
        <w:tc>
          <w:tcPr>
            <w:tcW w:type="dxa" w:w="7200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2160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Physical lines</w:t>
            </w:r>
          </w:p>
        </w:tc>
      </w:tr>
      <w:tr>
        <w:trPr>
          <w:cantSplit/>
        </w:trP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Converter.Rewrite.LiveBindings.pas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3,198</w:t>
            </w:r>
          </w:p>
        </w:tc>
      </w:tr>
      <w:tr>
        <w:trPr>
          <w:cantSplit/>
        </w:trPr>
        <w:tc>
          <w:tcPr>
            <w:tcW w:type="dxa" w:w="72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Converter.Core.Engine.pas</w:t>
            </w:r>
          </w:p>
        </w:tc>
        <w:tc>
          <w:tcPr>
            <w:tcW w:type="dxa" w:w="21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2,650</w:t>
            </w:r>
          </w:p>
        </w:tc>
      </w:tr>
      <w:tr>
        <w:trPr>
          <w:cantSplit/>
        </w:trP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Converter.Generator.FMX.pas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2,504</w:t>
            </w:r>
          </w:p>
        </w:tc>
      </w:tr>
      <w:tr>
        <w:trPr>
          <w:cantSplit/>
        </w:trPr>
        <w:tc>
          <w:tcPr>
            <w:tcW w:type="dxa" w:w="72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MainForm.pas</w:t>
            </w:r>
          </w:p>
        </w:tc>
        <w:tc>
          <w:tcPr>
            <w:tcW w:type="dxa" w:w="21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2,425</w:t>
            </w:r>
          </w:p>
        </w:tc>
      </w:tr>
      <w:tr>
        <w:trPr>
          <w:cantSplit/>
        </w:trP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Converter.Mapper.Component.pas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2,404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</w:tblPr>
      <w:tblGrid>
        <w:gridCol w:w="9360"/>
      </w:tblGrid>
      <w:tr>
        <w:tc>
          <w:tcPr>
            <w:tcW w:type="dxa" w:w="9360"/>
            <w:shd w:fill="E8F1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E68A2E"/>
                <w:sz w:val="18"/>
              </w:rPr>
              <w:t>INTERPRETATION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B65"/>
                <w:sz w:val="21"/>
              </w:rPr>
              <w:t>The largest units identify the best future refactoring targets. Navigator treats compiler-style architecture as a measured research track, not a v6.0 release promise.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E68A2E"/>
          <w:sz w:val="18"/>
        </w:rPr>
        <w:t>MAPPING INTELLIGENCE</w:t>
      </w:r>
    </w:p>
    <w:p>
      <w:pPr>
        <w:pStyle w:val="Heading1"/>
        <w:keepNext w:val="1"/>
      </w:pPr>
      <w:r>
        <w:t>Mapping-pack coverage</w:t>
      </w:r>
    </w:p>
    <w:p>
      <w:pPr>
        <w:pStyle w:val="Lead"/>
      </w:pPr>
      <w:r>
        <w:t>Third-party knowledge is kept in validated mapping packs instead of being scattered through converter logic, preserving a disciplined and extensible conversion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1FB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22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MAPPING PACKS</w:t>
            </w:r>
          </w:p>
        </w:tc>
        <w:tc>
          <w:tcPr>
            <w:tcW w:type="dxa" w:w="2340"/>
            <w:shd w:fill="F4F8FD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493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RULES</w:t>
            </w:r>
          </w:p>
        </w:tc>
        <w:tc>
          <w:tcPr>
            <w:tcW w:type="dxa" w:w="2340"/>
            <w:shd w:fill="E8F1FB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674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PROPERTY MAPS</w:t>
            </w:r>
          </w:p>
        </w:tc>
        <w:tc>
          <w:tcPr>
            <w:tcW w:type="dxa" w:w="2340"/>
            <w:shd w:fill="F4F8FD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494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EVENT MAPS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Rule action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2340"/>
        <w:gridCol w:w="2340"/>
        <w:gridCol w:w="2340"/>
        <w:gridCol w:w="2340"/>
      </w:tblGrid>
      <w:tr>
        <w:trPr>
          <w:trHeight w:hRule="atLeast"/>
          <w:tblHeader w:val="true"/>
          <w:cantSplit/>
        </w:trPr>
        <w:tc>
          <w:tcPr>
            <w:tcW w:type="dxa" w:w="1944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1080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Rules</w:t>
            </w:r>
          </w:p>
        </w:tc>
        <w:tc>
          <w:tcPr>
            <w:tcW w:type="dxa" w:w="1152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Share</w:t>
            </w:r>
          </w:p>
        </w:tc>
        <w:tc>
          <w:tcPr>
            <w:tcW w:type="dxa" w:w="5184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Convert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4.3%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Direct supported conversion</w:t>
            </w:r>
          </w:p>
        </w:tc>
      </w:tr>
      <w:tr>
        <w:trPr>
          <w:cantSplit/>
        </w:trPr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Partial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105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21.3%</w:t>
            </w:r>
          </w:p>
        </w:tc>
        <w:tc>
          <w:tcPr>
            <w:tcW w:type="dxa" w:w="51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Useful conversion with review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Manual review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20.3%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Human decision required</w:t>
            </w:r>
          </w:p>
        </w:tc>
      </w:tr>
      <w:tr>
        <w:trPr>
          <w:cantSplit/>
        </w:trPr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Detect only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186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37.7%</w:t>
            </w:r>
          </w:p>
        </w:tc>
        <w:tc>
          <w:tcPr>
            <w:tcW w:type="dxa" w:w="51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Identify and report without unsafe rewriting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Preserve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81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16.4%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Retain source behavior or declaration</w:t>
            </w:r>
          </w:p>
        </w:tc>
      </w:tr>
      <w:tr>
        <w:trPr>
          <w:cantSplit/>
        </w:trPr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Total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493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100.0%</w:t>
            </w:r>
          </w:p>
        </w:tc>
        <w:tc>
          <w:tcPr>
            <w:tcW w:type="dxa" w:w="51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All validated mapping rules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</w:tblPr>
      <w:tblGrid>
        <w:gridCol w:w="9360"/>
      </w:tblGrid>
      <w:tr>
        <w:tc>
          <w:tcPr>
            <w:tcW w:type="dxa" w:w="9360"/>
            <w:shd w:fill="FFF1E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E68A2E"/>
                <w:sz w:val="18"/>
              </w:rPr>
              <w:t>PACK PROFILE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B65"/>
                <w:sz w:val="21"/>
              </w:rPr>
              <w:t>The 22 vendor packs contain 4,974 JSON lines and conform to the vcl2fmx.mapping-pack.v1 schema.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E68A2E"/>
          <w:sz w:val="18"/>
        </w:rPr>
        <w:t>CONTRACT VALIDATION</w:t>
      </w:r>
    </w:p>
    <w:p>
      <w:pPr>
        <w:pStyle w:val="Heading1"/>
        <w:keepNext w:val="1"/>
      </w:pPr>
      <w:r>
        <w:t>227 executable conversion contracts</w:t>
      </w:r>
    </w:p>
    <w:p>
      <w:pPr>
        <w:pStyle w:val="Lead"/>
      </w:pPr>
      <w:r>
        <w:t>Every contract passed. The suite spans 19 conversion categories and includes multi-file fixtures, expected outputs, report expectations, uses-clause behavior, and forbidden patterns.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1FB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227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PASSED</w:t>
            </w:r>
          </w:p>
        </w:tc>
        <w:tc>
          <w:tcPr>
            <w:tcW w:type="dxa" w:w="2340"/>
            <w:shd w:fill="F4F8FD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FAILED</w:t>
            </w:r>
          </w:p>
        </w:tc>
        <w:tc>
          <w:tcPr>
            <w:tcW w:type="dxa" w:w="2340"/>
            <w:shd w:fill="E8F1FB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189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COMPILER ELIGIBLE</w:t>
            </w:r>
          </w:p>
        </w:tc>
        <w:tc>
          <w:tcPr>
            <w:tcW w:type="dxa" w:w="2340"/>
            <w:shd w:fill="F4F8FD"/>
            <w:tcMar>
              <w:top w:w="160" w:type="dxa"/>
              <w:start w:w="90" w:type="dxa"/>
              <w:bottom w:w="15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478D4"/>
                <w:sz w:val="34"/>
              </w:rPr>
              <w:t>38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47384"/>
                <w:sz w:val="15"/>
              </w:rPr>
              <w:t>INTENTIONAL EXCLUSIONS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Coverage by category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2340"/>
        <w:gridCol w:w="2340"/>
        <w:gridCol w:w="2340"/>
        <w:gridCol w:w="2340"/>
      </w:tblGrid>
      <w:tr>
        <w:trPr>
          <w:trHeight w:hRule="atLeast"/>
          <w:tblHeader w:val="true"/>
          <w:cantSplit/>
        </w:trPr>
        <w:tc>
          <w:tcPr>
            <w:tcW w:type="dxa" w:w="3384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936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4104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936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Colors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16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Comments and boundaries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33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Components and events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26</w:t>
            </w:r>
          </w:p>
        </w:tc>
        <w:tc>
          <w:tcPr>
            <w:tcW w:type="dxa" w:w="41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Data-aware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DFM fidelity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DFM pairs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33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Dry-run preview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2</w:t>
            </w:r>
          </w:p>
        </w:tc>
        <w:tc>
          <w:tcPr>
            <w:tcW w:type="dxa" w:w="41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Encoding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Graphics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Include analysis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33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LiveBindings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6</w:t>
            </w:r>
          </w:p>
        </w:tc>
        <w:tc>
          <w:tcPr>
            <w:tcW w:type="dxa" w:w="41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Pascal structure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Project files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Project integration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3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Reporting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4</w:t>
            </w:r>
          </w:p>
        </w:tc>
        <w:tc>
          <w:tcPr>
            <w:tcW w:type="dxa" w:w="41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Semantic resolution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Third-party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Uses clause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33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WinAPI messages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  <w:t>40</w:t>
            </w:r>
          </w:p>
        </w:tc>
        <w:tc>
          <w:tcPr>
            <w:tcW w:type="dxa" w:w="41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63442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E68A2E"/>
          <w:sz w:val="18"/>
        </w:rPr>
        <w:t>QUALITY AND DELIVERY</w:t>
      </w:r>
    </w:p>
    <w:p>
      <w:pPr>
        <w:pStyle w:val="Heading1"/>
        <w:keepNext w:val="1"/>
      </w:pPr>
      <w:r>
        <w:t>Layered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120"/>
        <w:gridCol w:w="3120"/>
        <w:gridCol w:w="3120"/>
      </w:tblGrid>
      <w:tr>
        <w:trPr>
          <w:trHeight w:hRule="atLeast"/>
          <w:tblHeader w:val="true"/>
          <w:cantSplit/>
        </w:trPr>
        <w:tc>
          <w:tcPr>
            <w:tcW w:type="dxa" w:w="2951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Validation layer</w:t>
            </w:r>
          </w:p>
        </w:tc>
        <w:tc>
          <w:tcPr>
            <w:tcW w:type="dxa" w:w="2015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4392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Contract suite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227 pass / 0 fail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19 conversion categories</w:t>
            </w:r>
          </w:p>
        </w:tc>
      </w:tr>
      <w:tr>
        <w:trPr>
          <w:cantSplit/>
        </w:trPr>
        <w:tc>
          <w:tcPr>
            <w:tcW w:type="dxa" w:w="2951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Acceptance suite</w:t>
            </w:r>
          </w:p>
        </w:tc>
        <w:tc>
          <w:tcPr>
            <w:tcW w:type="dxa" w:w="2015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62 pass / 0 fail</w:t>
            </w:r>
          </w:p>
        </w:tc>
        <w:tc>
          <w:tcPr>
            <w:tcW w:type="dxa" w:w="43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Release-level behavior checks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Regression guards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64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Structural and policy protections</w:t>
            </w:r>
          </w:p>
        </w:tc>
      </w:tr>
      <w:tr>
        <w:trPr>
          <w:cantSplit/>
        </w:trPr>
        <w:tc>
          <w:tcPr>
            <w:tcW w:type="dxa" w:w="2951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Win32 Release</w:t>
            </w:r>
          </w:p>
        </w:tc>
        <w:tc>
          <w:tcPr>
            <w:tcW w:type="dxa" w:w="2015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Succeeded</w:t>
            </w:r>
          </w:p>
        </w:tc>
        <w:tc>
          <w:tcPr>
            <w:tcW w:type="dxa" w:w="43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Validated production executable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Win64 Release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Succeeded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9"/>
              </w:rPr>
              <w:t>Validated production executable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Reporting and project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4680"/>
        <w:gridCol w:w="4680"/>
      </w:tblGrid>
      <w:tr>
        <w:trPr>
          <w:trHeight w:hRule="atLeast"/>
          <w:tblHeader w:val="true"/>
          <w:cantSplit/>
        </w:trPr>
        <w:tc>
          <w:tcPr>
            <w:tcW w:type="dxa" w:w="2520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840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Inventory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Report formats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Plain text, HTML, deterministic vcl2fmx.report.v1 JSON</w:t>
            </w:r>
          </w:p>
        </w:tc>
      </w:tr>
      <w:tr>
        <w:trPr>
          <w:cantSplit/>
        </w:trPr>
        <w:tc>
          <w:tcPr>
            <w:tcW w:type="dxa" w:w="25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Maintenance tooling</w:t>
            </w:r>
          </w:p>
        </w:tc>
        <w:tc>
          <w:tcPr>
            <w:tcW w:type="dxa" w:w="68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44 PowerShell scripts + 2 Python scripts; 7,672 lines including harness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Documentation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311 files: 21 DOCX, 24 PDF, 12 Markdown, 30 Help HTML pages</w:t>
            </w:r>
          </w:p>
        </w:tc>
      </w:tr>
      <w:tr>
        <w:trPr>
          <w:cantSplit/>
        </w:trPr>
        <w:tc>
          <w:tcPr>
            <w:tcW w:type="dxa" w:w="25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Local website</w:t>
            </w:r>
          </w:p>
        </w:tc>
        <w:tc>
          <w:tcPr>
            <w:tcW w:type="dxa" w:w="68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2 HTML pages; approximately 750 lines across pages, CSS, and JavaScript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Tracked repository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2,395 files; 1,865 tracked text files</w:t>
            </w:r>
          </w:p>
        </w:tc>
      </w:tr>
      <w:tr>
        <w:trPr>
          <w:cantSplit/>
        </w:trPr>
        <w:tc>
          <w:tcPr>
            <w:tcW w:type="dxa" w:w="25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Tracked text volume</w:t>
            </w:r>
          </w:p>
        </w:tc>
        <w:tc>
          <w:tcPr>
            <w:tcW w:type="dxa" w:w="68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Approximately 211,981 lines including docs, goldens, and history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8F1FB"/>
          <w:left w:val="single" w:sz="0" w:space="0" w:color="E8F1FB"/>
          <w:bottom w:val="single" w:sz="0" w:space="0" w:color="E8F1FB"/>
          <w:right w:val="single" w:sz="0" w:space="0" w:color="E8F1FB"/>
          <w:insideH w:val="single" w:sz="0" w:space="0" w:color="E8F1FB"/>
          <w:insideV w:val="single" w:sz="0" w:space="0" w:color="E8F1FB"/>
        </w:tblBorders>
      </w:tblPr>
      <w:tblGrid>
        <w:gridCol w:w="9360"/>
      </w:tblGrid>
      <w:tr>
        <w:tc>
          <w:tcPr>
            <w:tcW w:type="dxa" w:w="9360"/>
            <w:shd w:fill="E8F1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E68A2E"/>
                <w:sz w:val="18"/>
              </w:rPr>
              <w:t>REPORTING INTEGRITY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B65"/>
                <w:sz w:val="21"/>
              </w:rPr>
              <w:t>Navigator reports the distinction between conversion, partial conversion, detection, preservation, and manual review instead of overstating automatic conversion coverage.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E68A2E"/>
          <w:sz w:val="18"/>
        </w:rPr>
        <w:t>RELEASE ARTIFACTS</w:t>
      </w:r>
    </w:p>
    <w:p>
      <w:pPr>
        <w:pStyle w:val="Heading1"/>
        <w:keepNext w:val="1"/>
      </w:pPr>
      <w:r>
        <w:t>Build 021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120"/>
        <w:gridCol w:w="3120"/>
        <w:gridCol w:w="3120"/>
      </w:tblGrid>
      <w:tr>
        <w:trPr>
          <w:trHeight w:hRule="atLeast"/>
          <w:tblHeader w:val="true"/>
          <w:cantSplit/>
        </w:trPr>
        <w:tc>
          <w:tcPr>
            <w:tcW w:type="dxa" w:w="2232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1512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5616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SHA-256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5"/>
              </w:rPr>
              <w:t>Win32 Release EXE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5"/>
              </w:rPr>
              <w:t>13.36 MB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5"/>
              </w:rPr>
              <w:t>A85AB12AD41452EC5D3085095D8C131729889B684B5ECE579EC8EF4AC3FB9335</w:t>
            </w:r>
          </w:p>
        </w:tc>
      </w:tr>
      <w:tr>
        <w:trPr>
          <w:cantSplit/>
        </w:trPr>
        <w:tc>
          <w:tcPr>
            <w:tcW w:type="dxa" w:w="223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5"/>
              </w:rPr>
              <w:t>Win64 Release EXE</w:t>
            </w:r>
          </w:p>
        </w:tc>
        <w:tc>
          <w:tcPr>
            <w:tcW w:type="dxa" w:w="151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5"/>
              </w:rPr>
              <w:t>18.89 MB</w:t>
            </w:r>
          </w:p>
        </w:tc>
        <w:tc>
          <w:tcPr>
            <w:tcW w:type="dxa" w:w="561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5"/>
              </w:rPr>
              <w:t>9D5847D2AEE7030EB92BE7E23B979B8732E5C1E87270064E385D58BE071DE741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5"/>
              </w:rPr>
              <w:t>Source distribution ZIP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5"/>
              </w:rPr>
              <w:t>852,970 bytes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5"/>
              </w:rPr>
              <w:t>BABB8C2BF8F1EC1DD6DB9F3784D0509B09FCB5603B37F677D5C4738D82E21FBF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Source distribution</w:t>
      </w:r>
    </w:p>
    <w:p>
      <w:pPr>
        <w:spacing w:after="200"/>
      </w:pPr>
      <w:r>
        <w:rPr>
          <w:rFonts w:ascii="Calibri" w:hAnsi="Calibri"/>
          <w:b/>
          <w:i w:val="0"/>
          <w:color w:val="173B65"/>
          <w:sz w:val="19"/>
        </w:rPr>
        <w:t>VCL2FMXConverter_v6_0_Navigator_Build021_Source_Distribution_2026-08-02_133819.zip</w:t>
      </w:r>
    </w:p>
    <w:p>
      <w:pPr>
        <w:pStyle w:val="Heading2"/>
        <w:keepNext w:val="1"/>
      </w:pPr>
      <w:r>
        <w:t>Measurement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4680"/>
        <w:gridCol w:w="4680"/>
      </w:tblGrid>
      <w:tr>
        <w:trPr>
          <w:trHeight w:hRule="atLeast"/>
          <w:tblHeader w:val="true"/>
          <w:cantSplit/>
        </w:trPr>
        <w:tc>
          <w:tcPr>
            <w:tcW w:type="dxa" w:w="2376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6983"/>
            <w:shd w:fill="173B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Line counts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Physical lines, including comments and blank lines.</w:t>
            </w:r>
          </w:p>
        </w:tc>
      </w:tr>
      <w:tr>
        <w:trPr>
          <w:cantSplit/>
        </w:trPr>
        <w:tc>
          <w:tcPr>
            <w:tcW w:type="dxa" w:w="23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Implementation footprint</w:t>
            </w:r>
          </w:p>
        </w:tc>
        <w:tc>
          <w:tcPr>
            <w:tcW w:type="dxa" w:w="6983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Production Pascal plus the designer-owned FMX form definition.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Exclusions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Generated conversion output and build-output folders are excluded from program counts.</w:t>
            </w:r>
          </w:p>
        </w:tc>
      </w:tr>
      <w:tr>
        <w:trPr>
          <w:cantSplit/>
        </w:trPr>
        <w:tc>
          <w:tcPr>
            <w:tcW w:type="dxa" w:w="23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Repository estimate</w:t>
            </w:r>
          </w:p>
        </w:tc>
        <w:tc>
          <w:tcPr>
            <w:tcW w:type="dxa" w:w="6983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Tracked text volume includes documentation, contract goldens, and historical material; it is not application code size.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Validation record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442"/>
                <w:sz w:val="18"/>
              </w:rPr>
              <w:t>The latest field-trial record is docs/notes/V6_BUILD021_FIELD_TRIAL_RESULTS.md.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1E3"/>
          <w:left w:val="single" w:sz="0" w:space="0" w:color="FFF1E3"/>
          <w:bottom w:val="single" w:sz="0" w:space="0" w:color="FFF1E3"/>
          <w:right w:val="single" w:sz="0" w:space="0" w:color="FFF1E3"/>
          <w:insideH w:val="single" w:sz="0" w:space="0" w:color="FFF1E3"/>
          <w:insideV w:val="single" w:sz="0" w:space="0" w:color="FFF1E3"/>
        </w:tblBorders>
      </w:tblPr>
      <w:tblGrid>
        <w:gridCol w:w="9360"/>
      </w:tblGrid>
      <w:tr>
        <w:tc>
          <w:tcPr>
            <w:tcW w:type="dxa" w:w="9360"/>
            <w:shd w:fill="FFF1E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E68A2E"/>
                <w:sz w:val="18"/>
              </w:rPr>
              <w:t>BUILD IDENTITY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B65"/>
                <w:sz w:val="21"/>
              </w:rPr>
              <w:t>VCL2FMXConverter v6.0 Navigator — Build 021  •  Commit db1d31b9  •  August 2, 2026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/>
        <w:i w:val="0"/>
        <w:color w:val="647384"/>
        <w:sz w:val="16"/>
      </w:rPr>
      <w:t xml:space="preserve">APPLICATION INVENTORY   •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47384"/>
        <w:sz w:val="16"/>
      </w:rPr>
      <w:t>VCL2FMXConverter v6.0 Navigator  |  Build 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4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B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B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 w:line="276" w:lineRule="auto"/>
    </w:pPr>
    <w:rPr>
      <w:rFonts w:ascii="Calibri" w:hAnsi="Calibri"/>
      <w:color w:val="173B6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VCL2FMXConverter v6.0 Navigator — Build 021 Application Inventory</dc:title>
  <dc:subject>Codebase, coverage, validation, and release profile</dc:subject>
  <dc:creator>VCL2FMXConverter Project</dc:creator>
  <cp:keywords>VCL2FMXConverter, Navigator, Build 021, Delphi, VCL, FMX, inventory</cp:keywords>
  <dc:description>Professional Build 021 application inventory generated from the validated project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