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4.png" ContentType="image/png"/>
  <Override PartName="/word/media/rId49.png" ContentType="image/png"/>
  <Override PartName="/word/media/rId54.png" ContentType="image/png"/>
  <Override PartName="/word/media/rId57.png" ContentType="image/png"/>
  <Override PartName="/word/media/rId61.png" ContentType="image/png"/>
  <Override PartName="/word/media/rId67.png" ContentType="image/png"/>
  <Override PartName="/word/media/rId71.png" ContentType="image/png"/>
  <Override PartName="/word/media/rId92.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where</w:t>
      </w:r>
      <w:r>
        <w:t xml:space="preserve"> </w:t>
      </w:r>
      <w:r>
        <w:t xml:space="preserve">they</w:t>
      </w:r>
      <w:r>
        <w:t xml:space="preserve"> </w:t>
      </w:r>
      <w:r>
        <w:t xml:space="preserve">cut</w:t>
      </w:r>
      <w:r>
        <w:t xml:space="preserve"> </w:t>
      </w:r>
      <w:r>
        <w:t xml:space="preserve">the</w:t>
      </w:r>
      <w:r>
        <w:t xml:space="preserve"> </w:t>
      </w:r>
      <w:r>
        <w:t xml:space="preserve">most</w:t>
      </w:r>
      <w:r>
        <w:t xml:space="preserve"> </w:t>
      </w:r>
      <w:r>
        <w:t xml:space="preserve">carbon,</w:t>
      </w:r>
      <w:r>
        <w:t xml:space="preserve"> </w:t>
      </w:r>
      <w:r>
        <w:t xml:space="preserve">what</w:t>
      </w:r>
      <w:r>
        <w:t xml:space="preserve"> </w:t>
      </w:r>
      <w:r>
        <w:t xml:space="preserve">holds</w:t>
      </w:r>
      <w:r>
        <w:t xml:space="preserve"> </w:t>
      </w:r>
      <w:r>
        <w:t xml:space="preserve">them</w:t>
      </w:r>
      <w:r>
        <w:t xml:space="preserve"> </w:t>
      </w:r>
      <w:r>
        <w:t xml:space="preserve">back,</w:t>
      </w:r>
      <w:r>
        <w:t xml:space="preserve"> </w:t>
      </w:r>
      <w:r>
        <w:t xml:space="preserve">and</w:t>
      </w:r>
      <w:r>
        <w:t xml:space="preserve"> </w:t>
      </w:r>
      <w:r>
        <w:t xml:space="preserve">a</w:t>
      </w:r>
      <w:r>
        <w:t xml:space="preserve"> </w:t>
      </w:r>
      <w:r>
        <w:t xml:space="preserve">low-clinker</w:t>
      </w:r>
      <w:r>
        <w:t xml:space="preserve"> </w:t>
      </w:r>
      <w:r>
        <w:t xml:space="preserve">concrete</w:t>
      </w:r>
      <w:r>
        <w:t xml:space="preserve"> </w:t>
      </w:r>
      <w:r>
        <w:t xml:space="preserve">initiative</w:t>
      </w:r>
      <w:r>
        <w:t xml:space="preserve"> </w:t>
      </w:r>
      <w:r>
        <w:t xml:space="preserve">for</w:t>
      </w:r>
      <w:r>
        <w:t xml:space="preserve"> </w:t>
      </w:r>
      <w:r>
        <w:t xml:space="preserve">Darlington</w:t>
      </w:r>
    </w:p>
    <w:p>
      <w:pPr>
        <w:pStyle w:val="Subtitle"/>
      </w:pPr>
      <w:r>
        <w:t xml:space="preserve">MTE4593</w:t>
      </w:r>
      <w:r>
        <w:t xml:space="preserve"> </w:t>
      </w:r>
      <w:r>
        <w:t xml:space="preserve">Materials</w:t>
      </w:r>
      <w:r>
        <w:t xml:space="preserve"> </w:t>
      </w:r>
      <w:r>
        <w:t xml:space="preserve">and</w:t>
      </w:r>
      <w:r>
        <w:t xml:space="preserve"> </w:t>
      </w:r>
      <w:r>
        <w:t xml:space="preserve">Sustainability,</w:t>
      </w:r>
      <w:r>
        <w:t xml:space="preserve"> </w:t>
      </w:r>
      <w:r>
        <w:t xml:space="preserve">Assignment</w:t>
      </w:r>
      <w:r>
        <w:t xml:space="preserve"> </w:t>
      </w:r>
      <w:r>
        <w:t xml:space="preserve">2</w:t>
      </w:r>
      <w:r>
        <w:t xml:space="preserve"> </w:t>
      </w:r>
      <w:r>
        <w:t xml:space="preserve">(Group</w:t>
      </w:r>
      <w:r>
        <w:t xml:space="preserve"> </w:t>
      </w:r>
      <w:r>
        <w:t xml:space="preserve">9)</w:t>
      </w:r>
    </w:p>
    <w:p>
      <w:pPr>
        <w:pStyle w:val="Author"/>
      </w:pPr>
      <w:r>
        <w:t xml:space="preserve">Victor</w:t>
      </w:r>
      <w:r>
        <w:t xml:space="preserve"> </w:t>
      </w:r>
      <w:r>
        <w:t xml:space="preserve">Clarke</w:t>
      </w:r>
      <w:r>
        <w:t xml:space="preserve"> </w:t>
      </w:r>
      <w:r>
        <w:rPr>
          <w:rStyle w:val="TeamNote"/>
        </w:rPr>
        <w:t xml:space="preserve">ADD</w:t>
      </w:r>
      <w:r>
        <w:rPr>
          <w:rStyle w:val="TeamNote"/>
        </w:rPr>
        <w:t xml:space="preserve"> </w:t>
      </w:r>
      <w:r>
        <w:rPr>
          <w:rStyle w:val="TeamNote"/>
        </w:rPr>
        <w:t xml:space="preserve">STUDENT</w:t>
      </w:r>
      <w:r>
        <w:rPr>
          <w:rStyle w:val="TeamNote"/>
        </w:rPr>
        <w:t xml:space="preserve"> </w:t>
      </w:r>
      <w:r>
        <w:rPr>
          <w:rStyle w:val="TeamNote"/>
        </w:rPr>
        <w:t xml:space="preserve">ID</w:t>
      </w:r>
    </w:p>
    <w:p>
      <w:pPr>
        <w:pStyle w:val="Author"/>
      </w:pPr>
      <w:r>
        <w:t xml:space="preserve">Leroy</w:t>
      </w:r>
      <w:r>
        <w:t xml:space="preserve"> </w:t>
      </w:r>
      <w:r>
        <w:t xml:space="preserve">Louis</w:t>
      </w:r>
      <w:r>
        <w:t xml:space="preserve"> </w:t>
      </w:r>
      <w:r>
        <w:t xml:space="preserve">Jean</w:t>
      </w:r>
      <w:r>
        <w:t xml:space="preserve"> </w:t>
      </w:r>
      <w:r>
        <w:t xml:space="preserve">(33880212)</w:t>
      </w:r>
    </w:p>
    <w:p>
      <w:pPr>
        <w:pStyle w:val="Author"/>
      </w:pPr>
      <w:r>
        <w:t xml:space="preserve">Sam</w:t>
      </w:r>
      <w:r>
        <w:t xml:space="preserve"> </w:t>
      </w:r>
      <w:r>
        <w:rPr>
          <w:rStyle w:val="TeamNote"/>
        </w:rPr>
        <w:t xml:space="preserve">ADD</w:t>
      </w:r>
      <w:r>
        <w:rPr>
          <w:rStyle w:val="TeamNote"/>
        </w:rPr>
        <w:t xml:space="preserve"> </w:t>
      </w:r>
      <w:r>
        <w:rPr>
          <w:rStyle w:val="TeamNote"/>
        </w:rPr>
        <w:t xml:space="preserve">SURNAME</w:t>
      </w:r>
      <w:r>
        <w:t xml:space="preserve"> </w:t>
      </w:r>
      <w:r>
        <w:rPr>
          <w:rStyle w:val="TeamNote"/>
        </w:rPr>
        <w:t xml:space="preserve">ADD</w:t>
      </w:r>
      <w:r>
        <w:rPr>
          <w:rStyle w:val="TeamNote"/>
        </w:rPr>
        <w:t xml:space="preserve"> </w:t>
      </w:r>
      <w:r>
        <w:rPr>
          <w:rStyle w:val="TeamNote"/>
        </w:rPr>
        <w:t xml:space="preserve">STUDENT</w:t>
      </w:r>
      <w:r>
        <w:rPr>
          <w:rStyle w:val="TeamNote"/>
        </w:rPr>
        <w:t xml:space="preserve"> </w:t>
      </w:r>
      <w:r>
        <w:rPr>
          <w:rStyle w:val="TeamNote"/>
        </w:rPr>
        <w:t xml:space="preserve">ID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X2dfb1858b493784faa8b63dddf1eba57828d596"/>
    <w:p>
      <w:pPr>
        <w:pStyle w:val="Heading2"/>
      </w:pPr>
      <w:r>
        <w:t xml:space="preserve">Team review checklist (this page is removed in the submission version)</w:t>
      </w:r>
    </w:p>
    <w:p>
      <w:pPr>
        <w:pStyle w:val="FirstParagraph"/>
      </w:pPr>
      <w:r>
        <w:rPr>
          <w:rStyle w:val="TeamNote"/>
        </w:rPr>
        <w:t xml:space="preserve">Highlighted notes like this one mark what is still needed. Everything else is complete and fact-checked.</w:t>
      </w:r>
    </w:p>
    <w:p>
      <w:pPr>
        <w:pStyle w:val="BodyText"/>
      </w:pPr>
      <w:r>
        <w:rPr>
          <w:bCs/>
          <w:b/>
        </w:rPr>
        <w:t xml:space="preserve">Leroy: Granta EduPack</w:t>
      </w:r>
      <w:r>
        <w:t xml:space="preserve"> </w:t>
      </w:r>
      <w:r>
        <w:t xml:space="preserve">(the only open technical item)</w:t>
      </w:r>
    </w:p>
    <w:p>
      <w:pPr>
        <w:numPr>
          <w:ilvl w:val="0"/>
          <w:numId w:val="1001"/>
        </w:numPr>
        <w:pStyle w:val="Compact"/>
      </w:pPr>
      <w:r>
        <w:t xml:space="preserve">Run the Granta EduPack Eco Audit as set out in the note at the top of Section 6, and send the results (screenshots or export).</w:t>
      </w:r>
    </w:p>
    <w:p>
      <w:pPr>
        <w:numPr>
          <w:ilvl w:val="0"/>
          <w:numId w:val="1001"/>
        </w:numPr>
        <w:pStyle w:val="Compact"/>
      </w:pPr>
      <w:r>
        <w:t xml:space="preserve">The results go in Section 6, Appendix A9 and one sentence in Section 2. The report currently says Granta was planned but not completed.</w:t>
      </w:r>
    </w:p>
    <w:p>
      <w:pPr>
        <w:pStyle w:val="FirstParagraph"/>
      </w:pPr>
      <w:r>
        <w:rPr>
          <w:bCs/>
          <w:b/>
        </w:rPr>
        <w:t xml:space="preserve">Everyone</w:t>
      </w:r>
    </w:p>
    <w:p>
      <w:pPr>
        <w:numPr>
          <w:ilvl w:val="0"/>
          <w:numId w:val="1002"/>
        </w:numPr>
        <w:pStyle w:val="Compact"/>
      </w:pPr>
      <w:r>
        <w:t xml:space="preserve">Title page: Victor’s and Sam’s student IDs, and Sam’s surname (Leroy’s is in).</w:t>
      </w:r>
    </w:p>
    <w:p>
      <w:pPr>
        <w:numPr>
          <w:ilvl w:val="0"/>
          <w:numId w:val="1002"/>
        </w:numPr>
        <w:pStyle w:val="Compact"/>
      </w:pPr>
      <w:r>
        <w:t xml:space="preserve">Agree the AI-use declaration wording (placeholder before the appendices).</w:t>
      </w:r>
    </w:p>
    <w:p>
      <w:pPr>
        <w:pStyle w:val="FirstParagraph"/>
      </w:pPr>
      <w:r>
        <w:rPr>
          <w:bCs/>
          <w:b/>
        </w:rPr>
        <w:t xml:space="preserve">Victor (before submitting)</w:t>
      </w:r>
    </w:p>
    <w:p>
      <w:pPr>
        <w:numPr>
          <w:ilvl w:val="0"/>
          <w:numId w:val="1003"/>
        </w:numPr>
        <w:pStyle w:val="Compact"/>
      </w:pPr>
      <w:r>
        <w:t xml:space="preserve">Update the table of contents in Word (right-click, Update Field).</w:t>
      </w:r>
    </w:p>
    <w:p>
      <w:r>
        <w:br w:type="page"/>
      </w:r>
    </w:p>
    <w:bookmarkEnd w:id="20"/>
    <w:bookmarkStart w:id="21"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1"/>
    <w:bookmarkStart w:id="26" w:name="introduction"/>
    <w:p>
      <w:pPr>
        <w:pStyle w:val="Heading2"/>
      </w:pPr>
      <w:r>
        <w:t xml:space="preserve">1 Introduction</w:t>
      </w:r>
    </w:p>
    <w:p>
      <w:pPr>
        <w:pStyle w:val="FirstParagraph"/>
      </w:pPr>
      <w: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bookmarkStart w:id="22" w:name="context"/>
    <w:p>
      <w:pPr>
        <w:pStyle w:val="Heading4"/>
      </w:pPr>
      <w:r>
        <w:t xml:space="preserve">Context</w:t>
      </w:r>
    </w:p>
    <w:p>
      <w:pPr>
        <w:pStyle w:val="FirstParagraph"/>
      </w:pP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bookmarkEnd w:id="22"/>
    <w:bookmarkStart w:id="23" w:name="the-two-sites"/>
    <w:p>
      <w:pPr>
        <w:pStyle w:val="Heading4"/>
      </w:pPr>
      <w:r>
        <w:t xml:space="preserve">The two sites</w:t>
      </w:r>
    </w:p>
    <w:p>
      <w:pPr>
        <w:pStyle w:val="FirstParagraph"/>
      </w:pP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(Section 8.1).</w:t>
      </w:r>
      <w:r>
        <w:t xml:space="preserve"> </w:t>
      </w:r>
      <w:r>
        <w:rPr>
          <w:iCs/>
          <w:i/>
        </w:rPr>
        <w:t xml:space="preserve">Liddell</w:t>
      </w:r>
      <w:r>
        <w:t xml:space="preserve"> </w:t>
      </w:r>
      <w:r>
        <w:t xml:space="preserve">is the Australian comparison, a closed coal site with a grid connection.</w:t>
      </w:r>
    </w:p>
    <w:bookmarkEnd w:id="23"/>
    <w:bookmarkStart w:id="24" w:name="the-initiative-c1"/>
    <w:p>
      <w:pPr>
        <w:pStyle w:val="Heading4"/>
      </w:pPr>
      <w:r>
        <w:t xml:space="preserve">The initiative (C1)</w:t>
      </w:r>
    </w:p>
    <w:p>
      <w:pPr>
        <w:pStyle w:val="FirstParagraph"/>
      </w:pPr>
      <w:r>
        <w:t xml:space="preserve">OPG should pilot limestone calcined clay cement (LC³) in eligible non-safety works first, using it in the steel-composite infill only if qualified and schedule-neutral (Sections 4.1–4.3, Section 5).</w:t>
      </w:r>
    </w:p>
    <w:bookmarkEnd w:id="24"/>
    <w:bookmarkStart w:id="25" w:name="research-questions"/>
    <w:p>
      <w:pPr>
        <w:pStyle w:val="Heading4"/>
      </w:pPr>
      <w:r>
        <w:t xml:space="preserve">Research questions</w:t>
      </w:r>
    </w:p>
    <w:p>
      <w:pPr>
        <w:numPr>
          <w:ilvl w:val="0"/>
          <w:numId w:val="1004"/>
        </w:numPr>
        <w:pStyle w:val="Compact"/>
      </w:pPr>
      <w:r>
        <w:t xml:space="preserve">What does one BWRX-300 emit, and where? (Section 6)</w:t>
      </w:r>
    </w:p>
    <w:p>
      <w:pPr>
        <w:numPr>
          <w:ilvl w:val="0"/>
          <w:numId w:val="1004"/>
        </w:numPr>
        <w:pStyle w:val="Compact"/>
      </w:pPr>
      <w:r>
        <w:t xml:space="preserve">How much does C1 save, and what delay cancels it? (Sections 6–7)</w:t>
      </w:r>
    </w:p>
    <w:p>
      <w:pPr>
        <w:numPr>
          <w:ilvl w:val="0"/>
          <w:numId w:val="1004"/>
        </w:numPr>
        <w:pStyle w:val="Compact"/>
      </w:pPr>
      <w:r>
        <w:t xml:space="preserve">Does a unit’s climate value differ between Ontario and Liddell? (Section 7)</w:t>
      </w:r>
    </w:p>
    <w:p>
      <w:pPr>
        <w:numPr>
          <w:ilvl w:val="0"/>
          <w:numId w:val="1004"/>
        </w:numPr>
        <w:pStyle w:val="Compact"/>
      </w:pPr>
      <w:r>
        <w:t xml:space="preserve">Which barriers decide whether an SMR is built, and does it beat firmed renewables? (Section 3, Sections 8–9)</w:t>
      </w:r>
    </w:p>
    <w:p>
      <w:r>
        <w:pict>
          <v:rect style="width:0;height:1.5pt" o:hralign="center" o:hrstd="t" o:hr="t"/>
        </w:pict>
      </w:r>
    </w:p>
    <w:bookmarkEnd w:id="25"/>
    <w:bookmarkEnd w:id="26"/>
    <w:bookmarkStart w:id="31" w:name="methods-and-data"/>
    <w:p>
      <w:pPr>
        <w:pStyle w:val="Heading2"/>
      </w:pPr>
      <w:r>
        <w:t xml:space="preserve">2 Methods and data</w:t>
      </w:r>
    </w:p>
    <w:p>
      <w:pPr>
        <w:pStyle w:val="FirstParagraph"/>
      </w:pPr>
      <w:r>
        <w:rPr>
          <w:rStyle w:val="TeamNote"/>
        </w:rPr>
        <w:t xml:space="preserve">LEROY: once Granta is run, this section’s Granta sentence changes to describe it.</w:t>
      </w:r>
    </w:p>
    <w:p>
      <w:pPr>
        <w:pStyle w:val="BodyText"/>
      </w:pPr>
      <w:r>
        <w:t xml:space="preserve">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bookmarkStart w:id="27" w:name="life-cycle-assessment"/>
    <w:p>
      <w:pPr>
        <w:pStyle w:val="Heading4"/>
      </w:pPr>
      <w:r>
        <w:t xml:space="preserve">Life-cycle assessment</w:t>
      </w:r>
    </w:p>
    <w:p>
      <w:pPr>
        <w:pStyle w:val="FirstParagraph"/>
      </w:pPr>
      <w:r>
        <w:t xml:space="preserve">A screening study following ISO 14040/14044 principles (International Organization for Standardization, 2006a; 2006b), not critically reviewed: functional unit 1 MWh of net electricity at the grid connection, cradle to grave (Section 6.1). The screening model is scripted in Python; a Granta EduPack Eco Audit cross-check was planned but not completed.</w:t>
      </w:r>
    </w:p>
    <w:bookmarkEnd w:id="27"/>
    <w:bookmarkStart w:id="28" w:name="displacement-and-schedule"/>
    <w:p>
      <w:pPr>
        <w:pStyle w:val="Heading4"/>
      </w:pPr>
      <w:r>
        <w:t xml:space="preserve">Displacement and schedule</w:t>
      </w:r>
    </w:p>
    <w:p>
      <w:pPr>
        <w:pStyle w:val="FirstParagraph"/>
      </w:pP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bookmarkEnd w:id="28"/>
    <w:bookmarkStart w:id="29" w:name="supply-concentration"/>
    <w:p>
      <w:pPr>
        <w:pStyle w:val="Heading4"/>
      </w:pPr>
      <w:r>
        <w:t xml:space="preserve">Supply concentration</w:t>
      </w:r>
    </w:p>
    <w:p>
      <w:pPr>
        <w:pStyle w:val="FirstParagraph"/>
      </w:pP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bookmarkEnd w:id="29"/>
    <w:bookmarkStart w:id="30" w:name="multi-criteria-analysis-mcda"/>
    <w:p>
      <w:pPr>
        <w:pStyle w:val="Heading4"/>
      </w:pPr>
      <w:r>
        <w:t xml:space="preserve">Multi-criteria analysis (MCDA)</w:t>
      </w:r>
    </w:p>
    <w:p>
      <w:pPr>
        <w:pStyle w:val="FirstParagraph"/>
      </w:pP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t xml:space="preserve">Search strategy and patent search: Appendix E.</w:t>
      </w:r>
    </w:p>
    <w:p>
      <w:r>
        <w:pict>
          <v:rect style="width:0;height:1.5pt" o:hralign="center" o:hrstd="t" o:hr="t"/>
        </w:pict>
      </w:r>
    </w:p>
    <w:bookmarkEnd w:id="30"/>
    <w:bookmarkEnd w:id="31"/>
    <w:bookmarkStart w:id="33" w:name="X282bf2c80aeb6e14a6d21bd058e6df252031dca"/>
    <w:p>
      <w:pPr>
        <w:pStyle w:val="Heading2"/>
      </w:pPr>
      <w:r>
        <w:t xml:space="preserve">3 Barriers to cutting emissions with small modular reactors</w:t>
      </w:r>
    </w:p>
    <w:p>
      <w:pPr>
        <w:pStyle w:val="FirstParagraph"/>
      </w:pPr>
      <w:r>
        <w:t xml:space="preserve">Eight barriers decide whether a small modular reactor (SMR) is built and cuts emissions. The initiative, C1 (Section 4.3), reaches one directly and is constrained by a second. At Darlington, Ontario, cost and schedule bind. At Liddell, the closed New South Wales coal plant we use as the Australian comparison, law comes first and every later barrier is still open (Sections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(Section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(Section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(Section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11.5%</w:t>
            </w:r>
            <w:r>
              <w:t xml:space="preserve"> </w:t>
            </w:r>
            <w:r>
              <w:t xml:space="preserve">of life-cycle emissions is construction; C1 saves 2,200 t per unit (this study, Section 6)</w:t>
            </w:r>
          </w:p>
        </w:tc>
        <w:tc>
          <w:tcPr/>
          <w:p>
            <w:pPr>
              <w:pStyle w:val="Compact"/>
              <w:jc w:val="left"/>
            </w:pPr>
            <w:r>
              <w:t xml:space="preserve">Infill concrete needs nuclear qualification before Units 2–4 are fixed (Section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(Section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(Section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(Section 8.4)</w:t>
            </w:r>
          </w:p>
        </w:tc>
        <w:tc>
          <w:tcPr/>
          <w:p>
            <w:pPr>
              <w:pStyle w:val="Compact"/>
              <w:jc w:val="left"/>
            </w:pPr>
            <w:r>
              <w:t xml:space="preserve">No</w:t>
            </w:r>
          </w:p>
        </w:tc>
      </w:tr>
    </w:tbl>
    <w:bookmarkStart w:id="32" w:name="reading-the-table"/>
    <w:p>
      <w:pPr>
        <w:pStyle w:val="Heading4"/>
      </w:pPr>
      <w:r>
        <w:t xml:space="preserve">Reading the table</w:t>
      </w:r>
    </w:p>
    <w:p>
      <w:pPr>
        <w:pStyle w:val="FirstParagraph"/>
      </w:pPr>
      <w:r>
        <w:t xml:space="preserve">C1 moves only rows 2 and 5; Section 7 and Section 8.6 test the schedule risk.</w:t>
      </w:r>
    </w:p>
    <w:p>
      <w:r>
        <w:pict>
          <v:rect style="width:0;height:1.5pt" o:hralign="center" o:hrstd="t" o:hr="t"/>
        </w:pict>
      </w:r>
    </w:p>
    <w:bookmarkEnd w:id="32"/>
    <w:bookmarkEnd w:id="33"/>
    <w:bookmarkStart w:id="39" w:name="the-technology-and-the-initiative"/>
    <w:p>
      <w:pPr>
        <w:pStyle w:val="Heading2"/>
      </w:pPr>
      <w:r>
        <w:t xml:space="preserve">4 The technology and the initiative</w:t>
      </w:r>
    </w:p>
    <w:bookmarkStart w:id="35" w:name="technology-projects-and-patents"/>
    <w:p>
      <w:pPr>
        <w:pStyle w:val="Heading3"/>
      </w:pPr>
      <w:r>
        <w:t xml:space="preserve">4.1 Technology, projects and patents</w:t>
      </w:r>
    </w:p>
    <w:p>
      <w:pPr>
        <w:pStyle w:val="FirstParagraph"/>
      </w:pPr>
      <w:r>
        <w:t xml:space="preserve">No light-water SMR is yet reported operating on land; the BWRX-300 is the Western design closest to doing so, and China’s ACP100 (Linglong One) was still in commissioning, with no criticality reported, in May 2026. 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t xml:space="preserve">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bookmarkStart w:id="34" w:name="patents"/>
    <w:p>
      <w:pPr>
        <w:pStyle w:val="Heading4"/>
      </w:pPr>
      <w:r>
        <w:t xml:space="preserve">Patents</w:t>
      </w:r>
    </w:p>
    <w:p>
      <w:pPr>
        <w:pStyle w:val="FirstParagraph"/>
      </w:pP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t xml:space="preserve">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8.1), assumed by 2029, and build a licensing regime, assumed to take three years: 2029 + 3 + 8 gives about 2040, matching first power at Liddell (Section 7).</w:t>
      </w:r>
    </w:p>
    <w:bookmarkEnd w:id="34"/>
    <w:bookmarkEnd w:id="35"/>
    <w:bookmarkStart w:id="36" w:name="the-bwrx-300-at-darlington"/>
    <w:p>
      <w:pPr>
        <w:pStyle w:val="Heading3"/>
      </w:pPr>
      <w:r>
        <w:t xml:space="preserve">4.2 The BWRX-300 at Darlington</w:t>
      </w:r>
    </w:p>
    <w:p>
      <w:pPr>
        <w:pStyle w:val="FirstParagraph"/>
      </w:pPr>
      <w:r>
        <w:t xml:space="preserve">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t xml:space="preserve">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4.3).</w:t>
      </w:r>
    </w:p>
    <w:bookmarkEnd w:id="36"/>
    <w:bookmarkStart w:id="38" w:name="X90098c7b12d1bfce5617586e418e3203c93a876"/>
    <w:p>
      <w:pPr>
        <w:pStyle w:val="Heading3"/>
      </w:pPr>
      <w:r>
        <w:t xml:space="preserve">4.3 The initiative: low-clinker concrete for the Darlington Units 2–4 infill</w:t>
      </w:r>
    </w:p>
    <w:p>
      <w:pPr>
        <w:pStyle w:val="FirstParagraph"/>
      </w:pPr>
      <w:r>
        <w:t xml:space="preserve">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7.1).</w:t>
      </w:r>
    </w:p>
    <w:bookmarkStart w:id="37" w:name="the-proposal"/>
    <w:p>
      <w:pPr>
        <w:pStyle w:val="Heading4"/>
      </w:pPr>
      <w:r>
        <w:t xml:space="preserve">The proposal</w:t>
      </w:r>
    </w:p>
    <w:p>
      <w:pPr>
        <w:pStyle w:val="FirstParagraph"/>
      </w:pPr>
      <w:r>
        <w:t xml:space="preserve">Ontario Power Generation (OPG) should pilot limestone calcined clay cement (LC³; Scrivener et al., 2018) in eligible non-safety works first, and use it in steel-composite infill only if it is qualified on Unit 1 mock-ups; Units 2–4 need future licensing (Section 8.1, Section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Section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t xml:space="preserve">Why it is not the obvious choice. First, the infill problem is specific to modular construction: a mix that flows, stays cool in thick sections and still shields has to be developed (Section 10). Second, C1’s value is set by schedule, not by the concrete: under three weeks of delay to a unit cancels its saving (Section 7.1), so C1 is a qualification programme timed to Unit 1 mock-ups rather than a binder swap. Third, its lever is financial: the Units 2–4 equity tranche can carry the condition (Section 8.6).</w:t>
      </w:r>
    </w:p>
    <w:p>
      <w:pPr>
        <w:pStyle w:val="BodyText"/>
      </w:pPr>
      <w:r>
        <w:t xml:space="preserve">What C1 does not address. It leaves cost, law, fuel supply, social licence and workforce untouched (Table T1); lower-carbon steel in the same structures is the next lever (Section 6.3, Section 10).</w:t>
      </w:r>
    </w:p>
    <w:p>
      <w:r>
        <w:pict>
          <v:rect style="width:0;height:1.5pt" o:hralign="center" o:hrstd="t" o:hr="t"/>
        </w:pict>
      </w:r>
    </w:p>
    <w:bookmarkEnd w:id="37"/>
    <w:bookmarkEnd w:id="38"/>
    <w:bookmarkEnd w:id="39"/>
    <w:bookmarkStart w:id="42" w:name="materials-from-extraction-to-end-of-life"/>
    <w:p>
      <w:pPr>
        <w:pStyle w:val="Heading2"/>
      </w:pPr>
      <w:r>
        <w:t xml:space="preserve">5 Materials from extraction to end-of-life</w:t>
      </w:r>
    </w:p>
    <w:p>
      <w:pPr>
        <w:pStyle w:val="FirstParagraph"/>
      </w:pPr>
      <w:r>
        <w:t xml:space="preserve">For C1, the binder’s carbon arises in the kiln, but its risks arise in the pour and at decommissioning. Stages follow Section 6’s boundary; operation, decommissioning and waste use published per-kWh values (Section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(Section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bookmarkStart w:id="40" w:name="steel"/>
    <w:p>
      <w:pPr>
        <w:pStyle w:val="Heading4"/>
      </w:pPr>
      <w:r>
        <w:t xml:space="preserve">Steel</w:t>
      </w:r>
    </w:p>
    <w:p>
      <w:pPr>
        <w:pStyle w:val="FirstParagraph"/>
      </w:pP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bookmarkEnd w:id="40"/>
    <w:bookmarkStart w:id="41" w:name="end-of-life"/>
    <w:p>
      <w:pPr>
        <w:pStyle w:val="Heading4"/>
      </w:pPr>
      <w:r>
        <w:t xml:space="preserve">End of life</w:t>
      </w:r>
    </w:p>
    <w:p>
      <w:pPr>
        <w:pStyle w:val="FirstParagraph"/>
      </w:pP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(Section 10).</w:t>
      </w:r>
    </w:p>
    <w:bookmarkEnd w:id="41"/>
    <w:bookmarkEnd w:id="42"/>
    <w:bookmarkStart w:id="65" w:name="life-cycle-assessment-and-eco-audit"/>
    <w:p>
      <w:pPr>
        <w:pStyle w:val="Heading2"/>
      </w:pPr>
      <w:r>
        <w:t xml:space="preserve">6 Life-cycle assessment and eco-audit</w:t>
      </w:r>
    </w:p>
    <w:p>
      <w:pPr>
        <w:pStyle w:val="FirstParagraph"/>
      </w:pPr>
      <w:r>
        <w:rPr>
          <w:rStyle w:val="TeamNote"/>
        </w:rPr>
        <w:t xml:space="preserve">LEROY (Granta EduPack): please run the Granta EduPack Eco Audit on one BWRX-300: concrete 120,000 t (50,000 m³ × 2.4 t/m³) and steel 14,000 t (Ostrołęka PIS, Table 14), with a second run where 40% of the concrete (20,000 m³) is LC³ at 270 instead of 380 kg CO₂e/m³ (Pillai et al., 2019). Send the CO₂ footprint and energy per life stage (screenshot or export). Then confirm or update this section’s Granta sentence, Appendix A9 and Section 2. Everything else in the report is complete.</w:t>
      </w:r>
    </w:p>
    <w:p>
      <w:pPr>
        <w:pStyle w:val="BodyText"/>
      </w:pPr>
      <w:r>
        <w:t xml:space="preserve">One BWRX-300 at Darlington emits an estimated 4.4 g CO₂e per kWh (Monte Carlo median; 90% interval 3.2–6.1; 3.5 if conversion heat takes its central published value), below UNECE’s 5.1–6.4 g/kWh for nuclear power. The fuel front end contributes 62% and construction 11.5%. The initiative, C1 (Section 4.3), puts limestone calcined clay cement (LC³) in 20–60% of the concrete. It saves 2,200 t CO₂e per unit (1,100–3,300 t), about 0.36% of the life cycle: real but small, so worth adopting only if schedule-neutral (Section 6.3).</w:t>
      </w:r>
    </w:p>
    <w:bookmarkStart w:id="48" w:name="goal-scope-and-method"/>
    <w:p>
      <w:pPr>
        <w:pStyle w:val="Heading3"/>
      </w:pPr>
      <w:r>
        <w:t xml:space="preserve">6.1 Goal, scope and method</w:t>
      </w:r>
    </w:p>
    <w:bookmarkStart w:id="43" w:name="goal"/>
    <w:p>
      <w:pPr>
        <w:pStyle w:val="Heading4"/>
      </w:pPr>
      <w:r>
        <w:t xml:space="preserve">Goal</w:t>
      </w:r>
    </w:p>
    <w:p>
      <w:pPr>
        <w:pStyle w:val="FirstParagraph"/>
      </w:pP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pStyle w:val="BodyText"/>
      </w:pPr>
      <w:r>
        <w:t xml:space="preserve">Functional unit: 1 MWh of net electricity at the grid connection (g CO₂e/kWh equals kg CO₂e/MWh); transmission is outside. One unit delivers 300 MWe × 8,760 h × 0.90 × 60 years = 1.419 × 10⁸ MWh (Appendix A2). Boundary (Figure F1): cradle to grave. Construction materials and the fuel front end (mining and milling, conversion, enrichment, fabrication) are modelled from published factors; operation and maintenance (O&amp;M), decommissioning and the back end are per-kWh values from EDF’s French-fleet study (EDF R&amp;D, 2024). Baseline (S0): the concrete OPG would pour anyway, at 380 kg CO₂e/m³ (Pillai et al., 2019, as reported; Indian M50 mixes). We have not seen OPG’s mix or any cement-type limit in the specification (GE-Hitachi Nuclear Energy, 2024). Cut-offs: fuel cladding and hardware, conversion chemicals, upstream gas, fuel-plant capital goods and recycling credits; each biases the result low (Section 6.5). Impact category: climate change, GWP100.</w:t>
      </w:r>
    </w:p>
    <w:bookmarkEnd w:id="43"/>
    <w:bookmarkStart w:id="47" w:name="method-and-inventory"/>
    <w:p>
      <w:pPr>
        <w:pStyle w:val="Heading4"/>
      </w:pPr>
      <w:r>
        <w:t xml:space="preserve">Method and inventory</w:t>
      </w:r>
    </w:p>
    <w:p>
      <w:pPr>
        <w:pStyle w:val="FirstParagraph"/>
      </w:pPr>
      <w:r>
        <w:t xml:space="preserve">A reproducible Python model multiplies quantities by published emission factors (Appendices A and C). Plant quantities come from the Ostrołęka project information sheet (BWRX-300 Ostrołęka sp. z o.o., 2023, as reported in the project information sheet): 50,000 m³ of concrete and 14,000 t of steel per unit.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 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45" name="Picture"/>
            <a:graphic>
              <a:graphicData uri="http://schemas.openxmlformats.org/drawingml/2006/picture">
                <pic:pic>
                  <pic:nvPicPr>
                    <pic:cNvPr descr="/home/user/MTE4593-Group-Assignment/03_LCA_Calculations/results/F1_system_boundary.png" id="46" name="Picture"/>
                    <pic:cNvPicPr>
                      <a:picLocks noChangeArrowheads="1" noChangeAspect="1"/>
                    </pic:cNvPicPr>
                  </pic:nvPicPr>
                  <pic:blipFill>
                    <a:blip r:embed="rId44"/>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47"/>
    <w:bookmarkEnd w:id="48"/>
    <w:bookmarkStart w:id="52" w:name="baseline-and-hotspots"/>
    <w:p>
      <w:pPr>
        <w:pStyle w:val="Heading3"/>
      </w:pPr>
      <w:r>
        <w:t xml:space="preserve">6.2 Baseline and hotspots</w:t>
      </w:r>
    </w:p>
    <w:p>
      <w:pPr>
        <w:pStyle w:val="FirstParagraph"/>
      </w:pPr>
      <w:r>
        <w:t xml:space="preserve">One unit emits 4.40 g/kWh (median; 90% interval 3.24–6.05). With every input at its most likely value (the</w:t>
      </w:r>
      <w:r>
        <w:t xml:space="preserve"> </w:t>
      </w:r>
      <w:r>
        <w:t xml:space="preserve">“</w:t>
      </w:r>
      <w:r>
        <w:t xml:space="preserve">mode case</w:t>
      </w:r>
      <w:r>
        <w:t xml:space="preserve">”</w:t>
      </w:r>
      <w:r>
        <w:t xml:space="preserve">) it is 2.86; Section 6.4 explains the gap. On the expected basis (Figure F2):</w:t>
      </w:r>
    </w:p>
    <w:p>
      <w:pPr>
        <w:pStyle w:val="BodyText"/>
      </w:pPr>
      <w:r>
        <w:t xml:space="preserve">Mining and milling: 1.26 g/kWh (28%), low because Saskatchewan ores are high-grade (Parker, McNaughton and Sparrow, 2016). Conversion: 1.10 g/kWh (25%), 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 Back end: 0.65 g/kWh (15%), transferred from France, which reprocesses; Canada plans direct disposal (Nuclear Waste Management Organization, 2024a), so this may be high.</w:t>
      </w:r>
    </w:p>
    <w:p>
      <w:pPr>
        <w:pStyle w:val="BodyText"/>
      </w:pPr>
      <w:r>
        <w:t xml:space="preserve">The back end and decommissioning add 18%, O&amp;M 9% and construction 11.5% (0.52 g/kWh; 7.2–17.8% across draws). The C1-eligible concrete is only 1.9% of the mode-case total, so C1 acts on about one-fiftieth of the footprint.</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50" name="Picture"/>
            <a:graphic>
              <a:graphicData uri="http://schemas.openxmlformats.org/drawingml/2006/picture">
                <pic:pic>
                  <pic:nvPicPr>
                    <pic:cNvPr descr="/home/user/MTE4593-Group-Assignment/03_LCA_Calculations/results/F2_stage_breakdown.png" id="51" name="Picture"/>
                    <pic:cNvPicPr>
                      <a:picLocks noChangeArrowheads="1" noChangeAspect="1"/>
                    </pic:cNvPicPr>
                  </pic:nvPicPr>
                  <pic:blipFill>
                    <a:blip r:embed="rId49"/>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52"/>
    <w:bookmarkStart w:id="53" w:name="the-initiative-against-the-baseline"/>
    <w:p>
      <w:pPr>
        <w:pStyle w:val="Heading3"/>
      </w:pPr>
      <w:r>
        <w:t xml:space="preserve">6.3 The initiative against the baseline</w:t>
      </w:r>
    </w:p>
    <w:p>
      <w:pPr>
        <w:pStyle w:val="FirstParagraph"/>
      </w:pPr>
      <w:r>
        <w:t xml:space="preserve">C1 is low-clinker concrete: LC³ on eligible non-safety works first and on the steel-composite infill only if qualified, a slag blend as the fallback, specified only if schedule-neutral (Section 4.3). Pillai et al. (2019, as reported) give 380 kg CO₂e/m³ for ordinary concrete and 270 for LC³, a cut of 110 kg/m³ (28.9%). The eligible share is our scenario, not data, and drives the result. At 20, 40 and 60% of 50,000 m³, C1 saves 1,100, 2,200 and 3,300 t per unit, or 0.18, 0.36 and 0.54% of its life cycle (Table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Three findings follow, each with a consequence for the initiative. The saving is small at plant scale. It is about 0.016 g/kWh, so C1 does not change the plant’s climate case. It still exceeds the swing from the LC³ cut (1,672–2,964 t), the largest input other than eligibility. Its economic value is in Section 8.2. Slag is about as good as LC³, so the carbon case is for low-clinker concrete, not LC³ in particular. LC³ beats slag in only 55% of draws (median difference +54 t; 90% interval −588 to +766). If OPG’s baseline already contains slag, LC³’s gain is about −90 t, within noise. The specification should accept whichever binder qualifies first (Section 8.1).3. Lower-carbon steel is the larger lever but is not part of C1. Steel in the structures C1 targets saves only 566 t per unit (Appendix A7). All 14,000 t at best-practice electric-arc-furnace factors would save up to 3,915 t (1.8 times LC³), but this is an upper bound, not shown feasible for forgings and nuclear-grade plate. It is the next lever (Section 10). Schedule dominates. A delay of 11.6–18.5 days to one unit on Ontario’s average grid factor, or 1.7–1.8 days on the marginal factor, cancels its saving (Section 7.1; Appendix B5). C1 is therefore specified only if schedule-neutral (Section 8.6).</w:t>
      </w:r>
    </w:p>
    <w:p>
      <w:pPr>
        <w:pStyle w:val="BodyText"/>
      </w:pPr>
      <w:r>
        <w:t xml:space="preserve">For the triple-bottom-line evaluation (Section 9), C1 is environmentally positive but marginal; feasibility hinges on qualification and schedule.</w:t>
      </w:r>
    </w:p>
    <w:bookmarkEnd w:id="53"/>
    <w:bookmarkStart w:id="60"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t xml:space="preserve">The total depends on the fuel inputs, not the concrete (Figure F3). The largest swings are conversion heat (2.86 → 5.53 g/kWh), the mining factor (2.43 → 3.82) and the back end (2.58 → 3.41). No concrete input moves the total by more than 0.06 g/kWh. The saving depends on four inputs: 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55" name="Picture"/>
            <a:graphic>
              <a:graphicData uri="http://schemas.openxmlformats.org/drawingml/2006/picture">
                <pic:pic>
                  <pic:nvPicPr>
                    <pic:cNvPr descr="/home/user/MTE4593-Group-Assignment/03_LCA_Calculations/results/F3_tornado.png" id="56" name="Picture"/>
                    <pic:cNvPicPr>
                      <a:picLocks noChangeArrowheads="1" noChangeAspect="1"/>
                    </pic:cNvPicPr>
                  </pic:nvPicPr>
                  <pic:blipFill>
                    <a:blip r:embed="rId54"/>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t xml:space="preserve">Monte Carlo (Figure F4): why we report 4.4, not 2.9. Several inputs can mostly only rise: conversion heat is most likely 26 kWh/kg U but could be 665, which alone adds about 1.0 g/kWh to the mean (Appendix C5). We therefore quote the median. The headline depends on how conversion heat is distributed: fixed at Gibon and Hahn Menacho’s (2023) central 26 kWh/kg U, the median is 3.51 g/kWh (2.80–4.39); log-uniform over 26–665, 4.11 (3.06–6.12). We quote the range of medians, 3.51–4.40.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58" name="Picture"/>
            <a:graphic>
              <a:graphicData uri="http://schemas.openxmlformats.org/drawingml/2006/picture">
                <pic:pic>
                  <pic:nvPicPr>
                    <pic:cNvPr descr="/home/user/MTE4593-Group-Assignment/03_LCA_Calculations/results/F4_montecarlo.png" id="59" name="Picture"/>
                    <pic:cNvPicPr>
                      <a:picLocks noChangeArrowheads="1" noChangeAspect="1"/>
                    </pic:cNvPicPr>
                  </pic:nvPicPr>
                  <pic:blipFill>
                    <a:blip r:embed="rId57"/>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60"/>
    <w:bookmarkStart w:id="64" w:name="comparison-with-published-values"/>
    <w:p>
      <w:pPr>
        <w:pStyle w:val="Heading3"/>
      </w:pPr>
      <w:r>
        <w:t xml:space="preserve">6.5 Comparison with published values</w:t>
      </w:r>
    </w:p>
    <w:p>
      <w:pPr>
        <w:pStyle w:val="FirstParagraph"/>
      </w:pPr>
      <w:r>
        <w:t xml:space="preserve">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t xml:space="preserve">Three reasons explain most of the gap (sizes in Appendix C7): Ore grade: our mining is 1.0–1.3 g/kWh, against about 2.8 at global-average grades (Gibon and Hahn Menacho, 2023). Enrichment: centrifuges at 50 kWh per separative work unit, against about 2,500 for the diffusion plants in older study sets. Cut-offs and long life: 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Section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62" name="Picture"/>
            <a:graphic>
              <a:graphicData uri="http://schemas.openxmlformats.org/drawingml/2006/picture">
                <pic:pic>
                  <pic:nvPicPr>
                    <pic:cNvPr descr="/home/user/MTE4593-Group-Assignment/03_LCA_Calculations/results/F5_benchmarks.png" id="63" name="Picture"/>
                    <pic:cNvPicPr>
                      <a:picLocks noChangeArrowheads="1" noChangeAspect="1"/>
                    </pic:cNvPicPr>
                  </pic:nvPicPr>
                  <pic:blipFill>
                    <a:blip r:embed="rId61"/>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64"/>
    <w:bookmarkEnd w:id="65"/>
    <w:bookmarkStart w:id="75" w:name="X6fbd7bed400e38904dc2c5d634c7832d9e25d90"/>
    <w:p>
      <w:pPr>
        <w:pStyle w:val="Heading2"/>
      </w:pPr>
      <w:r>
        <w:t xml:space="preserve">7 Carbon avoided: Ontario vs Liddell, the value of schedule, and the same money on firmed renewables</w:t>
      </w:r>
    </w:p>
    <w:p>
      <w:pPr>
        <w:pStyle w:val="FirstParagraph"/>
      </w:pPr>
      <w:r>
        <w:t xml:space="preserve">For C1, schedule matters far more than concrete. A one-month slip of Units 2–4 costs C$33–110 m in carrying cost alone, 29–175 times the carbon value of C1’s whole saving, and defers about C$88 m of output. C1’s 2,200 t per unit (1,100–3,300; Section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66"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t xml:space="preserve">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Section 8.2), so no one is paid for it. Schedule neutrality is therefore the binding condition on C1. The mix must be qualified on Unit 1 mock-ups before the Units 2–4 decision expected in 2028 (Section 8.6).</w:t>
      </w:r>
    </w:p>
    <w:bookmarkEnd w:id="66"/>
    <w:bookmarkStart w:id="70" w:name="Xb77cf30fc1ffb1f20fb94e7af23c490604b5f45"/>
    <w:p>
      <w:pPr>
        <w:pStyle w:val="Heading3"/>
      </w:pPr>
      <w:r>
        <w:t xml:space="preserve">7.2 What one BWRX-300 displaces: Darlington vs Liddell</w:t>
      </w:r>
    </w:p>
    <w:p>
      <w:pPr>
        <w:pStyle w:val="FirstParagraph"/>
      </w:pPr>
      <w:r>
        <w:t xml:space="preserve">At today’s grid factors, a unit at Liddell would avoid about nine times more CO₂e than one at Darlington. Timing closes most of that gap. 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 1.0–6.8 Mt and Liddell 0.67–3.9 Mt.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(Section 1).</w:t>
      </w:r>
    </w:p>
    <w:p>
      <w:pPr>
        <w:pStyle w:val="BodyText"/>
      </w:pPr>
      <w:r>
        <w:t xml:space="preserve">An SMR’s climate value depends on when it runs and what it displaces, not on today’s coal share. 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68" name="Picture"/>
            <a:graphic>
              <a:graphicData uri="http://schemas.openxmlformats.org/drawingml/2006/picture">
                <pic:pic>
                  <pic:nvPicPr>
                    <pic:cNvPr descr="/home/user/MTE4593-Group-Assignment/03_LCA_Calculations/results/F6_displacement.png" id="69" name="Picture"/>
                    <pic:cNvPicPr>
                      <a:picLocks noChangeArrowheads="1" noChangeAspect="1"/>
                    </pic:cNvPicPr>
                  </pic:nvPicPr>
                  <pic:blipFill>
                    <a:blip r:embed="rId67"/>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70"/>
    <w:bookmarkStart w:id="74" w:name="the-same-money-on-firmed-renewables"/>
    <w:p>
      <w:pPr>
        <w:pStyle w:val="Heading3"/>
      </w:pPr>
      <w:r>
        <w:t xml:space="preserve">7.3 The same money on firmed renewables</w:t>
      </w:r>
    </w:p>
    <w:p>
      <w:pPr>
        <w:pStyle w:val="FirstParagraph"/>
      </w:pPr>
      <w: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 10.9× 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 On carbon per dollar, an SMR at Liddell loses. Its case rests on firm supply, land use, system security and a hedge against renewables or transmission falling behind, which Section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72" name="Picture"/>
            <a:graphic>
              <a:graphicData uri="http://schemas.openxmlformats.org/drawingml/2006/picture">
                <pic:pic>
                  <pic:nvPicPr>
                    <pic:cNvPr descr="/home/user/MTE4593-Group-Assignment/03_LCA_Calculations/results/F7_same_money.png" id="73" name="Picture"/>
                    <pic:cNvPicPr>
                      <a:picLocks noChangeArrowheads="1" noChangeAspect="1"/>
                    </pic:cNvPicPr>
                  </pic:nvPicPr>
                  <pic:blipFill>
                    <a:blip r:embed="rId71"/>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74"/>
    <w:bookmarkEnd w:id="75"/>
    <w:bookmarkStart w:id="98" w:name="Xabf1823ab98fa71e358698492c3b3ca10e02619"/>
    <w:p>
      <w:pPr>
        <w:pStyle w:val="Heading2"/>
      </w:pPr>
      <w:r>
        <w:t xml:space="preserve">8 Non-technical factors affecting translation to practice</w:t>
      </w:r>
    </w:p>
    <w:bookmarkStart w:id="79"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bookmarkStart w:id="76" w:name="australia"/>
    <w:p>
      <w:pPr>
        <w:pStyle w:val="Heading4"/>
      </w:pPr>
      <w:r>
        <w:t xml:space="preserve">Australia</w:t>
      </w:r>
    </w:p>
    <w:p>
      <w:pPr>
        <w:pStyle w:val="FirstParagraph"/>
      </w:pP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bookmarkEnd w:id="76"/>
    <w:bookmarkStart w:id="77" w:name="canada"/>
    <w:p>
      <w:pPr>
        <w:pStyle w:val="Heading4"/>
      </w:pPr>
      <w:r>
        <w:t xml:space="preserve">Canada</w:t>
      </w:r>
    </w:p>
    <w:p>
      <w:pPr>
        <w:pStyle w:val="FirstParagraph"/>
      </w:pPr>
      <w:r>
        <w:t xml:space="preserve">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p>
    <w:bookmarkEnd w:id="77"/>
    <w:bookmarkStart w:id="78" w:name="translation-to-practice"/>
    <w:p>
      <w:pPr>
        <w:pStyle w:val="Heading4"/>
      </w:pPr>
      <w:r>
        <w:t xml:space="preserve">Translation to practice</w:t>
      </w:r>
    </w:p>
    <w:p>
      <w:pPr>
        <w:pStyle w:val="FirstParagraph"/>
      </w:pPr>
      <w:r>
        <w:t xml:space="preserve">The non-safety pilot needs no nuclear qualification. Infill qualification must start in 2027, with slag (S1) as the fallback (Section 8.6). At Liddell the barrier precedes any materials choice: none of these first-order barriers can be solved by changing Portland cement to LC³.</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(CNSC, 2026a)</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78"/>
    <w:bookmarkEnd w:id="79"/>
    <w:bookmarkStart w:id="84"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bookmarkStart w:id="80" w:name="cost"/>
    <w:p>
      <w:pPr>
        <w:pStyle w:val="Heading4"/>
      </w:pPr>
      <w:r>
        <w:t xml:space="preserve">Cost</w:t>
      </w:r>
    </w:p>
    <w:p>
      <w:pPr>
        <w:pStyle w:val="FirstParagraph"/>
      </w:pP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T9).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bookmarkEnd w:id="80"/>
    <w:bookmarkStart w:id="81" w:name="risk-and-finance"/>
    <w:p>
      <w:pPr>
        <w:pStyle w:val="Heading4"/>
      </w:pPr>
      <w:r>
        <w:t xml:space="preserve">Risk and finance</w:t>
      </w:r>
    </w:p>
    <w:p>
      <w:pPr>
        <w:pStyle w:val="FirstParagraph"/>
      </w:pPr>
      <w:r>
        <w:t xml:space="preserve">NuScale’s Idaho project shows what happens when buyers carry overrun risk: its price rose about 35% in real terms even after tax credits, the Utah utilities did not subscribe, and it was cancelled in 2023 (Table T9). Darlington avoids this with a single Crown owner and a regulated rate base; public and First Nations finance covers about 22% of the budget (Section 8.5).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bookmarkEnd w:id="81"/>
    <w:bookmarkStart w:id="82" w:name="barriers-to-entry"/>
    <w:p>
      <w:pPr>
        <w:pStyle w:val="Heading4"/>
      </w:pPr>
      <w:r>
        <w:t xml:space="preserve">Barriers to entry</w:t>
      </w:r>
    </w:p>
    <w:p>
      <w:pPr>
        <w:pStyle w:val="FirstParagraph"/>
      </w:pPr>
      <w:r>
        <w:t xml:space="preserve">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bookmarkEnd w:id="82"/>
    <w:bookmarkStart w:id="83" w:name="the-initiative-c1-1"/>
    <w:p>
      <w:pPr>
        <w:pStyle w:val="Heading4"/>
      </w:pPr>
      <w:r>
        <w:t xml:space="preserve">The initiative (C1)</w:t>
      </w:r>
    </w:p>
    <w:p>
      <w:pPr>
        <w:pStyle w:val="FirstParagraph"/>
      </w:pPr>
      <w:r>
        <w:t xml:space="preserve">LC³ saves 6,600 t CO₂e across Units 2–4 (2,200 t a unit; Section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T8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8.6 (Table T13).</w:t>
      </w:r>
    </w:p>
    <w:p>
      <w:pPr>
        <w:pStyle w:val="BodyText"/>
      </w:pPr>
      <w:r>
        <w:rPr>
          <w:iCs/>
          <w:i/>
        </w:rPr>
        <w:t xml:space="preserve">Table T8. Material-only cost of an LC³ premium on 20,000 m³ of eligible concrete per unit, against 2,200 t CO₂e saved.</w:t>
      </w:r>
      <w:r>
        <w:t xml:space="preserve"> </w:t>
      </w:r>
      <w:r>
        <w:rPr>
          <w:iCs/>
          <w:i/>
        </w:rPr>
        <w:t xml:space="preserve">Source: this study; premiums assumed. Carbon price from Environment and Climate Change Canada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Premium</w:t>
            </w:r>
          </w:p>
        </w:tc>
        <w:tc>
          <w:tcPr/>
          <w:p>
            <w:pPr>
              <w:pStyle w:val="Compact"/>
              <w:jc w:val="left"/>
            </w:pPr>
            <w:r>
              <w:t xml:space="preserve">Extra cost per unit</w:t>
            </w:r>
          </w:p>
        </w:tc>
        <w:tc>
          <w:tcPr/>
          <w:p>
            <w:pPr>
              <w:pStyle w:val="Compact"/>
              <w:jc w:val="left"/>
            </w:pPr>
            <w:r>
              <w:t xml:space="preserve">Per t CO₂e saved</w:t>
            </w:r>
          </w:p>
        </w:tc>
        <w:tc>
          <w:tcPr/>
          <w:p>
            <w:pPr>
              <w:pStyle w:val="Compact"/>
              <w:jc w:val="left"/>
            </w:pPr>
            <w:r>
              <w:t xml:space="preserve">Against C$95–115/t</w:t>
            </w:r>
          </w:p>
        </w:tc>
      </w:tr>
      <w:tr>
        <w:tc>
          <w:tcPr/>
          <w:p>
            <w:pPr>
              <w:pStyle w:val="Compact"/>
              <w:jc w:val="left"/>
            </w:pPr>
            <w:r>
              <w:t xml:space="preserve">C$0/m³</w:t>
            </w:r>
          </w:p>
        </w:tc>
        <w:tc>
          <w:tcPr/>
          <w:p>
            <w:pPr>
              <w:pStyle w:val="Compact"/>
              <w:jc w:val="left"/>
            </w:pPr>
            <w:r>
              <w:t xml:space="preserve">C$0</w:t>
            </w:r>
          </w:p>
        </w:tc>
        <w:tc>
          <w:tcPr/>
          <w:p>
            <w:pPr>
              <w:pStyle w:val="Compact"/>
              <w:jc w:val="left"/>
            </w:pPr>
            <w:r>
              <w:t xml:space="preserve">C$0</w:t>
            </w:r>
          </w:p>
        </w:tc>
        <w:tc>
          <w:tcPr/>
          <w:p>
            <w:pPr>
              <w:pStyle w:val="Compact"/>
              <w:jc w:val="left"/>
            </w:pPr>
            <w:r>
              <w:t xml:space="preserve">Free</w:t>
            </w:r>
          </w:p>
        </w:tc>
      </w:tr>
      <w:tr>
        <w:tc>
          <w:tcPr/>
          <w:p>
            <w:pPr>
              <w:pStyle w:val="Compact"/>
              <w:jc w:val="left"/>
            </w:pPr>
            <w:r>
              <w:t xml:space="preserve">C$10/m³</w:t>
            </w:r>
          </w:p>
        </w:tc>
        <w:tc>
          <w:tcPr/>
          <w:p>
            <w:pPr>
              <w:pStyle w:val="Compact"/>
              <w:jc w:val="left"/>
            </w:pPr>
            <w:r>
              <w:t xml:space="preserve">C$0.2 m</w:t>
            </w:r>
          </w:p>
        </w:tc>
        <w:tc>
          <w:tcPr/>
          <w:p>
            <w:pPr>
              <w:pStyle w:val="Compact"/>
              <w:jc w:val="left"/>
            </w:pPr>
            <w:r>
              <w:t xml:space="preserve">C$91</w:t>
            </w:r>
          </w:p>
        </w:tc>
        <w:tc>
          <w:tcPr/>
          <w:p>
            <w:pPr>
              <w:pStyle w:val="Compact"/>
              <w:jc w:val="left"/>
            </w:pPr>
            <w:r>
              <w:t xml:space="preserve">Below the price</w:t>
            </w:r>
          </w:p>
        </w:tc>
      </w:tr>
      <w:tr>
        <w:tc>
          <w:tcPr/>
          <w:p>
            <w:pPr>
              <w:pStyle w:val="Compact"/>
              <w:jc w:val="left"/>
            </w:pPr>
            <w:r>
              <w:t xml:space="preserve">C$25/m³</w:t>
            </w:r>
          </w:p>
        </w:tc>
        <w:tc>
          <w:tcPr/>
          <w:p>
            <w:pPr>
              <w:pStyle w:val="Compact"/>
              <w:jc w:val="left"/>
            </w:pPr>
            <w:r>
              <w:t xml:space="preserve">C$0.5 m</w:t>
            </w:r>
          </w:p>
        </w:tc>
        <w:tc>
          <w:tcPr/>
          <w:p>
            <w:pPr>
              <w:pStyle w:val="Compact"/>
              <w:jc w:val="left"/>
            </w:pPr>
            <w:r>
              <w:t xml:space="preserve">C$227</w:t>
            </w:r>
          </w:p>
        </w:tc>
        <w:tc>
          <w:tcPr/>
          <w:p>
            <w:pPr>
              <w:pStyle w:val="Compact"/>
              <w:jc w:val="left"/>
            </w:pPr>
            <w:r>
              <w:t xml:space="preserve">Above the price</w:t>
            </w:r>
          </w:p>
        </w:tc>
      </w:tr>
      <w:tr>
        <w:tc>
          <w:tcPr/>
          <w:p>
            <w:pPr>
              <w:pStyle w:val="Compact"/>
              <w:jc w:val="left"/>
            </w:pPr>
            <w:r>
              <w:t xml:space="preserve">C$50/m³</w:t>
            </w:r>
          </w:p>
        </w:tc>
        <w:tc>
          <w:tcPr/>
          <w:p>
            <w:pPr>
              <w:pStyle w:val="Compact"/>
              <w:jc w:val="left"/>
            </w:pPr>
            <w:r>
              <w:t xml:space="preserve">C$1.0 m</w:t>
            </w:r>
          </w:p>
        </w:tc>
        <w:tc>
          <w:tcPr/>
          <w:p>
            <w:pPr>
              <w:pStyle w:val="Compact"/>
              <w:jc w:val="left"/>
            </w:pPr>
            <w:r>
              <w:t xml:space="preserve">C$455</w:t>
            </w:r>
          </w:p>
        </w:tc>
        <w:tc>
          <w:tcPr/>
          <w:p>
            <w:pPr>
              <w:pStyle w:val="Compact"/>
              <w:jc w:val="left"/>
            </w:pPr>
            <w:r>
              <w:t xml:space="preserve">Above the price</w:t>
            </w:r>
          </w:p>
        </w:tc>
      </w:tr>
    </w:tbl>
    <w:p>
      <w:pPr>
        <w:pStyle w:val="BodyText"/>
      </w:pPr>
      <w:r>
        <w:rPr>
          <w:iCs/>
          <w:i/>
        </w:rPr>
        <w:t xml:space="preserve">Table T9.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83"/>
    <w:bookmarkEnd w:id="84"/>
    <w:bookmarkStart w:id="88"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Section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T10). For Darlington this is a price risk; for an Australian SMR it is a sovereign risk.</w:t>
      </w:r>
    </w:p>
    <w:bookmarkStart w:id="85" w:name="sanctions-make-it-worse"/>
    <w:p>
      <w:pPr>
        <w:pStyle w:val="Heading4"/>
      </w:pPr>
      <w:r>
        <w:t xml:space="preserve">Sanctions make it worse</w:t>
      </w:r>
    </w:p>
    <w:p>
      <w:pPr>
        <w:pStyle w:val="FirstParagraph"/>
      </w:pP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bookmarkEnd w:id="85"/>
    <w:bookmarkStart w:id="86" w:name="darlington-and-liddell-compared"/>
    <w:p>
      <w:pPr>
        <w:pStyle w:val="Heading4"/>
      </w:pPr>
      <w:r>
        <w:t xml:space="preserve">Darlington and Liddell compared</w:t>
      </w:r>
    </w:p>
    <w:p>
      <w:pPr>
        <w:pStyle w:val="FirstParagraph"/>
      </w:pP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bookmarkEnd w:id="86"/>
    <w:bookmarkStart w:id="87" w:name="translation-to-practice-1"/>
    <w:p>
      <w:pPr>
        <w:pStyle w:val="Heading4"/>
      </w:pPr>
      <w:r>
        <w:t xml:space="preserve">Translation to practice</w:t>
      </w:r>
    </w:p>
    <w:p>
      <w:pPr>
        <w:pStyle w:val="FirstParagraph"/>
      </w:pPr>
      <w:r>
        <w:t xml:space="preserve">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(Section 8.6).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(Section 10).</w:t>
      </w:r>
    </w:p>
    <w:p>
      <w:pPr>
        <w:pStyle w:val="BodyText"/>
      </w:pPr>
      <w:r>
        <w:rPr>
          <w:iCs/>
          <w:i/>
        </w:rPr>
        <w:t xml:space="preserve">Table T10.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87"/>
    <w:bookmarkEnd w:id="88"/>
    <w:bookmarkStart w:id="91"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T11).</w:t>
      </w:r>
    </w:p>
    <w:bookmarkStart w:id="89" w:name="perceived-and-actual-safety"/>
    <w:p>
      <w:pPr>
        <w:pStyle w:val="Heading4"/>
      </w:pPr>
      <w:r>
        <w:t xml:space="preserve">Perceived and actual safety</w:t>
      </w:r>
    </w:p>
    <w:p>
      <w:pPr>
        <w:pStyle w:val="FirstParagraph"/>
      </w:pP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(Section 7), depends on what the reactor displaces.</w:t>
      </w:r>
    </w:p>
    <w:p>
      <w:pPr>
        <w:pStyle w:val="BodyText"/>
      </w:pPr>
      <w:r>
        <w:t xml:space="preserve">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bookmarkEnd w:id="89"/>
    <w:bookmarkStart w:id="90" w:name="translation-to-practice-2"/>
    <w:p>
      <w:pPr>
        <w:pStyle w:val="Heading4"/>
      </w:pPr>
      <w:r>
        <w:t xml:space="preserve">Translation to practice</w:t>
      </w:r>
    </w:p>
    <w:p>
      <w:pPr>
        <w:pStyle w:val="FirstParagraph"/>
      </w:pPr>
      <w:r>
        <w:t xml:space="preserve">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(Section 8.6).</w:t>
      </w:r>
    </w:p>
    <w:p>
      <w:pPr>
        <w:pStyle w:val="BodyText"/>
      </w:pPr>
      <w:r>
        <w:rPr>
          <w:iCs/>
          <w:i/>
        </w:rPr>
        <w:t xml:space="preserve">Table T11.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90"/>
    <w:bookmarkEnd w:id="91"/>
    <w:bookmarkStart w:id="95"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Table T12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(Section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(Section 8.2). None is opposed, but none yet has a reason to act; the tranche condition supplies one (Section 8.6). Contractors and suppliers then decide whether LC³ is deliverable.</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Sections 8.1–8.4. Source: this study, Appendix B8.2." title="" id="93" name="Picture"/>
            <a:graphic>
              <a:graphicData uri="http://schemas.openxmlformats.org/drawingml/2006/picture">
                <pic:pic>
                  <pic:nvPicPr>
                    <pic:cNvPr descr="/home/user/MTE4593-Group-Assignment/03_LCA_Calculations/results/F8_stakeholder_map.png" id="94" name="Picture"/>
                    <pic:cNvPicPr>
                      <a:picLocks noChangeArrowheads="1" noChangeAspect="1"/>
                    </pic:cNvPicPr>
                  </pic:nvPicPr>
                  <pic:blipFill>
                    <a:blip r:embed="rId92"/>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Sections 8.1–8.4. Source: this study, Appendix B8.2.</w:t>
      </w:r>
    </w:p>
    <w:p>
      <w:pPr>
        <w:pStyle w:val="BodyText"/>
      </w:pPr>
      <w:r>
        <w:rPr>
          <w:iCs/>
          <w:i/>
        </w:rPr>
        <w:t xml:space="preserve">Table T12. Stakeholders at the C$20.9 bn Darlington New Nuclear Project: influence, interest in C1, and money.</w:t>
      </w:r>
      <w:r>
        <w:t xml:space="preserve"> </w:t>
      </w:r>
      <w:r>
        <w:rPr>
          <w:iCs/>
          <w:i/>
        </w:rPr>
        <w:t xml:space="preserve">Source: influence ratings and interests are our qualitative judgement, not survey data; money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Influence</w:t>
            </w:r>
          </w:p>
        </w:tc>
        <w:tc>
          <w:tcPr/>
          <w:p>
            <w:pPr>
              <w:pStyle w:val="Compact"/>
              <w:jc w:val="left"/>
            </w:pPr>
            <w:r>
              <w:t xml:space="preserve">Primary interest and suitable response for C1</w:t>
            </w:r>
          </w:p>
        </w:tc>
        <w:tc>
          <w:tcPr/>
          <w:p>
            <w:pPr>
              <w:pStyle w:val="Compact"/>
              <w:jc w:val="left"/>
            </w:pPr>
            <w:r>
              <w:t xml:space="preserve">Money (share of budget)</w:t>
            </w:r>
          </w:p>
        </w:tc>
      </w:tr>
      <w:tr>
        <w:tc>
          <w:tcPr/>
          <w:p>
            <w:pPr>
              <w:pStyle w:val="Compact"/>
              <w:jc w:val="left"/>
            </w:pPr>
            <w:r>
              <w:t xml:space="preserve">OPG and its design authority</w:t>
            </w:r>
          </w:p>
        </w:tc>
        <w:tc>
          <w:tcPr/>
          <w:p>
            <w:pPr>
              <w:pStyle w:val="Compact"/>
              <w:jc w:val="left"/>
            </w:pPr>
            <w:r>
              <w:t xml:space="preserve">Very high</w:t>
            </w:r>
          </w:p>
        </w:tc>
        <w:tc>
          <w:tcPr/>
          <w:p>
            <w:pPr>
              <w:pStyle w:val="Compact"/>
              <w:jc w:val="left"/>
            </w:pPr>
            <w:r>
              <w:t xml:space="preserve">Safety, eligible concrete scope, budgets, delivery; oversee qualification and a fallback mix</w:t>
            </w:r>
          </w:p>
        </w:tc>
        <w:tc>
          <w:tcPr/>
          <w:p>
            <w:pPr>
              <w:pStyle w:val="Compact"/>
              <w:jc w:val="left"/>
            </w:pPr>
            <w:r>
              <w:t xml:space="preserve">Pays C$16.2 bn (78%), repaid by Ontario ratepayers through Ontario Energy Board-approved rates (Ontario Power Generation, 2025b)</w:t>
            </w:r>
          </w:p>
        </w:tc>
      </w:tr>
      <w:tr>
        <w:tc>
          <w:tcPr/>
          <w:p>
            <w:pPr>
              <w:pStyle w:val="Compact"/>
              <w:jc w:val="left"/>
            </w:pPr>
            <w:r>
              <w:t xml:space="preserve">CNSC</w:t>
            </w:r>
          </w:p>
        </w:tc>
        <w:tc>
          <w:tcPr/>
          <w:p>
            <w:pPr>
              <w:pStyle w:val="Compact"/>
              <w:jc w:val="left"/>
            </w:pPr>
            <w:r>
              <w:t xml:space="preserve">Very high</w:t>
            </w:r>
          </w:p>
        </w:tc>
        <w:tc>
          <w:tcPr/>
          <w:p>
            <w:pPr>
              <w:pStyle w:val="Compact"/>
              <w:jc w:val="left"/>
            </w:pPr>
            <w:r>
              <w:t xml:space="preserve">Independent compliance and safety case; evaluate material changes where applicable</w:t>
            </w:r>
          </w:p>
        </w:tc>
        <w:tc>
          <w:tcPr/>
          <w:p>
            <w:pPr>
              <w:pStyle w:val="Compact"/>
              <w:jc w:val="left"/>
            </w:pPr>
            <w:r>
              <w:t xml:space="preserve">None</w:t>
            </w:r>
          </w:p>
        </w:tc>
      </w:tr>
      <w:tr>
        <w:tc>
          <w:tcPr/>
          <w:p>
            <w:pPr>
              <w:pStyle w:val="Compact"/>
              <w:jc w:val="left"/>
            </w:pPr>
            <w:r>
              <w:t xml:space="preserve">Williams Treaties First Nations and other rights holders</w:t>
            </w:r>
          </w:p>
        </w:tc>
        <w:tc>
          <w:tcPr/>
          <w:p>
            <w:pPr>
              <w:pStyle w:val="Compact"/>
              <w:jc w:val="left"/>
            </w:pPr>
            <w:r>
              <w:t xml:space="preserve">High</w:t>
            </w:r>
          </w:p>
        </w:tc>
        <w:tc>
          <w:tcPr/>
          <w:p>
            <w:pPr>
              <w:pStyle w:val="Compact"/>
              <w:jc w:val="left"/>
            </w:pPr>
            <w:r>
              <w:t xml:space="preserve">Long-term participation, cultural and environmental interests; rights-respecting engagement</w:t>
            </w:r>
          </w:p>
        </w:tc>
        <w:tc>
          <w:tcPr/>
          <w:p>
            <w:pPr>
              <w:pStyle w:val="Compact"/>
              <w:jc w:val="left"/>
            </w:pPr>
            <w:r>
              <w:t xml:space="preserve">Loan converting to equity, C$0.70 bn (3.3%); guarantors carry default risk (Williams Treaties First Nations et al., 2026)</w:t>
            </w:r>
          </w:p>
        </w:tc>
      </w:tr>
      <w:tr>
        <w:tc>
          <w:tcPr/>
          <w:p>
            <w:pPr>
              <w:pStyle w:val="Compact"/>
              <w:jc w:val="left"/>
            </w:pPr>
            <w:r>
              <w:t xml:space="preserve">Public financiers and investors</w:t>
            </w:r>
          </w:p>
        </w:tc>
        <w:tc>
          <w:tcPr/>
          <w:p>
            <w:pPr>
              <w:pStyle w:val="Compact"/>
              <w:jc w:val="left"/>
            </w:pPr>
            <w:r>
              <w:t xml:space="preserve">High</w:t>
            </w:r>
          </w:p>
        </w:tc>
        <w:tc>
          <w:tcPr/>
          <w:p>
            <w:pPr>
              <w:pStyle w:val="Compact"/>
              <w:jc w:val="left"/>
            </w:pPr>
            <w:r>
              <w:t xml:space="preserve">Investment risk, delivery milestones, lower-carbon economic development</w:t>
            </w:r>
          </w:p>
        </w:tc>
        <w:tc>
          <w:tcPr/>
          <w:p>
            <w:pPr>
              <w:pStyle w:val="Compact"/>
              <w:jc w:val="left"/>
            </w:pPr>
            <w:r>
              <w:t xml:space="preserve">Canada Infrastructure Bank Phase 1 loan, C$0.97 bn (4.6%) (Canada Infrastructure Bank, 2022); equity in two tranches, C$3.0 bn (14.4%), for stakes of up to 15% and 7.5% (Canada Growth Fund and Building Ontario Fund, 2025)</w:t>
            </w:r>
          </w:p>
        </w:tc>
      </w:tr>
      <w:tr>
        <w:tc>
          <w:tcPr/>
          <w:p>
            <w:pPr>
              <w:pStyle w:val="Compact"/>
              <w:jc w:val="left"/>
            </w:pPr>
            <w:r>
              <w:t xml:space="preserve">Contractors, ready-mix and clay suppliers</w:t>
            </w:r>
          </w:p>
        </w:tc>
        <w:tc>
          <w:tcPr/>
          <w:p>
            <w:pPr>
              <w:pStyle w:val="Compact"/>
              <w:jc w:val="left"/>
            </w:pPr>
            <w:r>
              <w:t xml:space="preserve">High</w:t>
            </w:r>
          </w:p>
        </w:tc>
        <w:tc>
          <w:tcPr/>
          <w:p>
            <w:pPr>
              <w:pStyle w:val="Compact"/>
              <w:jc w:val="left"/>
            </w:pPr>
            <w:r>
              <w:t xml:space="preserve">Constructability, price, traceability, warranties, continuous quality testing</w:t>
            </w:r>
          </w:p>
        </w:tc>
        <w:tc>
          <w:tcPr/>
          <w:p>
            <w:pPr>
              <w:pStyle w:val="Compact"/>
              <w:jc w:val="left"/>
            </w:pPr>
            <w:r>
              <w:t xml:space="preserve">Earn the construction revenue, with GE Vernova Hitachi</w:t>
            </w:r>
          </w:p>
        </w:tc>
      </w:tr>
      <w:tr>
        <w:tc>
          <w:tcPr/>
          <w:p>
            <w:pPr>
              <w:pStyle w:val="Compact"/>
              <w:jc w:val="left"/>
            </w:pPr>
            <w:r>
              <w:t xml:space="preserve">Clarington residents and electricity customers</w:t>
            </w:r>
          </w:p>
        </w:tc>
        <w:tc>
          <w:tcPr/>
          <w:p>
            <w:pPr>
              <w:pStyle w:val="Compact"/>
              <w:jc w:val="left"/>
            </w:pPr>
            <w:r>
              <w:t xml:space="preserve">Medium–high</w:t>
            </w:r>
          </w:p>
        </w:tc>
        <w:tc>
          <w:tcPr/>
          <w:p>
            <w:pPr>
              <w:pStyle w:val="Compact"/>
              <w:jc w:val="left"/>
            </w:pPr>
            <w:r>
              <w:t xml:space="preserve">Air and water impacts, transparent reporting, cost and reliability</w:t>
            </w:r>
          </w:p>
        </w:tc>
        <w:tc>
          <w:tcPr/>
          <w:p>
            <w:pPr>
              <w:pStyle w:val="Compact"/>
              <w:jc w:val="left"/>
            </w:pPr>
            <w:r>
              <w:t xml:space="preserve">Repay OPG’s share through rates</w:t>
            </w:r>
          </w:p>
        </w:tc>
      </w:tr>
      <w:tr>
        <w:tc>
          <w:tcPr/>
          <w:p>
            <w:pPr>
              <w:pStyle w:val="Compact"/>
              <w:jc w:val="left"/>
            </w:pPr>
            <w:r>
              <w:t xml:space="preserve">Workers, unions and laboratories</w:t>
            </w:r>
          </w:p>
        </w:tc>
        <w:tc>
          <w:tcPr/>
          <w:p>
            <w:pPr>
              <w:pStyle w:val="Compact"/>
              <w:jc w:val="left"/>
            </w:pPr>
            <w:r>
              <w:t xml:space="preserve">Medium–high</w:t>
            </w:r>
          </w:p>
        </w:tc>
        <w:tc>
          <w:tcPr/>
          <w:p>
            <w:pPr>
              <w:pStyle w:val="Compact"/>
              <w:jc w:val="left"/>
            </w:pPr>
            <w:r>
              <w:t xml:space="preserve">Occupational safety, training, testing, reliable construction procedures</w:t>
            </w:r>
          </w:p>
        </w:tc>
        <w:tc>
          <w:tcPr/>
          <w:p>
            <w:pPr>
              <w:pStyle w:val="Compact"/>
              <w:jc w:val="left"/>
            </w:pPr>
            <w:r>
              <w:t xml:space="preserve">About 1,600 construction jobs per SMR (Section 8.4)</w:t>
            </w:r>
          </w:p>
        </w:tc>
      </w:tr>
      <w:tr>
        <w:tc>
          <w:tcPr/>
          <w:p>
            <w:pPr>
              <w:pStyle w:val="Compact"/>
              <w:jc w:val="left"/>
            </w:pPr>
            <w:r>
              <w:t xml:space="preserve">NWMO and waste managers</w:t>
            </w:r>
          </w:p>
        </w:tc>
        <w:tc>
          <w:tcPr/>
          <w:p>
            <w:pPr>
              <w:pStyle w:val="Compact"/>
              <w:jc w:val="left"/>
            </w:pPr>
            <w:r>
              <w:t xml:space="preserve">Medium</w:t>
            </w:r>
          </w:p>
        </w:tc>
        <w:tc>
          <w:tcPr/>
          <w:p>
            <w:pPr>
              <w:pStyle w:val="Compact"/>
              <w:jc w:val="left"/>
            </w:pPr>
            <w:r>
              <w:t xml:space="preserve">Long-term waste stewardship; funded end-of-life obligations</w:t>
            </w:r>
          </w:p>
        </w:tc>
        <w:tc>
          <w:tcPr/>
          <w:p>
            <w:pPr>
              <w:pStyle w:val="Compact"/>
              <w:jc w:val="left"/>
            </w:pPr>
            <w:r>
              <w:t xml:space="preserve">Producer-funded (Section 8.4)</w:t>
            </w:r>
          </w:p>
        </w:tc>
      </w:tr>
    </w:tbl>
    <w:p>
      <w:r>
        <w:pict>
          <v:rect style="width:0;height:1.5pt" o:hralign="center" o:hrstd="t" o:hr="t"/>
        </w:pict>
      </w:r>
    </w:p>
    <w:bookmarkEnd w:id="95"/>
    <w:bookmarkStart w:id="97" w:name="implementation-pathway"/>
    <w:p>
      <w:pPr>
        <w:pStyle w:val="Heading3"/>
      </w:pPr>
      <w:r>
        <w:t xml:space="preserve">8.6 Implementation pathway</w:t>
      </w:r>
    </w:p>
    <w:p>
      <w:pPr>
        <w:pStyle w:val="FirstParagraph"/>
      </w:pPr>
      <w:r>
        <w:t xml:space="preserve">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4.3; Pillai et al., 2019).</w:t>
      </w:r>
    </w:p>
    <w:p>
      <w:pPr>
        <w:pStyle w:val="BodyText"/>
      </w:pPr>
      <w:r>
        <w:rPr>
          <w:iCs/>
          <w:i/>
        </w:rPr>
        <w:t xml:space="preserve">Table T13. Levers for putting C1 into practice, compared.</w:t>
      </w:r>
      <w:r>
        <w:t xml:space="preserve"> </w:t>
      </w:r>
      <w:r>
        <w:rPr>
          <w:iCs/>
          <w:i/>
        </w:rPr>
        <w:t xml:space="preserve">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 When</w:t>
            </w:r>
          </w:p>
        </w:tc>
        <w:tc>
          <w:tcPr/>
          <w:p>
            <w:pPr>
              <w:pStyle w:val="Compact"/>
              <w:jc w:val="left"/>
            </w:pPr>
            <w:r>
              <w:t xml:space="preserve">Schedule risk</w:t>
            </w:r>
          </w:p>
        </w:tc>
        <w:tc>
          <w:tcPr/>
          <w:p>
            <w:pPr>
              <w:pStyle w:val="Compact"/>
              <w:jc w:val="left"/>
            </w:pPr>
            <w:r>
              <w:t xml:space="preserve">Qualification gate it depends on; outcome if not met</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Section 8.2)</w:t>
            </w:r>
          </w:p>
        </w:tc>
        <w:tc>
          <w:tcPr/>
          <w:p>
            <w:pPr>
              <w:pStyle w:val="Compact"/>
              <w:jc w:val="left"/>
            </w:pPr>
            <w:r>
              <w:t xml:space="preserve">Yes (own contracts); next procurement round (2027)</w:t>
            </w:r>
          </w:p>
        </w:tc>
        <w:tc>
          <w:tcPr/>
          <w:p>
            <w:pPr>
              <w:pStyle w:val="Compact"/>
              <w:jc w:val="left"/>
            </w:pPr>
            <w:r>
              <w:t xml:space="preserve">Low</w:t>
            </w:r>
          </w:p>
        </w:tc>
        <w:tc>
          <w:tcPr/>
          <w:p>
            <w:pPr>
              <w:pStyle w:val="Compact"/>
              <w:jc w:val="left"/>
            </w:pPr>
            <w:r>
              <w:t xml:space="preserve">Classification and provenance: each component’s safety function defined, binder traced; if not, exclude it and revert to the approved mix</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 with tranche 2 (around 2028)</w:t>
            </w:r>
          </w:p>
        </w:tc>
        <w:tc>
          <w:tcPr/>
          <w:p>
            <w:pPr>
              <w:pStyle w:val="Compact"/>
              <w:jc w:val="left"/>
            </w:pPr>
            <w:r>
              <w:t xml:space="preserve">Low, if the exemption is written in</w:t>
            </w:r>
          </w:p>
        </w:tc>
        <w:tc>
          <w:tcPr/>
          <w:p>
            <w:pPr>
              <w:pStyle w:val="Compact"/>
              <w:jc w:val="left"/>
            </w:pPr>
            <w:r>
              <w:t xml:space="preserve">Life-cycle verification: EPDs on a comparable product boundary, with transport modelled; if not, no quantified saving claim</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 months</w:t>
            </w:r>
          </w:p>
        </w:tc>
        <w:tc>
          <w:tcPr/>
          <w:p>
            <w:pPr>
              <w:pStyle w:val="Compact"/>
              <w:jc w:val="left"/>
            </w:pPr>
            <w:r>
              <w:t xml:space="preserve">Depends on wording</w:t>
            </w:r>
          </w:p>
        </w:tc>
        <w:tc>
          <w:tcPr/>
          <w:p>
            <w:pPr>
              <w:pStyle w:val="Compact"/>
              <w:jc w:val="left"/>
            </w:pPr>
            <w:r>
              <w:t xml:space="preserve">Design-authority acceptance, with CNSC review where relevant; if not, no use in affected safety-class works</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 2027</w:t>
            </w:r>
          </w:p>
        </w:tc>
        <w:tc>
          <w:tcPr/>
          <w:p>
            <w:pPr>
              <w:pStyle w:val="Compact"/>
              <w:jc w:val="left"/>
            </w:pPr>
            <w:r>
              <w:t xml:space="preserve">Removes the main schedule risk</w:t>
            </w:r>
          </w:p>
        </w:tc>
        <w:tc>
          <w:tcPr/>
          <w:p>
            <w:pPr>
              <w:pStyle w:val="Compact"/>
              <w:jc w:val="left"/>
            </w:pPr>
            <w:r>
              <w:t xml:space="preserve">Strength, heat, crack and durability data, lot records and mock-ups; if not met, a further trial, rework or rejection</w:t>
            </w:r>
          </w:p>
        </w:tc>
        <w:tc>
          <w:tcPr/>
          <w:p>
            <w:pPr>
              <w:pStyle w:val="Compact"/>
              <w:jc w:val="left"/>
            </w:pPr>
            <w:r>
              <w:t xml:space="preserve">— (enabling step for L1’s infill extension)</w:t>
            </w:r>
          </w:p>
        </w:tc>
      </w:tr>
    </w:tbl>
    <w:bookmarkStart w:id="96" w:name="qualification-and-sequencing"/>
    <w:p>
      <w:pPr>
        <w:pStyle w:val="Heading4"/>
      </w:pPr>
      <w:r>
        <w:t xml:space="preserve">Qualification and sequencing</w:t>
      </w:r>
    </w:p>
    <w:p>
      <w:pPr>
        <w:pStyle w:val="FirstParagraph"/>
      </w:pPr>
      <w:r>
        <w:t xml:space="preserve">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t xml:space="preserve">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96"/>
    <w:bookmarkEnd w:id="97"/>
    <w:bookmarkEnd w:id="98"/>
    <w:bookmarkStart w:id="106" w:name="X5539a185355627e6c3e07c8c8240218227305a6"/>
    <w:p>
      <w:pPr>
        <w:pStyle w:val="Heading2"/>
      </w:pPr>
      <w:r>
        <w:t xml:space="preserve">9 Triple-bottom-line evaluation and multi-criteria analysis</w:t>
      </w:r>
    </w:p>
    <w:p>
      <w:pPr>
        <w:pStyle w:val="FirstParagraph"/>
      </w:pPr>
      <w:r>
        <w:t xml:space="preserve">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bookmarkStart w:id="99" w:name="triple-bottom-line"/>
    <w:p>
      <w:pPr>
        <w:pStyle w:val="Heading3"/>
      </w:pPr>
      <w:r>
        <w:t xml:space="preserve">9.1 Triple bottom line</w:t>
      </w:r>
    </w:p>
    <w:p>
      <w:pPr>
        <w:pStyle w:val="FirstParagraph"/>
      </w:pPr>
      <w:r>
        <w:t xml:space="preserve">Table T14 applies the triple bottom line to C1 at Darlington and to the comparison at Liddell, each cell traced to its section.</w:t>
      </w:r>
    </w:p>
    <w:p>
      <w:pPr>
        <w:pStyle w:val="BodyText"/>
      </w:pPr>
      <w:r>
        <w:rPr>
          <w:iCs/>
          <w:i/>
        </w:rPr>
        <w:t xml:space="preserve">Table T14.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C1 assessment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(Section 6). C1 saves 2,200 t per unit at 40% eligibility, about 0.36% of the life cycle; supply and end-of-life effects are uncertain.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Conditional benefit</w:t>
            </w:r>
          </w:p>
        </w:tc>
        <w:tc>
          <w:tcPr/>
          <w:p>
            <w:pPr>
              <w:pStyle w:val="Compact"/>
              <w:jc w:val="left"/>
            </w:pPr>
            <w:r>
              <w:t xml:space="preserve">Section 6.3, Section 7</w:t>
            </w:r>
          </w:p>
        </w:tc>
      </w:tr>
      <w:tr>
        <w:tc>
          <w:tcPr/>
          <w:p>
            <w:pPr>
              <w:pStyle w:val="Compact"/>
              <w:jc w:val="left"/>
            </w:pPr>
            <w:r>
              <w:rPr>
                <w:bCs/>
                <w:b/>
              </w:rPr>
              <w:t xml:space="preserve">Economy</w:t>
            </w:r>
          </w:p>
        </w:tc>
        <w:tc>
          <w:tcPr/>
          <w:p>
            <w:pPr>
              <w:pStyle w:val="Compact"/>
              <w:jc w:val="left"/>
            </w:pPr>
            <w:r>
              <w:t xml:space="preserve">LCOE C$198/MWh at 7%. C1’s carbon value (C$0.63–0.76 m, Units 2–4) is modest beside capital and less than one day of delay (C$1.8–2.9 m); qualification, sourcing and schedule risk matter.</w:t>
            </w:r>
          </w:p>
        </w:tc>
        <w:tc>
          <w:tcPr/>
          <w:p>
            <w:pPr>
              <w:pStyle w:val="Compact"/>
              <w:jc w:val="left"/>
            </w:pPr>
            <w:r>
              <w:t xml:space="preserve">SMR A$230–382/MWh in 2030 against A$89–125 for firmed renewables. A first unit would need Commonwealth ownership or underwriting (our inference, Section 8.2).</w:t>
            </w:r>
          </w:p>
        </w:tc>
        <w:tc>
          <w:tcPr/>
          <w:p>
            <w:pPr>
              <w:pStyle w:val="Compact"/>
              <w:jc w:val="left"/>
            </w:pPr>
            <w:r>
              <w:t xml:space="preserve">Conditional feasibility</w:t>
            </w:r>
          </w:p>
        </w:tc>
        <w:tc>
          <w:tcPr/>
          <w:p>
            <w:pPr>
              <w:pStyle w:val="Compact"/>
              <w:jc w:val="left"/>
            </w:pPr>
            <w:r>
              <w:t xml:space="preserve">Section 7.3, Section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 at the site; sourcing and workplace dust need open handling.</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Acceptability depends on process</w:t>
            </w:r>
          </w:p>
        </w:tc>
        <w:tc>
          <w:tcPr/>
          <w:p>
            <w:pPr>
              <w:pStyle w:val="Compact"/>
              <w:jc w:val="left"/>
            </w:pPr>
            <w:r>
              <w:t xml:space="preserve">Section 8.1, Sections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Controlled innovation</w:t>
            </w:r>
          </w:p>
        </w:tc>
        <w:tc>
          <w:tcPr/>
          <w:p>
            <w:pPr>
              <w:pStyle w:val="Compact"/>
              <w:jc w:val="left"/>
            </w:pPr>
            <w:r>
              <w:t xml:space="preserve">Section 6–Section 8</w:t>
            </w:r>
          </w:p>
        </w:tc>
      </w:tr>
    </w:tbl>
    <w:bookmarkEnd w:id="99"/>
    <w:bookmarkStart w:id="101" w:name="multi-criteria-analysis"/>
    <w:p>
      <w:pPr>
        <w:pStyle w:val="Heading3"/>
      </w:pPr>
      <w:r>
        <w:t xml:space="preserve">9.2 Multi-criteria analysis</w:t>
      </w:r>
    </w:p>
    <w:p>
      <w:pPr>
        <w:pStyle w:val="FirstParagraph"/>
      </w:pPr>
      <w:r>
        <w:t xml:space="preserve">Method in Section 2; working in Appendix B7; social-licence and legal scores from Appendix B8.3 and B3. Technology readiness level (TRL) is not scored.</w:t>
      </w:r>
    </w:p>
    <w:p>
      <w:pPr>
        <w:pStyle w:val="BodyText"/>
      </w:pPr>
      <w:r>
        <w:rPr>
          <w:iCs/>
          <w:i/>
        </w:rPr>
        <w:t xml:space="preserve">Table T15.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t xml:space="preserve">Renewables rank first under every weight set. The SMR wins only on life-cycle CO₂e (about 4 against 30 g/kWh) and supply concentration. It loses on CO₂e avoided per dollar (10.9×), cost (2.9×), time (about 12 years later), social licence and legal feasibility.</w:t>
      </w:r>
    </w:p>
    <w:bookmarkStart w:id="100" w:name="rank-reversal"/>
    <w:p>
      <w:pPr>
        <w:pStyle w:val="Heading4"/>
      </w:pPr>
      <w:r>
        <w:t xml:space="preserve">Rank reversal</w:t>
      </w:r>
    </w:p>
    <w:p>
      <w:pPr>
        <w:pStyle w:val="FirstParagraph"/>
      </w:pP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t xml:space="preserve">SMR + C1 and SMR are indistinguishable. 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t xml:space="preserve">The status quo’s second place over the SMR is a scaling artefact. It scores full marks on cost, supply and legal feasibility because it changes nothing; on fixed global scales the SMR moves above it. Renewables stay first on both.</w:t>
      </w:r>
    </w:p>
    <w:bookmarkEnd w:id="100"/>
    <w:bookmarkEnd w:id="101"/>
    <w:bookmarkStart w:id="105" w:name="verdict-and-limits"/>
    <w:p>
      <w:pPr>
        <w:pStyle w:val="Heading3"/>
      </w:pPr>
      <w:r>
        <w:t xml:space="preserve">9.3 Verdict and limits</w:t>
      </w:r>
    </w:p>
    <w:bookmarkStart w:id="102" w:name="darlington"/>
    <w:p>
      <w:pPr>
        <w:pStyle w:val="Heading4"/>
      </w:pPr>
      <w:r>
        <w:t xml:space="preserve">Darlington</w:t>
      </w:r>
    </w:p>
    <w:p>
      <w:pPr>
        <w:pStyle w:val="FirstParagraph"/>
      </w:pPr>
      <w:r>
        <w:t xml:space="preserve">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(Section 8.6).</w:t>
      </w:r>
    </w:p>
    <w:bookmarkEnd w:id="102"/>
    <w:bookmarkStart w:id="103" w:name="australia-1"/>
    <w:p>
      <w:pPr>
        <w:pStyle w:val="Heading4"/>
      </w:pPr>
      <w:r>
        <w:t xml:space="preserve">Australia</w:t>
      </w:r>
    </w:p>
    <w:p>
      <w:pPr>
        <w:pStyle w:val="FirstParagraph"/>
      </w:pPr>
      <w:r>
        <w:t xml:space="preserve">An SMR at Liddell would need its cost gap closed, first power well before 2040, and the legal and consent barriers removed first (Appendix B3, route C). We would keep SMRs under review against Darlington’s outturn cost.</w:t>
      </w:r>
    </w:p>
    <w:bookmarkEnd w:id="103"/>
    <w:bookmarkStart w:id="104" w:name="limits"/>
    <w:p>
      <w:pPr>
        <w:pStyle w:val="Heading4"/>
      </w:pPr>
      <w:r>
        <w:t xml:space="preserve">Limits</w:t>
      </w:r>
    </w:p>
    <w:p>
      <w:pPr>
        <w:pStyle w:val="FirstParagraph"/>
      </w:pP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104"/>
    <w:bookmarkEnd w:id="105"/>
    <w:bookmarkEnd w:id="106"/>
    <w:bookmarkStart w:id="107" w:name="future-material-properties-and-processes"/>
    <w:p>
      <w:pPr>
        <w:pStyle w:val="Heading2"/>
      </w:pPr>
      <w:r>
        <w:t xml:space="preserve">10 Future material properties and processes</w:t>
      </w:r>
    </w:p>
    <w:p>
      <w:pPr>
        <w:pStyle w:val="FirstParagraph"/>
      </w:pPr>
      <w:r>
        <w:t xml:space="preserve">C1 and the levers beyond it each depend on a property or process still to be proven (Table T16).</w:t>
      </w:r>
    </w:p>
    <w:p>
      <w:pPr>
        <w:pStyle w:val="BodyText"/>
      </w:pPr>
      <w:r>
        <w:rPr>
          <w:iCs/>
          <w:i/>
        </w:rPr>
        <w:t xml:space="preserve">Table T16.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2023b)</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(Section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107"/>
    <w:bookmarkStart w:id="110" w:name="conclusions-and-recommendations"/>
    <w:p>
      <w:pPr>
        <w:pStyle w:val="Heading2"/>
      </w:pPr>
      <w:r>
        <w:t xml:space="preserve">11 Conclusions and recommendations</w:t>
      </w:r>
    </w:p>
    <w:p>
      <w:pPr>
        <w:pStyle w:val="FirstParagraph"/>
      </w:pPr>
      <w: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bookmarkStart w:id="108" w:name="research-questions-1"/>
    <w:p>
      <w:pPr>
        <w:pStyle w:val="Heading4"/>
      </w:pPr>
      <w:r>
        <w:t xml:space="preserve">Research questions</w:t>
      </w:r>
    </w:p>
    <w:p>
      <w:pPr>
        <w:numPr>
          <w:ilvl w:val="0"/>
          <w:numId w:val="1005"/>
        </w:numPr>
        <w:pStyle w:val="Compact"/>
      </w:pPr>
      <w:r>
        <w:rPr>
          <w:iCs/>
          <w:i/>
        </w:rPr>
        <w:t xml:space="preserve">Life cycle (Section 6).</w:t>
      </w:r>
      <w:r>
        <w:t xml:space="preserve"> </w:t>
      </w:r>
      <w:r>
        <w:t xml:space="preserve">One BWRX-300 emits about 4 g CO₂e/kWh, mostly from the fuel front end; conversion heat is the largest uncertainty.</w:t>
      </w:r>
    </w:p>
    <w:p>
      <w:pPr>
        <w:numPr>
          <w:ilvl w:val="0"/>
          <w:numId w:val="1005"/>
        </w:numPr>
        <w:pStyle w:val="Compact"/>
      </w:pPr>
      <w:r>
        <w:rPr>
          <w:iCs/>
          <w:i/>
        </w:rPr>
        <w:t xml:space="preserve">C1 (Sections 6–7).</w:t>
      </w:r>
      <w:r>
        <w:t xml:space="preserve"> </w:t>
      </w:r>
      <w:r>
        <w:t xml:space="preserve">It saves 2,200 t per unit (1,100–3,300; Section 4.3), about 0.36% of the life cycle; a delay of 11.6–18.5 days cancels it (1.7–1.8 days on the marginal grid factor).</w:t>
      </w:r>
    </w:p>
    <w:p>
      <w:pPr>
        <w:numPr>
          <w:ilvl w:val="0"/>
          <w:numId w:val="1005"/>
        </w:numPr>
        <w:pStyle w:val="Compact"/>
      </w:pPr>
      <w:r>
        <w:rPr>
          <w:iCs/>
          <w:i/>
        </w:rPr>
        <w:t xml:space="preserve">Displacement (Section 7).</w:t>
      </w:r>
      <w:r>
        <w:t xml:space="preserve"> </w:t>
      </w:r>
      <w:r>
        <w:t xml:space="preserve">Darlington Unit 1 avoids 1.0–6.8 Mt CO₂e to 2050 and a Liddell unit 0.67–3.9 Mt; firmed renewables avoid 10.9 times more per dollar.</w:t>
      </w:r>
    </w:p>
    <w:p>
      <w:pPr>
        <w:numPr>
          <w:ilvl w:val="0"/>
          <w:numId w:val="1005"/>
        </w:numPr>
        <w:pStyle w:val="Compact"/>
      </w:pPr>
      <w:r>
        <w:rPr>
          <w:iCs/>
          <w:i/>
        </w:rPr>
        <w:t xml:space="preserve">Barriers and options (Section 3, Sections 8–9).</w:t>
      </w:r>
      <w:r>
        <w:t xml:space="preserve"> </w:t>
      </w:r>
      <w:r>
        <w:t xml:space="preserve">Law (three bans), cost (C$149–198/MWh) and time (2040 at the earliest) decide; firmed renewables rank first under all four weight sets (80 against 30 with equal weights).</w:t>
      </w:r>
    </w:p>
    <w:p>
      <w:pPr>
        <w:pStyle w:val="FirstParagraph"/>
      </w:pPr>
      <w:r>
        <w:t xml:space="preserve">Ranked materials levers.. Schedule: a month’s slip to Units 2–4 costs 29–175 times C1’s carbon value (Section 7). Fuel front end: a measured conversion-heat value would narrow the headline most (Section 6). Whole-plant steel: up to 3,714 t per unit, if feasible for nuclear-grade plate (Section 10). Concrete (C1): real and low-risk if schedule-neutral, but it moves the life cycle by about 0.36%.</w:t>
      </w:r>
    </w:p>
    <w:bookmarkEnd w:id="108"/>
    <w:bookmarkStart w:id="109" w:name="limitations"/>
    <w:p>
      <w:pPr>
        <w:pStyle w:val="Heading4"/>
      </w:pPr>
      <w:r>
        <w:t xml:space="preserve">Limitations</w:t>
      </w:r>
    </w:p>
    <w:p>
      <w:pPr>
        <w:pStyle w:val="FirstParagraph"/>
      </w:pPr>
      <w:r>
        <w:t xml:space="preserve">A screening LCA, not critically reviewed; MCDA scores and weights are our judgement; inputs are as described in Section 2; legislation is as compiled, without the 2025 EPBC reforms.</w:t>
      </w:r>
    </w:p>
    <w:p>
      <w:r>
        <w:pict>
          <v:rect style="width:0;height:1.5pt" o:hralign="center" o:hrstd="t" o:hr="t"/>
        </w:pict>
      </w:r>
    </w:p>
    <w:p>
      <w:r>
        <w:br w:type="page"/>
      </w:r>
    </w:p>
    <w:bookmarkEnd w:id="109"/>
    <w:bookmarkEnd w:id="110"/>
    <w:bookmarkStart w:id="113"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[pdf] Table 14, p. 83. Available at: https://am.lrv.lt/media/viesa/saugykla/2024/2/oHCKCUp7Lrs.pdf</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2023a.</w:t>
      </w:r>
      <w:r>
        <w:t xml:space="preserve"> </w:t>
      </w:r>
      <w:r>
        <w:rPr>
          <w:iCs/>
          <w:i/>
        </w:rPr>
        <w:t xml:space="preserve">REGDOC-2.5.2, Design of Reactor Facilities: Nuclear Power Plants</w:t>
      </w:r>
      <w:r>
        <w:t xml:space="preserve">, Version 2.1. [online] Ottawa: Canadian Nuclear Safety Commission. Available at: https://www.cnsc-ccsn.gc.ca/eng/acts-and-regulations/regulatory-documents/published/html/regdoc2-5-2-v2-1/ [Accessed 25 October 2026].</w:t>
      </w:r>
    </w:p>
    <w:p>
      <w:pPr>
        <w:pStyle w:val="BodyText"/>
      </w:pPr>
      <w:r>
        <w:t xml:space="preserve">Canadian Nuclear Safety Commission, 2023b.</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CSA Group, 2026.</w:t>
      </w:r>
      <w:r>
        <w:t xml:space="preserve"> </w:t>
      </w:r>
      <w:r>
        <w:rPr>
          <w:iCs/>
          <w:i/>
        </w:rPr>
        <w:t xml:space="preserve">CSA N287.2, Material requirements for concrete containment structures for nuclear power plants</w:t>
      </w:r>
      <w:r>
        <w:t xml:space="preserve">. [online] Standard catalogue information. Toronto: CSA Group. Available at: https://webstore.ansi.org/standards/csa/csan2872026 [Accessed 25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Canada, 2026.</w:t>
      </w:r>
      <w:r>
        <w:t xml:space="preserve"> </w:t>
      </w:r>
      <w:r>
        <w:rPr>
          <w:iCs/>
          <w:i/>
        </w:rPr>
        <w:t xml:space="preserve">Darlington New Nuclear Project</w:t>
      </w:r>
      <w:r>
        <w:t xml:space="preserve">. [online] Ottawa: Major Projects Office, updated 8 July 2026. Available at: https://www.canada.ca/en/privy-council/major-projects-office/projects/national/darlington.html [Accessed 25 October 2026].</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2023.</w:t>
      </w:r>
      <w:r>
        <w:t xml:space="preserve"> </w:t>
      </w:r>
      <w:r>
        <w:rPr>
          <w:iCs/>
          <w:i/>
        </w:rPr>
        <w:t xml:space="preserve">What are small modular reactors (SMRs)?</w:t>
      </w:r>
      <w:r>
        <w:t xml:space="preserve"> </w:t>
      </w:r>
      <w:r>
        <w:t xml:space="preserve">[online] Vienna: International Atomic Energy Agency. Available at: https://www.iaea.org/newscenter/news/what-are-small-modular-reactors-smrs [Accessed 25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2026.</w:t>
      </w:r>
      <w:r>
        <w:t xml:space="preserve"> </w:t>
      </w:r>
      <w:r>
        <w:rPr>
          <w:iCs/>
          <w:i/>
        </w:rPr>
        <w:t xml:space="preserve">Regulatory process: deep geological repository for Canada’s used nuclear fuel project</w:t>
      </w:r>
      <w:r>
        <w:t xml:space="preserve">. [online] Toronto: Nuclear Waste Management Organization. Available at: https://www.nwmo.ca/en/Regulatory-process [Accessed 25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111"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111"/>
    <w:bookmarkStart w:id="112"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112"/>
    <w:bookmarkEnd w:id="113"/>
    <w:bookmarkStart w:id="114" w:name="declaration-of-generative-ai-use"/>
    <w:p>
      <w:pPr>
        <w:pStyle w:val="Heading2"/>
      </w:pPr>
      <w:r>
        <w:t xml:space="preserve">Declaration of generative AI use</w:t>
      </w:r>
    </w:p>
    <w:p>
      <w:pPr>
        <w:pStyle w:val="FirstParagraph"/>
      </w:pPr>
      <w:r>
        <w:rPr>
          <w:rStyle w:val="TeamNote"/>
        </w:rPr>
        <w:t xml:space="preserve">TEAM: agree the AI-use declaration wording and add it here.</w:t>
      </w:r>
    </w:p>
    <w:p>
      <w:r>
        <w:br w:type="page"/>
      </w:r>
    </w:p>
    <w:bookmarkEnd w:id="114"/>
    <w:bookmarkStart w:id="181" w:name="appendices"/>
    <w:p>
      <w:pPr>
        <w:pStyle w:val="Heading1"/>
      </w:pPr>
      <w:r>
        <w:t xml:space="preserve">Appendices</w:t>
      </w:r>
    </w:p>
    <w:bookmarkStart w:id="124" w:name="Xddcc31d2d3503f687b8b233cd4a745104a63a5c"/>
    <w:p>
      <w:pPr>
        <w:pStyle w:val="Heading2"/>
      </w:pPr>
      <w:r>
        <w:t xml:space="preserve">Appendix A. LCA inventory and calculations</w:t>
      </w:r>
    </w:p>
    <w:p>
      <w:pPr>
        <w:pStyle w:val="FirstParagraph"/>
      </w:pPr>
      <w:r>
        <w:rPr>
          <w:rStyle w:val="TeamNote"/>
        </w:rPr>
        <w:t xml:space="preserve">LEROY: your Granta EduPack results go in A9 (currently</w:t>
      </w:r>
      <w:r>
        <w:rPr>
          <w:rStyle w:val="TeamNote"/>
        </w:rPr>
        <w:t xml:space="preserve"> </w:t>
      </w:r>
      <w:r>
        <w:rPr>
          <w:rStyle w:val="TeamNote"/>
        </w:rPr>
        <w:t xml:space="preserve">‘</w:t>
      </w:r>
      <w:r>
        <w:rPr>
          <w:rStyle w:val="TeamNote"/>
        </w:rPr>
        <w:t xml:space="preserve">planned but not completed</w:t>
      </w:r>
      <w:r>
        <w:rPr>
          <w:rStyle w:val="TeamNote"/>
        </w:rPr>
        <w:t xml:space="preserve">’</w:t>
      </w:r>
      <w:r>
        <w:rPr>
          <w:rStyle w:val="TeamNote"/>
        </w:rPr>
        <w:t xml:space="preserve">).</w:t>
      </w:r>
    </w:p>
    <w:p>
      <w:pPr>
        <w:pStyle w:val="BodyText"/>
      </w:pPr>
      <w:r>
        <w:t xml:space="preserve">This appendix gives the full working behind Section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115" w:name="a1.-reproducing-the-results"/>
    <w:p>
      <w:pPr>
        <w:pStyle w:val="Heading3"/>
      </w:pPr>
      <w:r>
        <w:t xml:space="preserve">A1. Reproducing the results</w:t>
      </w:r>
    </w:p>
    <w:p>
      <w:pPr>
        <w:pStyle w:val="FirstParagraph"/>
      </w:pPr>
      <w:r>
        <w:t xml:space="preserve">Every table and figure in Section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115"/>
    <w:bookmarkStart w:id="116"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Section 6 and Section 7.</w:t>
      </w:r>
    </w:p>
    <w:p>
      <w:pPr>
        <w:numPr>
          <w:ilvl w:val="0"/>
          <w:numId w:val="1006"/>
        </w:numPr>
        <w:pStyle w:val="Compact"/>
      </w:pPr>
      <w:r>
        <w:t xml:space="preserve">Annual output = P_net × 8,760 h × CF = 300 MWe × 8,760 × 0.90 = 2,365,200 MWh/yr.</w:t>
      </w:r>
    </w:p>
    <w:p>
      <w:pPr>
        <w:numPr>
          <w:ilvl w:val="0"/>
          <w:numId w:val="1006"/>
        </w:numPr>
        <w:pStyle w:val="Compact"/>
      </w:pPr>
      <w:r>
        <w:t xml:space="preserve">Lifetime output E = 2,365,200 × 60 =</w:t>
      </w:r>
      <w:r>
        <w:t xml:space="preserve"> </w:t>
      </w:r>
      <w:r>
        <w:rPr>
          <w:bCs/>
          <w:b/>
        </w:rPr>
        <w:t xml:space="preserve">1.419 × 10⁸ MWh</w:t>
      </w:r>
      <w:r>
        <w:t xml:space="preserve">.</w:t>
      </w:r>
    </w:p>
    <w:p>
      <w:pPr>
        <w:numPr>
          <w:ilvl w:val="0"/>
          <w:numId w:val="1006"/>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6"/>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Section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116"/>
    <w:bookmarkStart w:id="117"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7"/>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7"/>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7"/>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117"/>
    <w:bookmarkStart w:id="118"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118"/>
    <w:bookmarkStart w:id="119"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119"/>
    <w:bookmarkStart w:id="120"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8"/>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(Section 6.4).</w:t>
      </w:r>
    </w:p>
    <w:p>
      <w:pPr>
        <w:numPr>
          <w:ilvl w:val="0"/>
          <w:numId w:val="1008"/>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8"/>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8"/>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120"/>
    <w:bookmarkStart w:id="121"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9"/>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9"/>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9"/>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9"/>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121"/>
    <w:bookmarkStart w:id="122"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Section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122"/>
    <w:bookmarkStart w:id="123"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123"/>
    <w:bookmarkEnd w:id="124"/>
    <w:bookmarkStart w:id="167" w:name="X7e33b522909f8daae3037d2691d3cd94d9b7c55"/>
    <w:p>
      <w:pPr>
        <w:pStyle w:val="Heading2"/>
      </w:pPr>
      <w:r>
        <w:t xml:space="preserve">Appendix B. Working for the policy and supply-chain analysis</w:t>
      </w:r>
    </w:p>
    <w:p>
      <w:pPr>
        <w:pStyle w:val="FirstParagraph"/>
      </w:pPr>
      <w:r>
        <w:t xml:space="preserve">This appendix gives the full working behind Section 8.1 (law and licensing), Section 8.3 (fuel-supply concentration), Sections 8.4–8.5 (social licence and stakeholders, B8), Section 7 (displacement, the value of schedule and the same money) and Section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129"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125"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125"/>
    <w:bookmarkStart w:id="126"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126"/>
    <w:bookmarkStart w:id="127"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127"/>
    <w:bookmarkStart w:id="128"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128"/>
    <w:bookmarkEnd w:id="129"/>
    <w:bookmarkStart w:id="136"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130" w:name="b2.1-method"/>
    <w:p>
      <w:pPr>
        <w:pStyle w:val="Heading4"/>
      </w:pPr>
      <w:r>
        <w:t xml:space="preserve">B2.1 Method</w:t>
      </w:r>
    </w:p>
    <w:p>
      <w:pPr>
        <w:numPr>
          <w:ilvl w:val="0"/>
          <w:numId w:val="1010"/>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10"/>
        </w:numPr>
        <w:pStyle w:val="Compact"/>
      </w:pPr>
      <w:r>
        <w:t xml:space="preserve">HHI = Σ s</w:t>
      </w:r>
      <w:r>
        <w:rPr>
          <w:iCs/>
          <w:i/>
        </w:rPr>
        <w:t xml:space="preserve">ᵢ</w:t>
      </w:r>
      <w:r>
        <w:t xml:space="preserve">² (range 0 to 10,000; one supplier = 10,000).</w:t>
      </w:r>
    </w:p>
    <w:p>
      <w:pPr>
        <w:numPr>
          <w:ilvl w:val="0"/>
          <w:numId w:val="1010"/>
        </w:numPr>
        <w:pStyle w:val="Compact"/>
      </w:pPr>
      <w:r>
        <w:t xml:space="preserve">Equivalent number of equal-sized suppliers: N_eq = 10,000 / HHI.</w:t>
      </w:r>
    </w:p>
    <w:p>
      <w:pPr>
        <w:numPr>
          <w:ilvl w:val="0"/>
          <w:numId w:val="1010"/>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10"/>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10"/>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10"/>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Section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Section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130"/>
    <w:bookmarkStart w:id="131"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Sections 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Section 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Section 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Section 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Section 8.3.</w:t>
      </w:r>
    </w:p>
    <w:bookmarkEnd w:id="131"/>
    <w:bookmarkStart w:id="132"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Section 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132"/>
    <w:bookmarkStart w:id="133"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133"/>
    <w:bookmarkStart w:id="134"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(Section 11).</w:t>
      </w:r>
      <w:r>
        <w:t xml:space="preserve"> </w:t>
      </w:r>
      <w:r>
        <w:t xml:space="preserve">- The HHI is a world-market measure. Darlington’s own demand is sized against it in B2.6.</w:t>
      </w:r>
    </w:p>
    <w:bookmarkEnd w:id="134"/>
    <w:bookmarkStart w:id="135"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Section 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Section 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35"/>
    <w:bookmarkEnd w:id="136"/>
    <w:bookmarkStart w:id="138"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Section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Section 9 MCDA.</w:t>
      </w:r>
    </w:p>
    <w:bookmarkStart w:id="137" w:name="X5a8afd4c17f4a689f00ba83fe02dfe336a52790"/>
    <w:p>
      <w:pPr>
        <w:pStyle w:val="Heading4"/>
      </w:pPr>
      <w:r>
        <w:t xml:space="preserve">B3.1 Implementation levers for C1 (the Section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Section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37"/>
    <w:bookmarkEnd w:id="138"/>
    <w:bookmarkStart w:id="142"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39" w:name="b4.1-method"/>
    <w:p>
      <w:pPr>
        <w:pStyle w:val="Heading4"/>
      </w:pPr>
      <w:r>
        <w:t xml:space="preserve">B4.1 Method</w:t>
      </w:r>
    </w:p>
    <w:p>
      <w:pPr>
        <w:numPr>
          <w:ilvl w:val="0"/>
          <w:numId w:val="1011"/>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11"/>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Section 6; 90% interval 3.0–5.8).</w:t>
      </w:r>
    </w:p>
    <w:p>
      <w:pPr>
        <w:numPr>
          <w:ilvl w:val="0"/>
          <w:numId w:val="1011"/>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11"/>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bottom-up model (Section 6, Appendix C); the re-based 4.40 g/kWh changes avoided CO₂e by at most 0.3% (Ontario average grid: (73.8 − 4.40)/(73.8 − 4.2))</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39"/>
    <w:bookmarkStart w:id="140"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40"/>
    <w:bookmarkStart w:id="141" w:name="b4.3-limitations"/>
    <w:p>
      <w:pPr>
        <w:pStyle w:val="Heading4"/>
      </w:pPr>
      <w:r>
        <w:t xml:space="preserve">B4.3 Limitations</w:t>
      </w:r>
    </w:p>
    <w:p>
      <w:pPr>
        <w:numPr>
          <w:ilvl w:val="0"/>
          <w:numId w:val="1012"/>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12"/>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12"/>
        </w:numPr>
        <w:pStyle w:val="Compact"/>
      </w:pPr>
      <w:r>
        <w:rPr>
          <w:bCs/>
          <w:b/>
        </w:rPr>
        <w:t xml:space="preserve">Counterfactual.</w:t>
      </w:r>
      <w:r>
        <w:t xml:space="preserve"> </w:t>
      </w:r>
      <w:r>
        <w:t xml:space="preserve">In both grids the real alternative is other new supply, not today’s grid forever (B6).</w:t>
      </w:r>
    </w:p>
    <w:p>
      <w:pPr>
        <w:numPr>
          <w:ilvl w:val="0"/>
          <w:numId w:val="1012"/>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12"/>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41"/>
    <w:bookmarkEnd w:id="142"/>
    <w:bookmarkStart w:id="149"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43" w:name="b5.1-method"/>
    <w:p>
      <w:pPr>
        <w:pStyle w:val="Heading4"/>
      </w:pPr>
      <w:r>
        <w:t xml:space="preserve">B5.1 Method</w:t>
      </w:r>
    </w:p>
    <w:p>
      <w:pPr>
        <w:numPr>
          <w:ilvl w:val="0"/>
          <w:numId w:val="1013"/>
        </w:numPr>
        <w:pStyle w:val="Compact"/>
      </w:pPr>
      <w:r>
        <w:t xml:space="preserve">Output of one unit: monthly M = E / 12 = 197,100,000 kWh; daily D = E / 365 = 6,480,000 kWh.</w:t>
      </w:r>
    </w:p>
    <w:p>
      <w:pPr>
        <w:numPr>
          <w:ilvl w:val="0"/>
          <w:numId w:val="1013"/>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3"/>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3"/>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43"/>
    <w:bookmarkStart w:id="144"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Section 5).</w:t>
      </w:r>
    </w:p>
    <w:bookmarkEnd w:id="144"/>
    <w:bookmarkStart w:id="145"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45"/>
    <w:bookmarkStart w:id="146"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Section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Section 5), against C1’s total carbon value of C$0.63–0.76 m (C$1.14 m at 60% eligibility and C$115/t).</w:t>
      </w:r>
    </w:p>
    <w:bookmarkEnd w:id="146"/>
    <w:bookmarkStart w:id="147"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47"/>
    <w:bookmarkStart w:id="148" w:name="b5.6-limitations"/>
    <w:p>
      <w:pPr>
        <w:pStyle w:val="Heading4"/>
      </w:pPr>
      <w:r>
        <w:t xml:space="preserve">B5.6 Limitations</w:t>
      </w:r>
    </w:p>
    <w:p>
      <w:pPr>
        <w:numPr>
          <w:ilvl w:val="0"/>
          <w:numId w:val="1014"/>
        </w:numPr>
        <w:pStyle w:val="Compact"/>
      </w:pPr>
      <w:r>
        <w:t xml:space="preserve">Average factors understate what a late baseload unit would have displaced in Ontario, where gas is on the margin.</w:t>
      </w:r>
    </w:p>
    <w:p>
      <w:pPr>
        <w:numPr>
          <w:ilvl w:val="0"/>
          <w:numId w:val="1014"/>
        </w:numPr>
        <w:pStyle w:val="Compact"/>
      </w:pPr>
      <w:r>
        <w:t xml:space="preserve">The net basis assumes the plant’s life is fixed in years, not extended.</w:t>
      </w:r>
    </w:p>
    <w:p>
      <w:pPr>
        <w:numPr>
          <w:ilvl w:val="0"/>
          <w:numId w:val="1014"/>
        </w:numPr>
        <w:pStyle w:val="Compact"/>
      </w:pPr>
      <w:r>
        <w:t xml:space="preserve">The carbon value is realised only if someone prices it. Construction-material emissions appear to fall outside Ontario’s Emissions Performance Standards (our inference).</w:t>
      </w:r>
    </w:p>
    <w:p>
      <w:pPr>
        <w:numPr>
          <w:ilvl w:val="0"/>
          <w:numId w:val="1014"/>
        </w:numPr>
        <w:pStyle w:val="Compact"/>
      </w:pPr>
      <w:r>
        <w:t xml:space="preserve">The carrying cost is an upper bound for an early slip.</w:t>
      </w:r>
    </w:p>
    <w:p>
      <w:pPr>
        <w:numPr>
          <w:ilvl w:val="0"/>
          <w:numId w:val="1014"/>
        </w:numPr>
        <w:pStyle w:val="Compact"/>
      </w:pPr>
      <w:r>
        <w:t xml:space="preserve">The eligible share (20–60%) is an assumption; the saving per m³ (0.110 t) is fixed, so volume and saving move together.</w:t>
      </w:r>
    </w:p>
    <w:p>
      <w:r>
        <w:pict>
          <v:rect style="width:0;height:1.5pt" o:hralign="center" o:hrstd="t" o:hr="t"/>
        </w:pict>
      </w:r>
    </w:p>
    <w:bookmarkEnd w:id="148"/>
    <w:bookmarkEnd w:id="149"/>
    <w:bookmarkStart w:id="154"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50"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Section 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Section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50"/>
    <w:bookmarkStart w:id="151"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Section 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Section 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5. Bold row is the central case Section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51"/>
    <w:bookmarkStart w:id="152"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Section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Section 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Section 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(Section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52"/>
    <w:bookmarkStart w:id="153" w:name="b6.4-limitations"/>
    <w:p>
      <w:pPr>
        <w:pStyle w:val="Heading4"/>
      </w:pPr>
      <w:r>
        <w:t xml:space="preserve">B6.4 Limitations</w:t>
      </w:r>
    </w:p>
    <w:p>
      <w:pPr>
        <w:numPr>
          <w:ilvl w:val="0"/>
          <w:numId w:val="1015"/>
        </w:numPr>
        <w:pStyle w:val="Compact"/>
      </w:pPr>
      <w:r>
        <w:t xml:space="preserve">Adding several TWh a year of firmed renewables would itself change the NEM trajectory, so the comparison holds only at the margin of the stated trajectory.</w:t>
      </w:r>
    </w:p>
    <w:p>
      <w:pPr>
        <w:numPr>
          <w:ilvl w:val="0"/>
          <w:numId w:val="1015"/>
        </w:numPr>
        <w:pStyle w:val="Compact"/>
      </w:pPr>
      <w:r>
        <w:t xml:space="preserve">The LCOE of firmed renewables rises with their share, and GenCost’s integration costs cover this only up to the shares it models.</w:t>
      </w:r>
    </w:p>
    <w:p>
      <w:pPr>
        <w:numPr>
          <w:ilvl w:val="0"/>
          <w:numId w:val="1015"/>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5"/>
        </w:numPr>
        <w:pStyle w:val="Compact"/>
      </w:pPr>
      <w:r>
        <w:t xml:space="preserve">Renewable assets last about 25–30 years (GenCost). No replacement falls before 2050, but a whole-life comparison would need one.</w:t>
      </w:r>
    </w:p>
    <w:p>
      <w:pPr>
        <w:numPr>
          <w:ilvl w:val="0"/>
          <w:numId w:val="1015"/>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53"/>
    <w:bookmarkEnd w:id="154"/>
    <w:bookmarkStart w:id="161"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Section 9 (the Section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55"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(Section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Section 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55"/>
    <w:bookmarkStart w:id="156" w:name="b7.2-method"/>
    <w:p>
      <w:pPr>
        <w:pStyle w:val="Heading4"/>
      </w:pPr>
      <w:r>
        <w:t xml:space="preserve">B7.2 Method</w:t>
      </w:r>
    </w:p>
    <w:p>
      <w:pPr>
        <w:numPr>
          <w:ilvl w:val="0"/>
          <w:numId w:val="1016"/>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6"/>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6"/>
        </w:numPr>
        <w:pStyle w:val="Compact"/>
      </w:pPr>
      <w:r>
        <w:rPr>
          <w:bCs/>
          <w:b/>
        </w:rPr>
        <w:t xml:space="preserve">Total.</w:t>
      </w:r>
      <w:r>
        <w:t xml:space="preserve"> </w:t>
      </w:r>
      <w:r>
        <w:t xml:space="preserve">T = 100 × Σ w_c s_c, with weights renormalised to sum to 1.</w:t>
      </w:r>
    </w:p>
    <w:p>
      <w:pPr>
        <w:numPr>
          <w:ilvl w:val="0"/>
          <w:numId w:val="1016"/>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6"/>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Section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56"/>
    <w:bookmarkStart w:id="157"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4. Rationale sources: Bowen’s statements; the Liberal Party 2026 energy plan; Section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57"/>
    <w:bookmarkStart w:id="158"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7"/>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7"/>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7"/>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58"/>
    <w:bookmarkStart w:id="159"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59"/>
    <w:bookmarkStart w:id="160" w:name="b7.6-limitations"/>
    <w:p>
      <w:pPr>
        <w:pStyle w:val="Heading4"/>
      </w:pPr>
      <w:r>
        <w:t xml:space="preserve">B7.6 Limitations</w:t>
      </w:r>
    </w:p>
    <w:p>
      <w:pPr>
        <w:numPr>
          <w:ilvl w:val="0"/>
          <w:numId w:val="1018"/>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8"/>
        </w:numPr>
        <w:pStyle w:val="Compact"/>
      </w:pPr>
      <w:r>
        <w:t xml:space="preserve">Local min–max scaling makes each score depend on which options are compared. The status quo’s second place changes on fixed global scales (B7.4).</w:t>
      </w:r>
    </w:p>
    <w:p>
      <w:pPr>
        <w:numPr>
          <w:ilvl w:val="0"/>
          <w:numId w:val="1018"/>
        </w:numPr>
        <w:pStyle w:val="Compact"/>
      </w:pPr>
      <w:r>
        <w:t xml:space="preserve">Renewables’ supply HHI uses solar PV only; batteries, wind turbines and transmission are not assessed, and the IEA (2022) report was not opened in full.</w:t>
      </w:r>
    </w:p>
    <w:p>
      <w:pPr>
        <w:numPr>
          <w:ilvl w:val="0"/>
          <w:numId w:val="1018"/>
        </w:numPr>
        <w:pStyle w:val="Compact"/>
      </w:pPr>
      <w:r>
        <w:t xml:space="preserve">TRL is not scored, and first-power years depend on CSIRO’s 2040 and the Coalition’s 2035 (as reported).</w:t>
      </w:r>
    </w:p>
    <w:p>
      <w:pPr>
        <w:numPr>
          <w:ilvl w:val="0"/>
          <w:numId w:val="1018"/>
        </w:numPr>
        <w:pStyle w:val="Compact"/>
      </w:pPr>
      <w:r>
        <w:t xml:space="preserve">Renewables’ 30 g/kWh and 2028 start are assumptions, and the GenCost reading is the one stated in B6. Adding several TWh of renewables would itself change the grid trajectory (B6.4).</w:t>
      </w:r>
    </w:p>
    <w:p>
      <w:pPr>
        <w:numPr>
          <w:ilvl w:val="0"/>
          <w:numId w:val="1018"/>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60"/>
    <w:bookmarkEnd w:id="161"/>
    <w:bookmarkStart w:id="166" w:name="X29f8199ccc4f183b4211bb01f0e54f84c787a3c"/>
    <w:p>
      <w:pPr>
        <w:pStyle w:val="Heading3"/>
      </w:pPr>
      <w:r>
        <w:t xml:space="preserve">B8. Social licence and stakeholder working (for Section 8.4 and Section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Section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62" w:name="X8871295422bcc52b42d843e419a224e284f0009"/>
    <w:p>
      <w:pPr>
        <w:pStyle w:val="Heading4"/>
      </w:pPr>
      <w:r>
        <w:t xml:space="preserve">B8.1 Perceived and actual safety, and deaths avoided</w:t>
      </w:r>
    </w:p>
    <w:p>
      <w:pPr>
        <w:numPr>
          <w:ilvl w:val="0"/>
          <w:numId w:val="1019"/>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9"/>
        </w:numPr>
        <w:pStyle w:val="Compact"/>
      </w:pPr>
      <w:r>
        <w:t xml:space="preserve">Output of one unit: 300 MWe × 8,760 h × 0.9 = 2.365 TWh a year (2.102–2.497 at capacity factors of 0.80–0.95).</w:t>
      </w:r>
    </w:p>
    <w:p>
      <w:pPr>
        <w:numPr>
          <w:ilvl w:val="0"/>
          <w:numId w:val="1019"/>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62"/>
    <w:bookmarkStart w:id="163"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Sections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Sections 8.1–8.4 evidence;</w:t>
      </w:r>
      <w:r>
        <w:rPr>
          <w:iCs/>
          <w:i/>
        </w:rPr>
        <w:t xml:space="preserve"> </w:t>
      </w:r>
      <w:r>
        <w:rPr>
          <w:rStyle w:val="VerbatimChar"/>
          <w:iCs/>
          <w:i/>
        </w:rPr>
        <w:t xml:space="preserve">results/social_licence.md</w:t>
      </w:r>
      <w:r>
        <w:rPr>
          <w:iCs/>
          <w:i/>
        </w:rPr>
        <w:t xml:space="preserve"> </w:t>
      </w:r>
      <w:r>
        <w:rPr>
          <w:iCs/>
          <w:i/>
        </w:rPr>
        <w:t xml:space="preserve">Section 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63"/>
    <w:bookmarkStart w:id="164"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(Section 9).</w:t>
      </w:r>
    </w:p>
    <w:bookmarkEnd w:id="164"/>
    <w:bookmarkStart w:id="165"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Section 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Section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65"/>
    <w:bookmarkEnd w:id="166"/>
    <w:bookmarkEnd w:id="167"/>
    <w:bookmarkStart w:id="175" w:name="X2538f2b2fc20c8063ffc88885f2cb513202a3b3"/>
    <w:p>
      <w:pPr>
        <w:pStyle w:val="Heading2"/>
      </w:pPr>
      <w:r>
        <w:t xml:space="preserve">Appendix C. Sensitivity: tornado and Monte Carlo set-up and results</w:t>
      </w:r>
    </w:p>
    <w:p>
      <w:pPr>
        <w:pStyle w:val="FirstParagraph"/>
      </w:pPr>
      <w:r>
        <w:t xml:space="preserve">This appendix shows how uncertain the Section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68" w:name="c1.-set-up"/>
    <w:p>
      <w:pPr>
        <w:pStyle w:val="Heading3"/>
      </w:pPr>
      <w:r>
        <w:t xml:space="preserve">C1. Set-up</w:t>
      </w:r>
    </w:p>
    <w:p>
      <w:pPr>
        <w:numPr>
          <w:ilvl w:val="0"/>
          <w:numId w:val="1020"/>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20"/>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20"/>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20"/>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20"/>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20"/>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68"/>
    <w:bookmarkStart w:id="169"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69"/>
    <w:bookmarkStart w:id="170"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70"/>
    <w:bookmarkStart w:id="171"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Section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71"/>
    <w:bookmarkStart w:id="172"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21"/>
        </w:numPr>
        <w:pStyle w:val="Compact"/>
      </w:pPr>
      <w:r>
        <w:t xml:space="preserve">A triangular distribution’s mean is (low + mode + high) / 3. For conversion heat that is (26 + 26 + 665) / 3 ≈ 239 kWh/kg U, nine times the mode of 26.</w:t>
      </w:r>
    </w:p>
    <w:p>
      <w:pPr>
        <w:numPr>
          <w:ilvl w:val="0"/>
          <w:numId w:val="1021"/>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21"/>
        </w:numPr>
        <w:pStyle w:val="Compact"/>
      </w:pPr>
      <w:r>
        <w:t xml:space="preserve">C1’s saving is almost symmetric (mode 2,200 t, median 2,217 t), so its share of the total falls from 0.54% at the mode case to 0.36%.</w:t>
      </w:r>
    </w:p>
    <w:p>
      <w:pPr>
        <w:numPr>
          <w:ilvl w:val="0"/>
          <w:numId w:val="1021"/>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21"/>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Section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72"/>
    <w:bookmarkStart w:id="173" w:name="X861311e05ca973e4ff92563d183b5e9367fe19f"/>
    <w:p>
      <w:pPr>
        <w:pStyle w:val="Heading3"/>
      </w:pPr>
      <w:r>
        <w:t xml:space="preserve">C6. Limitations of the uncertainty analysis</w:t>
      </w:r>
    </w:p>
    <w:p>
      <w:pPr>
        <w:numPr>
          <w:ilvl w:val="0"/>
          <w:numId w:val="1022"/>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22"/>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22"/>
        </w:numPr>
        <w:pStyle w:val="Compact"/>
      </w:pPr>
      <w:r>
        <w:rPr>
          <w:bCs/>
          <w:b/>
        </w:rPr>
        <w:t xml:space="preserve">Triangular shape.</w:t>
      </w:r>
      <w:r>
        <w:t xml:space="preserve"> </w:t>
      </w:r>
      <w:r>
        <w:t xml:space="preserve">A convention, not a fitted distribution; Table C5 tests it for conversion heat only.</w:t>
      </w:r>
    </w:p>
    <w:p>
      <w:pPr>
        <w:numPr>
          <w:ilvl w:val="0"/>
          <w:numId w:val="1022"/>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22"/>
        </w:numPr>
        <w:pStyle w:val="Compact"/>
      </w:pPr>
      <w:r>
        <w:rPr>
          <w:bCs/>
          <w:b/>
        </w:rPr>
        <w:t xml:space="preserve">Model structure not varied.</w:t>
      </w:r>
      <w:r>
        <w:t xml:space="preserve"> </w:t>
      </w:r>
      <w:r>
        <w:t xml:space="preserve">The boundary (process-based stages plus three stages transferred as per-kWh values) and the cut-offs (Section 6.1) are not sampled; they bias the result low (C7).</w:t>
      </w:r>
    </w:p>
    <w:bookmarkEnd w:id="173"/>
    <w:bookmarkStart w:id="174"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Section 6.3.</w:t>
      </w:r>
    </w:p>
    <w:p>
      <w:r>
        <w:pict>
          <v:rect style="width:0;height:1.5pt" o:hralign="center" o:hrstd="t" o:hr="t"/>
        </w:pict>
      </w:r>
    </w:p>
    <w:bookmarkEnd w:id="174"/>
    <w:bookmarkEnd w:id="175"/>
    <w:bookmarkStart w:id="180" w:name="appendix-e.-search-log"/>
    <w:p>
      <w:pPr>
        <w:pStyle w:val="Heading2"/>
      </w:pPr>
      <w:r>
        <w:t xml:space="preserve">Appendix E. Search log</w:t>
      </w:r>
    </w:p>
    <w:bookmarkStart w:id="176"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76"/>
    <w:bookmarkStart w:id="177"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77"/>
    <w:bookmarkStart w:id="178"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(Section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(Section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(Section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(Section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(Section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78"/>
    <w:bookmarkStart w:id="179"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(2023b);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79"/>
    <w:bookmarkEnd w:id="180"/>
    <w:bookmarkEnd w:id="181"/>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color w:val="006DAE"/>
    </w:rPr>
  </w:style>
  <w:style w:styleId="Heading2" w:type="paragraph">
    <w:name w:val="heading 2"/>
    <w:basedOn w:val="Normal"/>
    <w:next w:val="Normal"/>
    <w:pPr>
      <w:keepNext w:val="1"/>
      <w:keepLines w:val="1"/>
      <w:pageBreakBefore w:val="0"/>
      <w:spacing w:after="120" w:before="360" w:lineRule="auto"/>
    </w:pPr>
    <w:rPr>
      <w:b w:val="0"/>
      <w:bCs w:val="0"/>
      <w:sz w:val="32"/>
      <w:szCs w:val="32"/>
      <w:color w:val="006DAE"/>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color w:val="006DAE"/>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color w:val="006DAE"/>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tblPr>
      <w:tblInd w:type="dxa" w:w="0"/>
      <w:tblBorders>
        <w:top w:color="006DAE" w:space="0" w:sz="8" w:val="single"/>
        <w:bottom w:color="006DAE" w:space="0" w:sz="8" w:val="single"/>
        <w:insideH w:color="D0D7DE" w:space="0" w:sz="4" w:val="single"/>
      </w:tblBorders>
      <w:tblCellMar>
        <w:top w:type="dxa" w:w="30"/>
        <w:left w:type="dxa" w:w="80"/>
        <w:bottom w:type="dxa" w:w="30"/>
        <w:right w:type="dxa" w:w="80"/>
      </w:tblCellMar>
    </w:tblPr>
    <w:tblStylePr w:type="firstRow">
      <w:rPr>
        <w:b/>
      </w:rPr>
      <w:tcPr>
        <w:shd w:color="auto" w:fill="DCE9F5"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color w:val="555555"/>
      <w:sz w:val="19"/>
      <w:szCs w:val="19"/>
    </w:rPr>
  </w:style>
  <w:style w:customStyle="1" w:styleId="ImageCaption" w:type="paragraph">
    <w:name w:val="Image Caption"/>
    <w:basedOn w:val="Caption"/>
    <w:rPr>
      <w:color w:val="555555"/>
      <w:sz w:val="19"/>
      <w:szCs w:val="19"/>
    </w:rPr>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mNote" w:type="character">
    <w:name w:val="Team Note"/>
    <w:rPr>
      <w:b/>
      <w:color w:val="C00000"/>
      <w:highlight w:val="yellow"/>
    </w:rPr>
  </w:style>
  <w:style w:type="character" w:customStyle="1" w:styleId="TeamNote">
    <w:name w:val="TeamNote"/>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where they cut the most carbon, what holds them back, and a low-clinker concrete initiative for Darlington</dc:title>
  <dc:creator>Victor Clarke ADD STUDENT ID; Leroy Louis Jean (33880212); Sam ADD SURNAME ADD STUDENT ID</dc:creator>
  <cp:keywords/>
  <dcterms:created xsi:type="dcterms:W3CDTF">2026-10-25T11:21:43Z</dcterms:created>
  <dcterms:modified xsi:type="dcterms:W3CDTF">2026-10-25T11:21:43Z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MTE4593 Materials and Sustainability, Assignment 2 (Group 9)</vt:lpwstr>
  </property>
</Properties>
</file>