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3.png" ContentType="image/png"/>
  <Override PartName="/word/media/rId48.png" ContentType="image/png"/>
  <Override PartName="/word/media/rId53.png" ContentType="image/png"/>
  <Override PartName="/word/media/rId56.png" ContentType="image/png"/>
  <Override PartName="/word/media/rId60.png" ContentType="image/png"/>
  <Override PartName="/word/media/rId66.png" ContentType="image/png"/>
  <Override PartName="/word/media/rId70.png" ContentType="image/png"/>
  <Override PartName="/word/media/rId91.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5" w:name="introduction"/>
    <w:p>
      <w:pPr>
        <w:pStyle w:val="Heading2"/>
      </w:pPr>
      <w:r>
        <w:t xml:space="preserve">1 Introduction</w:t>
      </w:r>
    </w:p>
    <w:p>
      <w:pPr>
        <w:pStyle w:val="FirstParagraph"/>
      </w:pPr>
      <w: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bookmarkStart w:id="21" w:name="context"/>
    <w:p>
      <w:pPr>
        <w:pStyle w:val="Heading4"/>
      </w:pPr>
      <w:r>
        <w:t xml:space="preserve">Context</w:t>
      </w:r>
    </w:p>
    <w:p>
      <w:pPr>
        <w:pStyle w:val="FirstParagraph"/>
      </w:pP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bookmarkEnd w:id="21"/>
    <w:bookmarkStart w:id="22" w:name="the-two-sites"/>
    <w:p>
      <w:pPr>
        <w:pStyle w:val="Heading4"/>
      </w:pPr>
      <w:r>
        <w:t xml:space="preserve">The two sites</w:t>
      </w:r>
    </w:p>
    <w:p>
      <w:pPr>
        <w:pStyle w:val="FirstParagraph"/>
      </w:pP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(Section 8.1).</w:t>
      </w:r>
      <w:r>
        <w:t xml:space="preserve"> </w:t>
      </w:r>
      <w:r>
        <w:rPr>
          <w:iCs/>
          <w:i/>
        </w:rPr>
        <w:t xml:space="preserve">Liddell</w:t>
      </w:r>
      <w:r>
        <w:t xml:space="preserve"> </w:t>
      </w:r>
      <w:r>
        <w:t xml:space="preserve">is the Australian comparison, a closed coal site with a grid connection.</w:t>
      </w:r>
    </w:p>
    <w:bookmarkEnd w:id="22"/>
    <w:bookmarkStart w:id="23" w:name="the-initiative-c1"/>
    <w:p>
      <w:pPr>
        <w:pStyle w:val="Heading4"/>
      </w:pPr>
      <w:r>
        <w:t xml:space="preserve">The initiative (C1)</w:t>
      </w:r>
    </w:p>
    <w:p>
      <w:pPr>
        <w:pStyle w:val="FirstParagraph"/>
      </w:pPr>
      <w:r>
        <w:t xml:space="preserve">OPG should pilot limestone calcined clay cement (LC³) in eligible non-safety works first, using it in the steel-composite infill only if qualified and schedule-neutral (Sections 4.1–4.3, Section 5).</w:t>
      </w:r>
    </w:p>
    <w:bookmarkEnd w:id="23"/>
    <w:bookmarkStart w:id="24" w:name="research-questions"/>
    <w:p>
      <w:pPr>
        <w:pStyle w:val="Heading4"/>
      </w:pPr>
      <w:r>
        <w:t xml:space="preserve">Research questions</w:t>
      </w:r>
    </w:p>
    <w:p>
      <w:pPr>
        <w:numPr>
          <w:ilvl w:val="0"/>
          <w:numId w:val="1001"/>
        </w:numPr>
        <w:pStyle w:val="Compact"/>
      </w:pPr>
      <w:r>
        <w:t xml:space="preserve">What does one BWRX-300 emit, and where? (Section 6)</w:t>
      </w:r>
    </w:p>
    <w:p>
      <w:pPr>
        <w:numPr>
          <w:ilvl w:val="0"/>
          <w:numId w:val="1001"/>
        </w:numPr>
        <w:pStyle w:val="Compact"/>
      </w:pPr>
      <w:r>
        <w:t xml:space="preserve">How much does C1 save, and what delay cancels it? (Sections 6–7)</w:t>
      </w:r>
    </w:p>
    <w:p>
      <w:pPr>
        <w:numPr>
          <w:ilvl w:val="0"/>
          <w:numId w:val="1001"/>
        </w:numPr>
        <w:pStyle w:val="Compact"/>
      </w:pPr>
      <w:r>
        <w:t xml:space="preserve">Does a unit’s climate value differ between Ontario and Liddell? (Section 7)</w:t>
      </w:r>
    </w:p>
    <w:p>
      <w:pPr>
        <w:numPr>
          <w:ilvl w:val="0"/>
          <w:numId w:val="1001"/>
        </w:numPr>
        <w:pStyle w:val="Compact"/>
      </w:pPr>
      <w:r>
        <w:t xml:space="preserve">Which barriers decide whether an SMR is built, and does it beat firmed renewables? (Section 3, Sections 8–9)</w:t>
      </w:r>
    </w:p>
    <w:p>
      <w:r>
        <w:pict>
          <v:rect style="width:0;height:1.5pt" o:hralign="center" o:hrstd="t" o:hr="t"/>
        </w:pict>
      </w:r>
    </w:p>
    <w:bookmarkEnd w:id="24"/>
    <w:bookmarkEnd w:id="25"/>
    <w:bookmarkStart w:id="30" w:name="methods-and-data"/>
    <w:p>
      <w:pPr>
        <w:pStyle w:val="Heading2"/>
      </w:pPr>
      <w:r>
        <w:t xml:space="preserve">2 Methods and data</w:t>
      </w:r>
    </w:p>
    <w:p>
      <w:pPr>
        <w:pStyle w:val="FirstParagraph"/>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bookmarkStart w:id="26" w:name="life-cycle-assessment"/>
    <w:p>
      <w:pPr>
        <w:pStyle w:val="Heading4"/>
      </w:pPr>
      <w:r>
        <w:t xml:space="preserve">Life-cycle assessment</w:t>
      </w:r>
    </w:p>
    <w:p>
      <w:pPr>
        <w:pStyle w:val="FirstParagraph"/>
      </w:pPr>
      <w:r>
        <w:t xml:space="preserve">A screening study following ISO 14040/14044 principles (International Organization for Standardization, 2006a; 2006b), not critically reviewed: functional unit 1 MWh of net electricity at the grid connection, cradle to grave (Section 6.1). The screening model is scripted in Python; a Granta EduPack Eco Audit cross-check was planned but not completed.</w:t>
      </w:r>
    </w:p>
    <w:bookmarkEnd w:id="26"/>
    <w:bookmarkStart w:id="27" w:name="displacement-and-schedule"/>
    <w:p>
      <w:pPr>
        <w:pStyle w:val="Heading4"/>
      </w:pPr>
      <w:r>
        <w:t xml:space="preserve">Displacement and schedule</w:t>
      </w:r>
    </w:p>
    <w:p>
      <w:pPr>
        <w:pStyle w:val="FirstParagraph"/>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bookmarkEnd w:id="27"/>
    <w:bookmarkStart w:id="28" w:name="supply-concentration"/>
    <w:p>
      <w:pPr>
        <w:pStyle w:val="Heading4"/>
      </w:pPr>
      <w:r>
        <w:t xml:space="preserve">Supply concentration</w:t>
      </w:r>
    </w:p>
    <w:p>
      <w:pPr>
        <w:pStyle w:val="FirstParagraph"/>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bookmarkEnd w:id="28"/>
    <w:bookmarkStart w:id="29" w:name="multi-criteria-analysis-mcda"/>
    <w:p>
      <w:pPr>
        <w:pStyle w:val="Heading4"/>
      </w:pPr>
      <w:r>
        <w:t xml:space="preserve">Multi-criteria analysis (MCDA)</w:t>
      </w:r>
    </w:p>
    <w:p>
      <w:pPr>
        <w:pStyle w:val="FirstParagraph"/>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29"/>
    <w:bookmarkEnd w:id="30"/>
    <w:bookmarkStart w:id="32" w:name="X282bf2c80aeb6e14a6d21bd058e6df252031dca"/>
    <w:p>
      <w:pPr>
        <w:pStyle w:val="Heading2"/>
      </w:pPr>
      <w:r>
        <w:t xml:space="preserve">3 Barriers to cutting emissions with small modular reactors</w:t>
      </w:r>
    </w:p>
    <w:p>
      <w:pPr>
        <w:pStyle w:val="FirstParagraph"/>
      </w:pPr>
      <w:r>
        <w:t xml:space="preserve">Eight barriers decide whether a small modular reactor (SMR) is built and cuts emissions. The initiative, C1 (Section 4.3), reaches one directly and is constrained by a second. At Darlington, Ontario, cost and schedule bind. At Liddell, the closed New South Wales coal plant we use as the Australian comparison, law comes first and every later barrier is still open (Sections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6)</w:t>
            </w:r>
          </w:p>
        </w:tc>
        <w:tc>
          <w:tcPr/>
          <w:p>
            <w:pPr>
              <w:pStyle w:val="Compact"/>
              <w:jc w:val="left"/>
            </w:pPr>
            <w:r>
              <w:t xml:space="preserve">Infill concrete needs nuclear qualification before Units 2–4 are fixed (Section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8.4)</w:t>
            </w:r>
          </w:p>
        </w:tc>
        <w:tc>
          <w:tcPr/>
          <w:p>
            <w:pPr>
              <w:pStyle w:val="Compact"/>
              <w:jc w:val="left"/>
            </w:pPr>
            <w:r>
              <w:t xml:space="preserve">No</w:t>
            </w:r>
          </w:p>
        </w:tc>
      </w:tr>
    </w:tbl>
    <w:bookmarkStart w:id="31" w:name="reading-the-table"/>
    <w:p>
      <w:pPr>
        <w:pStyle w:val="Heading4"/>
      </w:pPr>
      <w:r>
        <w:t xml:space="preserve">Reading the table</w:t>
      </w:r>
    </w:p>
    <w:p>
      <w:pPr>
        <w:pStyle w:val="FirstParagraph"/>
      </w:pPr>
      <w:r>
        <w:t xml:space="preserve">C1 moves only rows 2 and 5; Section 7 and Section 8.6 test the schedule risk.</w:t>
      </w:r>
    </w:p>
    <w:p>
      <w:r>
        <w:pict>
          <v:rect style="width:0;height:1.5pt" o:hralign="center" o:hrstd="t" o:hr="t"/>
        </w:pict>
      </w:r>
    </w:p>
    <w:bookmarkEnd w:id="31"/>
    <w:bookmarkEnd w:id="32"/>
    <w:bookmarkStart w:id="38" w:name="the-technology-and-the-initiative"/>
    <w:p>
      <w:pPr>
        <w:pStyle w:val="Heading2"/>
      </w:pPr>
      <w:r>
        <w:t xml:space="preserve">4 The technology and the initiative</w:t>
      </w:r>
    </w:p>
    <w:bookmarkStart w:id="34" w:name="technology-projects-and-patents"/>
    <w:p>
      <w:pPr>
        <w:pStyle w:val="Heading3"/>
      </w:pPr>
      <w:r>
        <w:t xml:space="preserve">4.1 Technology,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bookmarkStart w:id="33" w:name="patents"/>
    <w:p>
      <w:pPr>
        <w:pStyle w:val="Heading4"/>
      </w:pPr>
      <w:r>
        <w:t xml:space="preserve">Patents</w:t>
      </w:r>
    </w:p>
    <w:p>
      <w:pPr>
        <w:pStyle w:val="FirstParagraph"/>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8.1), assumed by 2029, and build a licensing regime, assumed to take three years: 2029 + 3 + 8 gives about 2040, matching first power at Liddell (Section 7).</w:t>
      </w:r>
    </w:p>
    <w:bookmarkEnd w:id="33"/>
    <w:bookmarkEnd w:id="34"/>
    <w:bookmarkStart w:id="35" w:name="the-bwrx-300-at-darlington"/>
    <w:p>
      <w:pPr>
        <w:pStyle w:val="Heading3"/>
      </w:pPr>
      <w:r>
        <w:t xml:space="preserve">4.2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4.3).</w:t>
      </w:r>
    </w:p>
    <w:bookmarkEnd w:id="35"/>
    <w:bookmarkStart w:id="37" w:name="X90098c7b12d1bfce5617586e418e3203c93a876"/>
    <w:p>
      <w:pPr>
        <w:pStyle w:val="Heading3"/>
      </w:pPr>
      <w:r>
        <w:t xml:space="preserve">4.3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7.1).</w:t>
      </w:r>
    </w:p>
    <w:bookmarkStart w:id="36" w:name="the-proposal"/>
    <w:p>
      <w:pPr>
        <w:pStyle w:val="Heading4"/>
      </w:pPr>
      <w:r>
        <w:t xml:space="preserve">The proposal</w:t>
      </w:r>
    </w:p>
    <w:p>
      <w:pPr>
        <w:pStyle w:val="FirstParagraph"/>
      </w:pPr>
      <w:r>
        <w:t xml:space="preserve">Ontario Power Generation (OPG) should pilot limestone calcined clay cement (LC³; Scrivener et al., 2018) in eligible non-safety works first, and use it in steel-composite infill only if it is qualified on Unit 1 mock-ups; Units 2–4 need future licensing (Section 8.1, Section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10). Second, C1’s value is set by schedule, not by the concrete: under three weeks of delay to a unit cancels its saving (Section 7.1), so C1 is a qualification programme timed to Unit 1 mock-ups rather than a binder swap. Third, its lever is financial: the Units 2–4 equity tranche can carry the condition (Section 8.6).</w:t>
      </w:r>
    </w:p>
    <w:p>
      <w:pPr>
        <w:pStyle w:val="BodyText"/>
      </w:pPr>
      <w:r>
        <w:t xml:space="preserve">What C1 does not address. It leaves cost, law, fuel supply, social licence and workforce untouched (Table T1); lower-carbon steel in the same structures is the next lever (Section 6.3, Section 10).</w:t>
      </w:r>
    </w:p>
    <w:p>
      <w:r>
        <w:pict>
          <v:rect style="width:0;height:1.5pt" o:hralign="center" o:hrstd="t" o:hr="t"/>
        </w:pict>
      </w:r>
    </w:p>
    <w:bookmarkEnd w:id="36"/>
    <w:bookmarkEnd w:id="37"/>
    <w:bookmarkEnd w:id="38"/>
    <w:bookmarkStart w:id="41" w:name="materials-from-extraction-to-end-of-life"/>
    <w:p>
      <w:pPr>
        <w:pStyle w:val="Heading2"/>
      </w:pPr>
      <w:r>
        <w:t xml:space="preserve">5 Materials from extraction to end-of-life</w:t>
      </w:r>
    </w:p>
    <w:p>
      <w:pPr>
        <w:pStyle w:val="FirstParagraph"/>
      </w:pPr>
      <w:r>
        <w:t xml:space="preserve">For C1, the binder’s carbon arises in the kiln, but its risks arise in the pour and at decommissioning. Stages follow Section 6’s boundary; operation, decommissioning and waste use published per-kWh values (Section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bookmarkStart w:id="39" w:name="steel"/>
    <w:p>
      <w:pPr>
        <w:pStyle w:val="Heading4"/>
      </w:pPr>
      <w:r>
        <w:t xml:space="preserve">Steel</w:t>
      </w:r>
    </w:p>
    <w:p>
      <w:pPr>
        <w:pStyle w:val="FirstParagraph"/>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bookmarkEnd w:id="39"/>
    <w:bookmarkStart w:id="40" w:name="end-of-life"/>
    <w:p>
      <w:pPr>
        <w:pStyle w:val="Heading4"/>
      </w:pPr>
      <w:r>
        <w:t xml:space="preserve">End of life</w:t>
      </w:r>
    </w:p>
    <w:p>
      <w:pPr>
        <w:pStyle w:val="FirstParagraph"/>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10).</w:t>
      </w:r>
    </w:p>
    <w:bookmarkEnd w:id="40"/>
    <w:bookmarkEnd w:id="41"/>
    <w:bookmarkStart w:id="64" w:name="life-cycle-assessment-and-eco-audit"/>
    <w:p>
      <w:pPr>
        <w:pStyle w:val="Heading2"/>
      </w:pPr>
      <w:r>
        <w:t xml:space="preserve">6 Life-cycle assessment and eco-audit</w:t>
      </w:r>
    </w:p>
    <w:p>
      <w:pPr>
        <w:pStyle w:val="FirstParagraph"/>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4.3), puts limestone calcined clay cement (LC³) in 20–60% of the concrete. It saves 2,200 t CO₂e per unit (1,100–3,300 t), about 0.36% of the life cycle: real but small, so worth adopting only if schedule-neutral (Section 6.3).</w:t>
      </w:r>
    </w:p>
    <w:bookmarkStart w:id="47" w:name="goal-scope-and-method"/>
    <w:p>
      <w:pPr>
        <w:pStyle w:val="Heading3"/>
      </w:pPr>
      <w:r>
        <w:t xml:space="preserve">6.1 Goal, scope and method</w:t>
      </w:r>
    </w:p>
    <w:bookmarkStart w:id="42" w:name="goal"/>
    <w:p>
      <w:pPr>
        <w:pStyle w:val="Heading4"/>
      </w:pPr>
      <w:r>
        <w:t xml:space="preserve">Goal</w:t>
      </w:r>
    </w:p>
    <w:p>
      <w:pPr>
        <w:pStyle w:val="FirstParagraph"/>
      </w:pP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pPr>
      <w:r>
        <w:t xml:space="preserve">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6.5). Impact category: climate change, GWP100.</w:t>
      </w:r>
    </w:p>
    <w:bookmarkEnd w:id="42"/>
    <w:bookmarkStart w:id="46" w:name="method-and-inventory"/>
    <w:p>
      <w:pPr>
        <w:pStyle w:val="Heading4"/>
      </w:pPr>
      <w:r>
        <w:t xml:space="preserve">Method and inventory</w:t>
      </w:r>
    </w:p>
    <w:p>
      <w:pPr>
        <w:pStyle w:val="FirstParagraph"/>
      </w:pPr>
      <w:r>
        <w:t xml:space="preserve">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44" name="Picture"/>
            <a:graphic>
              <a:graphicData uri="http://schemas.openxmlformats.org/drawingml/2006/picture">
                <pic:pic>
                  <pic:nvPicPr>
                    <pic:cNvPr descr="/home/user/MTE4593-Group-Assignment/03_LCA_Calculations/results/F1_system_boundary.png" id="45" name="Picture"/>
                    <pic:cNvPicPr>
                      <a:picLocks noChangeArrowheads="1" noChangeAspect="1"/>
                    </pic:cNvPicPr>
                  </pic:nvPicPr>
                  <pic:blipFill>
                    <a:blip r:embed="rId43"/>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46"/>
    <w:bookmarkEnd w:id="47"/>
    <w:bookmarkStart w:id="51" w:name="baseline-and-hotspots"/>
    <w:p>
      <w:pPr>
        <w:pStyle w:val="Heading3"/>
      </w:pPr>
      <w:r>
        <w:t xml:space="preserve">6.2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6.4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7.2–17.8% across draws). The C1-eligible concrete is only 1.9% of the mode-case total, so C1 acts on about one-fiftieth of the footprint.</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49" name="Picture"/>
            <a:graphic>
              <a:graphicData uri="http://schemas.openxmlformats.org/drawingml/2006/picture">
                <pic:pic>
                  <pic:nvPicPr>
                    <pic:cNvPr descr="/home/user/MTE4593-Group-Assignment/03_LCA_Calculations/results/F2_stage_breakdown.png" id="50" name="Picture"/>
                    <pic:cNvPicPr>
                      <a:picLocks noChangeArrowheads="1" noChangeAspect="1"/>
                    </pic:cNvPicPr>
                  </pic:nvPicPr>
                  <pic:blipFill>
                    <a:blip r:embed="rId48"/>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51"/>
    <w:bookmarkStart w:id="52" w:name="the-initiative-against-the-baseline"/>
    <w:p>
      <w:pPr>
        <w:pStyle w:val="Heading3"/>
      </w:pPr>
      <w:r>
        <w:t xml:space="preserve">6.3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4.3).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8.2.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8.1).3.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10). Schedule dominates. A delay of 11.6–18.5 days to one unit on Ontario’s average grid factor, or 1.7–1.8 days on the marginal factor, cancels its saving (Section 7.1; Appendix B5). C1 is therefore specified only if schedule-neutral (Section 8.6).</w:t>
      </w:r>
    </w:p>
    <w:p>
      <w:pPr>
        <w:pStyle w:val="BodyText"/>
      </w:pPr>
      <w:r>
        <w:t xml:space="preserve">For the triple-bottom-line evaluation (Section 9), C1 is environmentally positive but marginal; feasibility hinges on qualification and schedule.</w:t>
      </w:r>
    </w:p>
    <w:bookmarkEnd w:id="52"/>
    <w:bookmarkStart w:id="59"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54" name="Picture"/>
            <a:graphic>
              <a:graphicData uri="http://schemas.openxmlformats.org/drawingml/2006/picture">
                <pic:pic>
                  <pic:nvPicPr>
                    <pic:cNvPr descr="/home/user/MTE4593-Group-Assignment/03_LCA_Calculations/results/F3_tornado.png" id="55" name="Picture"/>
                    <pic:cNvPicPr>
                      <a:picLocks noChangeArrowheads="1" noChangeAspect="1"/>
                    </pic:cNvPicPr>
                  </pic:nvPicPr>
                  <pic:blipFill>
                    <a:blip r:embed="rId53"/>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57" name="Picture"/>
            <a:graphic>
              <a:graphicData uri="http://schemas.openxmlformats.org/drawingml/2006/picture">
                <pic:pic>
                  <pic:nvPicPr>
                    <pic:cNvPr descr="/home/user/MTE4593-Group-Assignment/03_LCA_Calculations/results/F4_montecarlo.png" id="58" name="Picture"/>
                    <pic:cNvPicPr>
                      <a:picLocks noChangeArrowheads="1" noChangeAspect="1"/>
                    </pic:cNvPicPr>
                  </pic:nvPicPr>
                  <pic:blipFill>
                    <a:blip r:embed="rId56"/>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59"/>
    <w:bookmarkStart w:id="63" w:name="comparison-with-published-values"/>
    <w:p>
      <w:pPr>
        <w:pStyle w:val="Heading3"/>
      </w:pPr>
      <w:r>
        <w:t xml:space="preserve">6.5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t xml:space="preserve">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Section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61" name="Picture"/>
            <a:graphic>
              <a:graphicData uri="http://schemas.openxmlformats.org/drawingml/2006/picture">
                <pic:pic>
                  <pic:nvPicPr>
                    <pic:cNvPr descr="/home/user/MTE4593-Group-Assignment/03_LCA_Calculations/results/F5_benchmarks.png" id="62" name="Picture"/>
                    <pic:cNvPicPr>
                      <a:picLocks noChangeArrowheads="1" noChangeAspect="1"/>
                    </pic:cNvPicPr>
                  </pic:nvPicPr>
                  <pic:blipFill>
                    <a:blip r:embed="rId60"/>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63"/>
    <w:bookmarkEnd w:id="64"/>
    <w:bookmarkStart w:id="74" w:name="X6fbd7bed400e38904dc2c5d634c7832d9e25d90"/>
    <w:p>
      <w:pPr>
        <w:pStyle w:val="Heading2"/>
      </w:pPr>
      <w:r>
        <w:t xml:space="preserve">7 Carbon avoided: Ontario vs Liddell, the value of schedule, and the same money on firmed renewables</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65"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8.2), so no one is paid for it. Schedule neutrality is therefore the binding condition on C1. The mix must be qualified on Unit 1 mock-ups before the Units 2–4 decision expected in 2028 (Section 8.6).</w:t>
      </w:r>
    </w:p>
    <w:bookmarkEnd w:id="65"/>
    <w:bookmarkStart w:id="69" w:name="Xb77cf30fc1ffb1f20fb94e7af23c490604b5f45"/>
    <w:p>
      <w:pPr>
        <w:pStyle w:val="Heading3"/>
      </w:pPr>
      <w:r>
        <w:t xml:space="preserve">7.2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pPr>
      <w:r>
        <w:t xml:space="preserve">An SMR’s climate value depends on when it runs and what it displaces, not on today’s coal share. 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67" name="Picture"/>
            <a:graphic>
              <a:graphicData uri="http://schemas.openxmlformats.org/drawingml/2006/picture">
                <pic:pic>
                  <pic:nvPicPr>
                    <pic:cNvPr descr="/home/user/MTE4593-Group-Assignment/03_LCA_Calculations/results/F6_displacement.png" id="68" name="Picture"/>
                    <pic:cNvPicPr>
                      <a:picLocks noChangeArrowheads="1" noChangeAspect="1"/>
                    </pic:cNvPicPr>
                  </pic:nvPicPr>
                  <pic:blipFill>
                    <a:blip r:embed="rId66"/>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69"/>
    <w:bookmarkStart w:id="73" w:name="the-same-money-on-firmed-renewables"/>
    <w:p>
      <w:pPr>
        <w:pStyle w:val="Heading3"/>
      </w:pPr>
      <w:r>
        <w:t xml:space="preserve">7.3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71" name="Picture"/>
            <a:graphic>
              <a:graphicData uri="http://schemas.openxmlformats.org/drawingml/2006/picture">
                <pic:pic>
                  <pic:nvPicPr>
                    <pic:cNvPr descr="/home/user/MTE4593-Group-Assignment/03_LCA_Calculations/results/F7_same_money.png" id="72" name="Picture"/>
                    <pic:cNvPicPr>
                      <a:picLocks noChangeArrowheads="1" noChangeAspect="1"/>
                    </pic:cNvPicPr>
                  </pic:nvPicPr>
                  <pic:blipFill>
                    <a:blip r:embed="rId70"/>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73"/>
    <w:bookmarkEnd w:id="74"/>
    <w:bookmarkStart w:id="97" w:name="Xabf1823ab98fa71e358698492c3b3ca10e02619"/>
    <w:p>
      <w:pPr>
        <w:pStyle w:val="Heading2"/>
      </w:pPr>
      <w:r>
        <w:t xml:space="preserve">8 Non-technical factors affecting translation to practice</w:t>
      </w:r>
    </w:p>
    <w:bookmarkStart w:id="78"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bookmarkStart w:id="75" w:name="australia"/>
    <w:p>
      <w:pPr>
        <w:pStyle w:val="Heading4"/>
      </w:pPr>
      <w:r>
        <w:t xml:space="preserve">Australia</w:t>
      </w:r>
    </w:p>
    <w:p>
      <w:pPr>
        <w:pStyle w:val="FirstParagraph"/>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bookmarkEnd w:id="75"/>
    <w:bookmarkStart w:id="76" w:name="canada"/>
    <w:p>
      <w:pPr>
        <w:pStyle w:val="Heading4"/>
      </w:pPr>
      <w:r>
        <w:t xml:space="preserve">Canada</w:t>
      </w:r>
    </w:p>
    <w:p>
      <w:pPr>
        <w:pStyle w:val="FirstParagraph"/>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bookmarkEnd w:id="76"/>
    <w:bookmarkStart w:id="77" w:name="translation-to-practice"/>
    <w:p>
      <w:pPr>
        <w:pStyle w:val="Heading4"/>
      </w:pPr>
      <w:r>
        <w:t xml:space="preserve">Translation to practice</w:t>
      </w:r>
    </w:p>
    <w:p>
      <w:pPr>
        <w:pStyle w:val="FirstParagraph"/>
      </w:pPr>
      <w:r>
        <w:t xml:space="preserve">The non-safety pilot needs no nuclear qualification. Infill qualification must start in 2027, with slag (S1) as the fallback (Section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77"/>
    <w:bookmarkEnd w:id="78"/>
    <w:bookmarkStart w:id="83"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bookmarkStart w:id="79" w:name="cost"/>
    <w:p>
      <w:pPr>
        <w:pStyle w:val="Heading4"/>
      </w:pPr>
      <w:r>
        <w:t xml:space="preserve">Cost</w:t>
      </w:r>
    </w:p>
    <w:p>
      <w:pPr>
        <w:pStyle w:val="FirstParagraph"/>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T9).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bookmarkEnd w:id="79"/>
    <w:bookmarkStart w:id="80" w:name="risk-and-finance"/>
    <w:p>
      <w:pPr>
        <w:pStyle w:val="Heading4"/>
      </w:pPr>
      <w:r>
        <w:t xml:space="preserve">Risk and finance</w:t>
      </w:r>
    </w:p>
    <w:p>
      <w:pPr>
        <w:pStyle w:val="FirstParagraph"/>
      </w:pPr>
      <w:r>
        <w:t xml:space="preserve">NuScale’s Idaho project shows what happens when buyers carry overrun risk: its price rose about 35% in real terms even after tax credits, the Utah utilities did not subscribe, and it was cancelled in 2023 (Table T9). Darlington avoids this with a single Crown owner and a regulated rate base; public and First Nations finance covers about 22% of the budget (Section 8.5).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bookmarkEnd w:id="80"/>
    <w:bookmarkStart w:id="81" w:name="barriers-to-entry"/>
    <w:p>
      <w:pPr>
        <w:pStyle w:val="Heading4"/>
      </w:pPr>
      <w:r>
        <w:t xml:space="preserve">Barriers to entry</w:t>
      </w:r>
    </w:p>
    <w:p>
      <w:pPr>
        <w:pStyle w:val="FirstParagraph"/>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bookmarkEnd w:id="81"/>
    <w:bookmarkStart w:id="82" w:name="the-initiative-c1-1"/>
    <w:p>
      <w:pPr>
        <w:pStyle w:val="Heading4"/>
      </w:pPr>
      <w:r>
        <w:t xml:space="preserve">The initiative (C1)</w:t>
      </w:r>
    </w:p>
    <w:p>
      <w:pPr>
        <w:pStyle w:val="FirstParagraph"/>
      </w:pPr>
      <w:r>
        <w:t xml:space="preserve">LC³ saves 6,600 t CO₂e across Units 2–4 (2,200 t a unit; Section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T8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8.6 (Table T13).</w:t>
      </w:r>
    </w:p>
    <w:p>
      <w:pPr>
        <w:pStyle w:val="BodyText"/>
      </w:pPr>
      <w:r>
        <w:rPr>
          <w:iCs/>
          <w:i/>
        </w:rPr>
        <w:t xml:space="preserve">Table T8.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T9.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82"/>
    <w:bookmarkEnd w:id="83"/>
    <w:bookmarkStart w:id="87"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T10). For Darlington this is a price risk; for an Australian SMR it is a sovereign risk.</w:t>
      </w:r>
    </w:p>
    <w:bookmarkStart w:id="84" w:name="sanctions-make-it-worse"/>
    <w:p>
      <w:pPr>
        <w:pStyle w:val="Heading4"/>
      </w:pPr>
      <w:r>
        <w:t xml:space="preserve">Sanctions make it worse</w:t>
      </w:r>
    </w:p>
    <w:p>
      <w:pPr>
        <w:pStyle w:val="FirstParagraph"/>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bookmarkEnd w:id="84"/>
    <w:bookmarkStart w:id="85" w:name="darlington-and-liddell-compared"/>
    <w:p>
      <w:pPr>
        <w:pStyle w:val="Heading4"/>
      </w:pPr>
      <w:r>
        <w:t xml:space="preserve">Darlington and Liddell compared</w:t>
      </w:r>
    </w:p>
    <w:p>
      <w:pPr>
        <w:pStyle w:val="FirstParagraph"/>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bookmarkEnd w:id="85"/>
    <w:bookmarkStart w:id="86" w:name="translation-to-practice-1"/>
    <w:p>
      <w:pPr>
        <w:pStyle w:val="Heading4"/>
      </w:pPr>
      <w:r>
        <w:t xml:space="preserve">Translation to practice</w:t>
      </w:r>
    </w:p>
    <w:p>
      <w:pPr>
        <w:pStyle w:val="FirstParagraph"/>
      </w:pP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10).</w:t>
      </w:r>
    </w:p>
    <w:p>
      <w:pPr>
        <w:pStyle w:val="BodyText"/>
      </w:pPr>
      <w:r>
        <w:rPr>
          <w:iCs/>
          <w:i/>
        </w:rPr>
        <w:t xml:space="preserve">Table T10.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86"/>
    <w:bookmarkEnd w:id="87"/>
    <w:bookmarkStart w:id="90"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T11).</w:t>
      </w:r>
    </w:p>
    <w:bookmarkStart w:id="88" w:name="perceived-and-actual-safety"/>
    <w:p>
      <w:pPr>
        <w:pStyle w:val="Heading4"/>
      </w:pPr>
      <w:r>
        <w:t xml:space="preserve">Perceived and actual safety</w:t>
      </w:r>
    </w:p>
    <w:p>
      <w:pPr>
        <w:pStyle w:val="FirstParagraph"/>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7),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bookmarkEnd w:id="88"/>
    <w:bookmarkStart w:id="89" w:name="translation-to-practice-2"/>
    <w:p>
      <w:pPr>
        <w:pStyle w:val="Heading4"/>
      </w:pPr>
      <w:r>
        <w:t xml:space="preserve">Translation to practice</w:t>
      </w:r>
    </w:p>
    <w:p>
      <w:pPr>
        <w:pStyle w:val="FirstParagraph"/>
      </w:pP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8.6).</w:t>
      </w:r>
    </w:p>
    <w:p>
      <w:pPr>
        <w:pStyle w:val="BodyText"/>
      </w:pPr>
      <w:r>
        <w:rPr>
          <w:iCs/>
          <w:i/>
        </w:rPr>
        <w:t xml:space="preserve">Table T11.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89"/>
    <w:bookmarkEnd w:id="90"/>
    <w:bookmarkStart w:id="94"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T12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(Section 8.2). None is opposed, but none yet has a reason to act; the tranche condition supplies one (Section 8.6).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8.1–8.4. Source: this study, Appendix B8.2." title="" id="92" name="Picture"/>
            <a:graphic>
              <a:graphicData uri="http://schemas.openxmlformats.org/drawingml/2006/picture">
                <pic:pic>
                  <pic:nvPicPr>
                    <pic:cNvPr descr="/home/user/MTE4593-Group-Assignment/03_LCA_Calculations/results/F8_stakeholder_map.png" id="93" name="Picture"/>
                    <pic:cNvPicPr>
                      <a:picLocks noChangeArrowheads="1" noChangeAspect="1"/>
                    </pic:cNvPicPr>
                  </pic:nvPicPr>
                  <pic:blipFill>
                    <a:blip r:embed="rId91"/>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8.1–8.4. Source: this study, Appendix B8.2.</w:t>
      </w:r>
    </w:p>
    <w:p>
      <w:pPr>
        <w:pStyle w:val="BodyText"/>
      </w:pPr>
      <w:r>
        <w:rPr>
          <w:iCs/>
          <w:i/>
        </w:rPr>
        <w:t xml:space="preserve">Table T12.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(Section 8.4)</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(Section 8.4)</w:t>
            </w:r>
          </w:p>
        </w:tc>
      </w:tr>
    </w:tbl>
    <w:p>
      <w:r>
        <w:pict>
          <v:rect style="width:0;height:1.5pt" o:hralign="center" o:hrstd="t" o:hr="t"/>
        </w:pict>
      </w:r>
    </w:p>
    <w:bookmarkEnd w:id="94"/>
    <w:bookmarkStart w:id="96" w:name="implementation-pathway"/>
    <w:p>
      <w:pPr>
        <w:pStyle w:val="Heading3"/>
      </w:pPr>
      <w:r>
        <w:t xml:space="preserve">8.6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4.3;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8.2)</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bookmarkStart w:id="95" w:name="qualification-and-sequencing"/>
    <w:p>
      <w:pPr>
        <w:pStyle w:val="Heading4"/>
      </w:pPr>
      <w:r>
        <w:t xml:space="preserve">Qualification and sequencing</w:t>
      </w:r>
    </w:p>
    <w:p>
      <w:pPr>
        <w:pStyle w:val="FirstParagraph"/>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95"/>
    <w:bookmarkEnd w:id="96"/>
    <w:bookmarkEnd w:id="97"/>
    <w:bookmarkStart w:id="105" w:name="X5539a185355627e6c3e07c8c8240218227305a6"/>
    <w:p>
      <w:pPr>
        <w:pStyle w:val="Heading2"/>
      </w:pPr>
      <w:r>
        <w:t xml:space="preserve">9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98" w:name="triple-bottom-line"/>
    <w:p>
      <w:pPr>
        <w:pStyle w:val="Heading3"/>
      </w:pPr>
      <w:r>
        <w:t xml:space="preserve">9.1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6).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6.3, Section 7</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Section 8.2).</w:t>
            </w:r>
          </w:p>
        </w:tc>
        <w:tc>
          <w:tcPr/>
          <w:p>
            <w:pPr>
              <w:pStyle w:val="Compact"/>
              <w:jc w:val="left"/>
            </w:pPr>
            <w:r>
              <w:t xml:space="preserve">Conditional feasibility</w:t>
            </w:r>
          </w:p>
        </w:tc>
        <w:tc>
          <w:tcPr/>
          <w:p>
            <w:pPr>
              <w:pStyle w:val="Compact"/>
              <w:jc w:val="left"/>
            </w:pPr>
            <w:r>
              <w:t xml:space="preserve">Section 7.3, Section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Section 8.1, Sections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 6–Section 8</w:t>
            </w:r>
          </w:p>
        </w:tc>
      </w:tr>
    </w:tbl>
    <w:bookmarkEnd w:id="98"/>
    <w:bookmarkStart w:id="100" w:name="multi-criteria-analysis"/>
    <w:p>
      <w:pPr>
        <w:pStyle w:val="Heading3"/>
      </w:pPr>
      <w:r>
        <w:t xml:space="preserve">9.2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bookmarkStart w:id="99" w:name="rank-reversal"/>
    <w:p>
      <w:pPr>
        <w:pStyle w:val="Heading4"/>
      </w:pPr>
      <w:r>
        <w:t xml:space="preserve">Rank reversal</w:t>
      </w:r>
    </w:p>
    <w:p>
      <w:pPr>
        <w:pStyle w:val="FirstParagraph"/>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t xml:space="preserve">The status quo’s second place over the SMR is a scaling artefact. It scores full marks on cost, supply and legal feasibility because it changes nothing; on fixed global scales the SMR moves above it. Renewables stay first on both.</w:t>
      </w:r>
    </w:p>
    <w:bookmarkEnd w:id="99"/>
    <w:bookmarkEnd w:id="100"/>
    <w:bookmarkStart w:id="104" w:name="verdict-and-limits"/>
    <w:p>
      <w:pPr>
        <w:pStyle w:val="Heading3"/>
      </w:pPr>
      <w:r>
        <w:t xml:space="preserve">9.3 Verdict and limits</w:t>
      </w:r>
    </w:p>
    <w:bookmarkStart w:id="101" w:name="darlington"/>
    <w:p>
      <w:pPr>
        <w:pStyle w:val="Heading4"/>
      </w:pPr>
      <w:r>
        <w:t xml:space="preserve">Darlington</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8.6).</w:t>
      </w:r>
    </w:p>
    <w:bookmarkEnd w:id="101"/>
    <w:bookmarkStart w:id="102" w:name="australia-1"/>
    <w:p>
      <w:pPr>
        <w:pStyle w:val="Heading4"/>
      </w:pPr>
      <w:r>
        <w:t xml:space="preserve">Australia</w:t>
      </w:r>
    </w:p>
    <w:p>
      <w:pPr>
        <w:pStyle w:val="FirstParagraph"/>
      </w:pPr>
      <w:r>
        <w:t xml:space="preserve">An SMR at Liddell would need its cost gap closed, first power well before 2040, and the legal and consent barriers removed first (Appendix B3, route C). We would keep SMRs under review against Darlington’s outturn cost.</w:t>
      </w:r>
    </w:p>
    <w:bookmarkEnd w:id="102"/>
    <w:bookmarkStart w:id="103" w:name="limits"/>
    <w:p>
      <w:pPr>
        <w:pStyle w:val="Heading4"/>
      </w:pPr>
      <w:r>
        <w:t xml:space="preserve">Limits</w:t>
      </w:r>
    </w:p>
    <w:p>
      <w:pPr>
        <w:pStyle w:val="FirstParagraph"/>
      </w:pP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103"/>
    <w:bookmarkEnd w:id="104"/>
    <w:bookmarkEnd w:id="105"/>
    <w:bookmarkStart w:id="106" w:name="future-material-properties-and-processes"/>
    <w:p>
      <w:pPr>
        <w:pStyle w:val="Heading2"/>
      </w:pPr>
      <w:r>
        <w:t xml:space="preserve">10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106"/>
    <w:bookmarkStart w:id="109" w:name="conclusions-and-recommendations"/>
    <w:p>
      <w:pPr>
        <w:pStyle w:val="Heading2"/>
      </w:pPr>
      <w:r>
        <w:t xml:space="preserve">11 Conclusions and recommendations</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bookmarkStart w:id="107" w:name="research-questions-1"/>
    <w:p>
      <w:pPr>
        <w:pStyle w:val="Heading4"/>
      </w:pPr>
      <w:r>
        <w:t xml:space="preserve">Research questions</w:t>
      </w:r>
    </w:p>
    <w:p>
      <w:pPr>
        <w:numPr>
          <w:ilvl w:val="0"/>
          <w:numId w:val="1002"/>
        </w:numPr>
        <w:pStyle w:val="Compact"/>
      </w:pPr>
      <w:r>
        <w:rPr>
          <w:iCs/>
          <w:i/>
        </w:rPr>
        <w:t xml:space="preserve">Life cycle (Section 6).</w:t>
      </w:r>
      <w:r>
        <w:t xml:space="preserve"> </w:t>
      </w:r>
      <w:r>
        <w:t xml:space="preserve">One BWRX-300 emits about 4 g CO₂e/kWh, mostly from the fuel front end; conversion heat is the largest uncertainty.</w:t>
      </w:r>
    </w:p>
    <w:p>
      <w:pPr>
        <w:numPr>
          <w:ilvl w:val="0"/>
          <w:numId w:val="1002"/>
        </w:numPr>
        <w:pStyle w:val="Compact"/>
      </w:pPr>
      <w:r>
        <w:rPr>
          <w:iCs/>
          <w:i/>
        </w:rPr>
        <w:t xml:space="preserve">C1 (Sections 6–7).</w:t>
      </w:r>
      <w:r>
        <w:t xml:space="preserve"> </w:t>
      </w:r>
      <w:r>
        <w:t xml:space="preserve">It saves 2,200 t per unit (1,100–3,300; Section 4.3), about 0.36% of the life cycle; a delay of 11.6–18.5 days cancels it (1.7–1.8 days on the marginal grid factor).</w:t>
      </w:r>
    </w:p>
    <w:p>
      <w:pPr>
        <w:numPr>
          <w:ilvl w:val="0"/>
          <w:numId w:val="1002"/>
        </w:numPr>
        <w:pStyle w:val="Compact"/>
      </w:pPr>
      <w:r>
        <w:rPr>
          <w:iCs/>
          <w:i/>
        </w:rPr>
        <w:t xml:space="preserve">Displacement (Section 7).</w:t>
      </w:r>
      <w:r>
        <w:t xml:space="preserve"> </w:t>
      </w:r>
      <w:r>
        <w:t xml:space="preserve">Darlington Unit 1 avoids 1.0–6.8 Mt CO₂e to 2050 and a Liddell unit 0.67–3.9 Mt; firmed renewables avoid 10.9 times more per dollar.</w:t>
      </w:r>
    </w:p>
    <w:p>
      <w:pPr>
        <w:numPr>
          <w:ilvl w:val="0"/>
          <w:numId w:val="1002"/>
        </w:numPr>
        <w:pStyle w:val="Compact"/>
      </w:pPr>
      <w:r>
        <w:rPr>
          <w:iCs/>
          <w:i/>
        </w:rPr>
        <w:t xml:space="preserve">Barriers and options (Section 3, Sections 8–9).</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7). Fuel front end: a measured conversion-heat value would narrow the headline most (Section 6). Whole-plant steel: up to 3,714 t per unit, if feasible for nuclear-grade plate (Section 10). Concrete (C1): real and low-risk if schedule-neutral, but it moves the life cycle by about 0.36%.</w:t>
      </w:r>
    </w:p>
    <w:bookmarkEnd w:id="107"/>
    <w:bookmarkStart w:id="108" w:name="limitations"/>
    <w:p>
      <w:pPr>
        <w:pStyle w:val="Heading4"/>
      </w:pPr>
      <w:r>
        <w:t xml:space="preserve">Limitations</w:t>
      </w:r>
    </w:p>
    <w:p>
      <w:pPr>
        <w:pStyle w:val="FirstParagraph"/>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108"/>
    <w:bookmarkEnd w:id="109"/>
    <w:bookmarkStart w:id="112"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110"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110"/>
    <w:bookmarkStart w:id="111"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111"/>
    <w:bookmarkEnd w:id="112"/>
    <w:bookmarkStart w:id="113"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113"/>
    <w:bookmarkStart w:id="180" w:name="appendices"/>
    <w:p>
      <w:pPr>
        <w:pStyle w:val="Heading1"/>
      </w:pPr>
      <w:r>
        <w:t xml:space="preserve">Appendices</w:t>
      </w:r>
    </w:p>
    <w:bookmarkStart w:id="123" w:name="Xddcc31d2d3503f687b8b233cd4a745104a63a5c"/>
    <w:p>
      <w:pPr>
        <w:pStyle w:val="Heading2"/>
      </w:pPr>
      <w:r>
        <w:t xml:space="preserve">Appendix A. LCA inventory and calculations</w:t>
      </w:r>
    </w:p>
    <w:p>
      <w:pPr>
        <w:pStyle w:val="FirstParagraph"/>
      </w:pPr>
      <w:r>
        <w:t xml:space="preserve">This appendix gives the full working behind Section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114" w:name="a1.-reproducing-the-results"/>
    <w:p>
      <w:pPr>
        <w:pStyle w:val="Heading3"/>
      </w:pPr>
      <w:r>
        <w:t xml:space="preserve">A1. Reproducing the results</w:t>
      </w:r>
    </w:p>
    <w:p>
      <w:pPr>
        <w:pStyle w:val="FirstParagraph"/>
      </w:pPr>
      <w:r>
        <w:t xml:space="preserve">Every table and figure in Section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114"/>
    <w:bookmarkStart w:id="115"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Section 6 and Section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Section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115"/>
    <w:bookmarkStart w:id="116"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116"/>
    <w:bookmarkStart w:id="117"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117"/>
    <w:bookmarkStart w:id="118"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118"/>
    <w:bookmarkStart w:id="119"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(Section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119"/>
    <w:bookmarkStart w:id="120"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120"/>
    <w:bookmarkStart w:id="121"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Section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121"/>
    <w:bookmarkStart w:id="122"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122"/>
    <w:bookmarkEnd w:id="123"/>
    <w:bookmarkStart w:id="166" w:name="X7e33b522909f8daae3037d2691d3cd94d9b7c55"/>
    <w:p>
      <w:pPr>
        <w:pStyle w:val="Heading2"/>
      </w:pPr>
      <w:r>
        <w:t xml:space="preserve">Appendix B. Working for the policy and supply-chain analysis</w:t>
      </w:r>
    </w:p>
    <w:p>
      <w:pPr>
        <w:pStyle w:val="FirstParagraph"/>
      </w:pPr>
      <w:r>
        <w:t xml:space="preserve">This appendix gives the full working behind Section 8.1 (law and licensing), Section 8.3 (fuel-supply concentration), Sections 8.4–8.5 (social licence and stakeholders, B8), Section 7 (displacement, the value of schedule and the same money) and Section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128"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124"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124"/>
    <w:bookmarkStart w:id="125"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125"/>
    <w:bookmarkStart w:id="126"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126"/>
    <w:bookmarkStart w:id="127"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127"/>
    <w:bookmarkEnd w:id="128"/>
    <w:bookmarkStart w:id="135"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129"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Section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Section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129"/>
    <w:bookmarkStart w:id="130"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Sections 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Section 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Section 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Section 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Section 8.3.</w:t>
      </w:r>
    </w:p>
    <w:bookmarkEnd w:id="130"/>
    <w:bookmarkStart w:id="131"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Section 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131"/>
    <w:bookmarkStart w:id="132"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132"/>
    <w:bookmarkStart w:id="133"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(Section 11).</w:t>
      </w:r>
      <w:r>
        <w:t xml:space="preserve"> </w:t>
      </w:r>
      <w:r>
        <w:t xml:space="preserve">- The HHI is a world-market measure. Darlington’s own demand is sized against it in B2.6.</w:t>
      </w:r>
    </w:p>
    <w:bookmarkEnd w:id="133"/>
    <w:bookmarkStart w:id="134"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Section 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Section 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34"/>
    <w:bookmarkEnd w:id="135"/>
    <w:bookmarkStart w:id="137"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Section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9 MCDA.</w:t>
      </w:r>
    </w:p>
    <w:bookmarkStart w:id="136" w:name="X5a8afd4c17f4a689f00ba83fe02dfe336a52790"/>
    <w:p>
      <w:pPr>
        <w:pStyle w:val="Heading4"/>
      </w:pPr>
      <w:r>
        <w:t xml:space="preserve">B3.1 Implementation levers for C1 (the Section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Section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36"/>
    <w:bookmarkEnd w:id="137"/>
    <w:bookmarkStart w:id="141"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38"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Section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(Section 6,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38"/>
    <w:bookmarkStart w:id="139"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39"/>
    <w:bookmarkStart w:id="140"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40"/>
    <w:bookmarkEnd w:id="141"/>
    <w:bookmarkStart w:id="148"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42"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42"/>
    <w:bookmarkStart w:id="143"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Section 5).</w:t>
      </w:r>
    </w:p>
    <w:bookmarkEnd w:id="143"/>
    <w:bookmarkStart w:id="144"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44"/>
    <w:bookmarkStart w:id="145"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Section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Section 5), against C1’s total carbon value of C$0.63–0.76 m (C$1.14 m at 60% eligibility and C$115/t).</w:t>
      </w:r>
    </w:p>
    <w:bookmarkEnd w:id="145"/>
    <w:bookmarkStart w:id="146"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46"/>
    <w:bookmarkStart w:id="147"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47"/>
    <w:bookmarkEnd w:id="148"/>
    <w:bookmarkStart w:id="153"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49"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Section 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Section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49"/>
    <w:bookmarkStart w:id="150"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Section 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Section 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5. Bold row is the central case Section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50"/>
    <w:bookmarkStart w:id="151"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Section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Section 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Section 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(Section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51"/>
    <w:bookmarkStart w:id="152"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52"/>
    <w:bookmarkEnd w:id="153"/>
    <w:bookmarkStart w:id="160"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Section 9 (the Section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54"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(Section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Section 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54"/>
    <w:bookmarkStart w:id="155"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Section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55"/>
    <w:bookmarkStart w:id="156"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4. Rationale sources: Bowen’s statements; the Liberal Party 2026 energy plan; Section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56"/>
    <w:bookmarkStart w:id="157"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57"/>
    <w:bookmarkStart w:id="158"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58"/>
    <w:bookmarkStart w:id="159"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59"/>
    <w:bookmarkEnd w:id="160"/>
    <w:bookmarkStart w:id="165" w:name="X29f8199ccc4f183b4211bb01f0e54f84c787a3c"/>
    <w:p>
      <w:pPr>
        <w:pStyle w:val="Heading3"/>
      </w:pPr>
      <w:r>
        <w:t xml:space="preserve">B8. Social licence and stakeholder working (for Section 8.4 and Section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Section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61"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61"/>
    <w:bookmarkStart w:id="162"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Sections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Sections 8.1–8.4 evidence;</w:t>
      </w:r>
      <w:r>
        <w:rPr>
          <w:iCs/>
          <w:i/>
        </w:rPr>
        <w:t xml:space="preserve"> </w:t>
      </w:r>
      <w:r>
        <w:rPr>
          <w:rStyle w:val="VerbatimChar"/>
          <w:iCs/>
          <w:i/>
        </w:rPr>
        <w:t xml:space="preserve">results/social_licence.md</w:t>
      </w:r>
      <w:r>
        <w:rPr>
          <w:iCs/>
          <w:i/>
        </w:rPr>
        <w:t xml:space="preserve"> </w:t>
      </w:r>
      <w:r>
        <w:rPr>
          <w:iCs/>
          <w:i/>
        </w:rPr>
        <w:t xml:space="preserve">Section 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62"/>
    <w:bookmarkStart w:id="163"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9).</w:t>
      </w:r>
    </w:p>
    <w:bookmarkEnd w:id="163"/>
    <w:bookmarkStart w:id="164"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Section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64"/>
    <w:bookmarkEnd w:id="165"/>
    <w:bookmarkEnd w:id="166"/>
    <w:bookmarkStart w:id="174" w:name="X2538f2b2fc20c8063ffc88885f2cb513202a3b3"/>
    <w:p>
      <w:pPr>
        <w:pStyle w:val="Heading2"/>
      </w:pPr>
      <w:r>
        <w:t xml:space="preserve">Appendix C. Sensitivity: tornado and Monte Carlo set-up and results</w:t>
      </w:r>
    </w:p>
    <w:p>
      <w:pPr>
        <w:pStyle w:val="FirstParagraph"/>
      </w:pPr>
      <w:r>
        <w:t xml:space="preserve">This appendix shows how uncertain the Section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67"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67"/>
    <w:bookmarkStart w:id="168"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68"/>
    <w:bookmarkStart w:id="169"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69"/>
    <w:bookmarkStart w:id="170"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Section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70"/>
    <w:bookmarkStart w:id="171"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71"/>
    <w:bookmarkStart w:id="172"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(Section 6.1) are not sampled; they bias the result low (C7).</w:t>
      </w:r>
    </w:p>
    <w:bookmarkEnd w:id="172"/>
    <w:bookmarkStart w:id="173"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Section 6.3.</w:t>
      </w:r>
    </w:p>
    <w:p>
      <w:r>
        <w:pict>
          <v:rect style="width:0;height:1.5pt" o:hralign="center" o:hrstd="t" o:hr="t"/>
        </w:pict>
      </w:r>
    </w:p>
    <w:bookmarkEnd w:id="173"/>
    <w:bookmarkEnd w:id="174"/>
    <w:bookmarkStart w:id="179" w:name="appendix-e.-search-log"/>
    <w:p>
      <w:pPr>
        <w:pStyle w:val="Heading2"/>
      </w:pPr>
      <w:r>
        <w:t xml:space="preserve">Appendix E. Search log</w:t>
      </w:r>
    </w:p>
    <w:bookmarkStart w:id="175"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75"/>
    <w:bookmarkStart w:id="176"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76"/>
    <w:bookmarkStart w:id="177"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(Section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(Section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(Section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(Section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(Section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77"/>
    <w:bookmarkStart w:id="178"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78"/>
    <w:bookmarkEnd w:id="179"/>
    <w:bookmarkEnd w:id="180"/>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2026-10-25T11:21:31Z</dcterms:created>
  <dcterms:modified xsi:type="dcterms:W3CDTF">2026-10-25T11:21:31Z</dcterms:modified>
</cp:coreProperties>
</file>

<file path=docProps/custom.xml><?xml version="1.0" encoding="utf-8"?>
<Properties xmlns="http://schemas.openxmlformats.org/officeDocument/2006/custom-properties" xmlns:vt="http://schemas.openxmlformats.org/officeDocument/2006/docPropsVTypes"/>
</file>