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Override PartName="/word/media/rId34.png" ContentType="image/png"/>
  <Override PartName="/word/media/rId39.png" ContentType="image/png"/>
  <Override PartName="/word/media/rId42.png" ContentType="image/png"/>
  <Override PartName="/word/media/rId46.png" ContentType="image/png"/>
  <Override PartName="/word/media/rId52.png" ContentType="image/png"/>
  <Override PartName="/word/media/rId56.png" ContentType="image/png"/>
  <Override PartName="/word/media/rId65.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Author"/>
      </w:pPr>
      <w:r>
        <w:t xml:space="preserve">Leroy</w:t>
      </w:r>
      <w:r>
        <w:t xml:space="preserve"> </w:t>
      </w:r>
      <w:r>
        <w:t xml:space="preserve">Jean</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Author"/>
      </w:pPr>
      <w:r>
        <w:t xml:space="preserve">Sam</w:t>
      </w:r>
      <w:r>
        <w:t xml:space="preserve"> </w:t>
      </w:r>
      <w:r>
        <w:rPr>
          <w:rStyle w:val="TeamNote"/>
        </w:rPr>
        <w:t xml:space="preserve">ADD</w:t>
      </w:r>
      <w:r>
        <w:rPr>
          <w:rStyle w:val="TeamNote"/>
        </w:rPr>
        <w:t xml:space="preserve"> </w:t>
      </w:r>
      <w:r>
        <w:rPr>
          <w:rStyle w:val="TeamNote"/>
        </w:rPr>
        <w:t xml:space="preserve">SURNAME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X2dfb1858b493784faa8b63dddf1eba57828d596"/>
    <w:p>
      <w:pPr>
        <w:pStyle w:val="Heading2"/>
      </w:pPr>
      <w:r>
        <w:t xml:space="preserve">Team review checklist (this page is removed in the submission version)</w:t>
      </w:r>
    </w:p>
    <w:p>
      <w:pPr>
        <w:pStyle w:val="FirstParagraph"/>
      </w:pPr>
      <w:r>
        <w:rPr>
          <w:rStyle w:val="TeamNote"/>
        </w:rPr>
        <w:t xml:space="preserve">Highlighted notes like this one mark what each person needs to add or check. Everything else is finished and fact-checked.</w:t>
      </w:r>
    </w:p>
    <w:p>
      <w:pPr>
        <w:pStyle w:val="BodyText"/>
      </w:pPr>
      <w:r>
        <w:rPr>
          <w:bCs/>
          <w:b/>
        </w:rPr>
        <w:t xml:space="preserve">Everyone</w:t>
      </w:r>
    </w:p>
    <w:p>
      <w:pPr>
        <w:numPr>
          <w:ilvl w:val="0"/>
          <w:numId w:val="1001"/>
        </w:numPr>
        <w:pStyle w:val="Compact"/>
      </w:pPr>
      <w:r>
        <w:t xml:space="preserve">Title page: your student ID; Sam, your surname.</w:t>
      </w:r>
    </w:p>
    <w:p>
      <w:pPr>
        <w:numPr>
          <w:ilvl w:val="0"/>
          <w:numId w:val="1001"/>
        </w:numPr>
        <w:pStyle w:val="Compact"/>
      </w:pPr>
      <w:r>
        <w:t xml:space="preserve">Agree the wording of the AI-use declaration (placeholder before the appendices).</w:t>
      </w:r>
    </w:p>
    <w:p>
      <w:pPr>
        <w:pStyle w:val="FirstParagraph"/>
      </w:pPr>
      <w:r>
        <w:rPr>
          <w:bCs/>
          <w:b/>
        </w:rPr>
        <w:t xml:space="preserve">Leroy</w:t>
      </w:r>
      <w:r>
        <w:t xml:space="preserve"> </w:t>
      </w:r>
      <w:r>
        <w:t xml:space="preserve">(§4.1, §4.2, §5, §10, Appendix E were drafted for you from your slides and script)</w:t>
      </w:r>
    </w:p>
    <w:p>
      <w:pPr>
        <w:numPr>
          <w:ilvl w:val="0"/>
          <w:numId w:val="1002"/>
        </w:numPr>
        <w:pStyle w:val="Compact"/>
      </w:pPr>
      <w:r>
        <w:t xml:space="preserve">Check, correct or replace these sections; keep to about 1,250 words in total.</w:t>
      </w:r>
    </w:p>
    <w:p>
      <w:pPr>
        <w:numPr>
          <w:ilvl w:val="0"/>
          <w:numId w:val="1002"/>
        </w:numPr>
        <w:pStyle w:val="Compact"/>
      </w:pPr>
      <w:r>
        <w:t xml:space="preserve">Confirm the projects table (T2) status, dates and TRL ratings, and the BWRX-300 data in §4.2.</w:t>
      </w:r>
    </w:p>
    <w:p>
      <w:pPr>
        <w:numPr>
          <w:ilvl w:val="0"/>
          <w:numId w:val="1002"/>
        </w:numPr>
        <w:pStyle w:val="Compact"/>
      </w:pPr>
      <w:r>
        <w:t xml:space="preserve">Replace or confirm the patent log in Appendix E (Google Patents could not be opened from our tools).</w:t>
      </w:r>
    </w:p>
    <w:p>
      <w:pPr>
        <w:pStyle w:val="FirstParagraph"/>
      </w:pPr>
      <w:r>
        <w:rPr>
          <w:bCs/>
          <w:b/>
        </w:rPr>
        <w:t xml:space="preserve">Sam</w:t>
      </w:r>
      <w:r>
        <w:t xml:space="preserve"> </w:t>
      </w:r>
      <w:r>
        <w:t xml:space="preserve">(§6, Appendices A and C were re-based on the deck’s numbers for you)</w:t>
      </w:r>
    </w:p>
    <w:p>
      <w:pPr>
        <w:numPr>
          <w:ilvl w:val="0"/>
          <w:numId w:val="1003"/>
        </w:numPr>
        <w:pStyle w:val="Compact"/>
      </w:pPr>
      <w:r>
        <w:t xml:space="preserve">Run the Granta EduPack Eco Audit (details in the note at the top of §6) and send the results, or confirm it can’t be done.</w:t>
      </w:r>
    </w:p>
    <w:p>
      <w:pPr>
        <w:numPr>
          <w:ilvl w:val="0"/>
          <w:numId w:val="1003"/>
        </w:numPr>
        <w:pStyle w:val="Compact"/>
      </w:pPr>
      <w:r>
        <w:t xml:space="preserve">Confirm Ostrołęka PIS Table 14, p. 83 (50,000 m³, 14,000 t) and Pillai et al. (2019) Table 2 (380 vs 270 kg CO₂e/m³).</w:t>
      </w:r>
    </w:p>
    <w:p>
      <w:pPr>
        <w:numPr>
          <w:ilvl w:val="0"/>
          <w:numId w:val="1003"/>
        </w:numPr>
        <w:pStyle w:val="Compact"/>
      </w:pPr>
      <w:r>
        <w:t xml:space="preserve">Check §6’s numbers and figures F1–F5.</w:t>
      </w:r>
    </w:p>
    <w:p>
      <w:pPr>
        <w:pStyle w:val="FirstParagraph"/>
      </w:pPr>
      <w:r>
        <w:rPr>
          <w:bCs/>
          <w:b/>
        </w:rPr>
        <w:t xml:space="preserve">Victor</w:t>
      </w:r>
      <w:r>
        <w:t xml:space="preserve"> </w:t>
      </w:r>
      <w:r>
        <w:t xml:space="preserve">(before submitting)</w:t>
      </w:r>
    </w:p>
    <w:p>
      <w:pPr>
        <w:numPr>
          <w:ilvl w:val="0"/>
          <w:numId w:val="1004"/>
        </w:numPr>
        <w:pStyle w:val="Compact"/>
      </w:pPr>
      <w:r>
        <w:t xml:space="preserve">Update the table of contents in Word (right-click, Update Field).</w:t>
      </w:r>
    </w:p>
    <w:p>
      <w:pPr>
        <w:numPr>
          <w:ilvl w:val="0"/>
          <w:numId w:val="1004"/>
        </w:numPr>
        <w:pStyle w:val="Compact"/>
      </w:pPr>
      <w:r>
        <w:t xml:space="preserve">Send any edits back so the report can be rebuilt.</w:t>
      </w:r>
    </w:p>
    <w:p>
      <w:r>
        <w:br w:type="page"/>
      </w:r>
    </w:p>
    <w:bookmarkEnd w:id="20"/>
    <w:bookmarkStart w:id="21"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1"/>
    <w:bookmarkStart w:id="22"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2"/>
    <w:bookmarkStart w:id="23" w:name="methods-and-data"/>
    <w:p>
      <w:pPr>
        <w:pStyle w:val="Heading2"/>
      </w:pPr>
      <w:r>
        <w:t xml:space="preserve">2 Methods and data</w:t>
      </w:r>
    </w:p>
    <w:p>
      <w:pPr>
        <w:pStyle w:val="FirstParagraph"/>
      </w:pPr>
      <w:r>
        <w:rPr>
          <w:rStyle w:val="TeamNote"/>
        </w:rPr>
        <w:t xml:space="preserve">SAM: if you run Granta, this section’s Granta sentence changes too.</w:t>
      </w:r>
    </w:p>
    <w:p>
      <w:pPr>
        <w:pStyle w:val="BodyText"/>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3"/>
    <w:bookmarkStart w:id="24"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4"/>
    <w:bookmarkStart w:id="28" w:name="the-technology-and-the-initiative"/>
    <w:p>
      <w:pPr>
        <w:pStyle w:val="Heading2"/>
      </w:pPr>
      <w:r>
        <w:t xml:space="preserve">4 The technology and the initiative</w:t>
      </w:r>
    </w:p>
    <w:bookmarkStart w:id="25" w:name="technology-projects-and-patents"/>
    <w:p>
      <w:pPr>
        <w:pStyle w:val="Heading3"/>
      </w:pPr>
      <w:r>
        <w:t xml:space="preserve">4.1 Technology, projects and patents</w:t>
      </w:r>
    </w:p>
    <w:p>
      <w:pPr>
        <w:pStyle w:val="FirstParagraph"/>
      </w:pPr>
      <w:r>
        <w:rPr>
          <w:rStyle w:val="TeamNote"/>
        </w:rPr>
        <w:t xml:space="preserve">LEROY: we had no reply, so §4.1, §4.2, §5, §10 and Appendix E were drafted for you from your slides, script and web research. Please check, correct or replace them (about 1,250 words in total). Check especially: Table T2 project status and dates, the TRL ratings, and the patents (Google Patents could not be opened, so numbers and assignees come from search summaries).</w:t>
      </w:r>
    </w:p>
    <w:p>
      <w:pPr>
        <w:pStyle w:val="BodyText"/>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5"/>
    <w:bookmarkStart w:id="26" w:name="the-bwrx-300-at-darlington"/>
    <w:p>
      <w:pPr>
        <w:pStyle w:val="Heading3"/>
      </w:pPr>
      <w:r>
        <w:t xml:space="preserve">4.2 The BWRX-300 at Darlington</w:t>
      </w:r>
    </w:p>
    <w:p>
      <w:pPr>
        <w:pStyle w:val="FirstParagraph"/>
      </w:pPr>
      <w:r>
        <w:rPr>
          <w:rStyle w:val="TeamNote"/>
        </w:rPr>
        <w:t xml:space="preserve">LEROY: please check the BWRX-300 data: 300 vs 315 MWe net, capacity factor, 60-year life, fuel enrichment and cycle, passive cooling.</w:t>
      </w:r>
    </w:p>
    <w:p>
      <w:pPr>
        <w:pStyle w:val="BodyText"/>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6"/>
    <w:bookmarkStart w:id="27"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7"/>
    <w:bookmarkEnd w:id="28"/>
    <w:bookmarkStart w:id="29" w:name="materials-from-extraction-to-end-of-life"/>
    <w:p>
      <w:pPr>
        <w:pStyle w:val="Heading2"/>
      </w:pPr>
      <w:r>
        <w:t xml:space="preserve">5 Materials from extraction to end-of-life</w:t>
      </w:r>
    </w:p>
    <w:p>
      <w:pPr>
        <w:pStyle w:val="FirstParagraph"/>
      </w:pPr>
      <w:r>
        <w:rPr>
          <w:rStyle w:val="TeamNote"/>
        </w:rPr>
        <w:t xml:space="preserve">LEROY: please check this materials life cycle (extraction to end-of-life) against your notes; add sources you have.</w:t>
      </w:r>
    </w:p>
    <w:p>
      <w:pPr>
        <w:pStyle w:val="BodyText"/>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9"/>
    <w:bookmarkStart w:id="50" w:name="life-cycle-assessment-and-eco-audit"/>
    <w:p>
      <w:pPr>
        <w:pStyle w:val="Heading2"/>
      </w:pPr>
      <w:r>
        <w:t xml:space="preserve">6 Life-cycle assessment and eco-audit</w:t>
      </w:r>
    </w:p>
    <w:p>
      <w:pPr>
        <w:pStyle w:val="FirstParagraph"/>
      </w:pPr>
      <w:r>
        <w:rPr>
          <w:rStyle w:val="TeamNote"/>
        </w:rPr>
        <w:t xml:space="preserve">SAM: §6 and Appendices A and C were re-based on the deck’s numbers without you (Ostrołęka 50,000 m³ concrete and 14,000 t steel; Pillai 380 vs 270 kg CO₂e/m³; 20/40/60% eligible). Please (1)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 report currently says Granta was not run; (2) confirm the Ostrołęka Table 14 p. 83 and Pillai Table 2 values, and the Ostrołęka URL; (3) check the numbers and figures F1–F5.</w:t>
      </w:r>
    </w:p>
    <w:p>
      <w:pPr>
        <w:pStyle w:val="BodyText"/>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3"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5"/>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5"/>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5"/>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5"/>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1" name="Picture"/>
            <a:graphic>
              <a:graphicData uri="http://schemas.openxmlformats.org/drawingml/2006/picture">
                <pic:pic>
                  <pic:nvPicPr>
                    <pic:cNvPr descr="/home/user/MTE4593-Group-Assignment/03_LCA_Calculations/results/F1_system_boundary.png" id="32" name="Picture"/>
                    <pic:cNvPicPr>
                      <a:picLocks noChangeArrowheads="1" noChangeAspect="1"/>
                    </pic:cNvPicPr>
                  </pic:nvPicPr>
                  <pic:blipFill>
                    <a:blip r:embed="rId30"/>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3"/>
    <w:bookmarkStart w:id="37"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6"/>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6"/>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6"/>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5" name="Picture"/>
            <a:graphic>
              <a:graphicData uri="http://schemas.openxmlformats.org/drawingml/2006/picture">
                <pic:pic>
                  <pic:nvPicPr>
                    <pic:cNvPr descr="/home/user/MTE4593-Group-Assignment/03_LCA_Calculations/results/F2_stage_breakdown.png" id="36" name="Picture"/>
                    <pic:cNvPicPr>
                      <a:picLocks noChangeArrowheads="1" noChangeAspect="1"/>
                    </pic:cNvPicPr>
                  </pic:nvPicPr>
                  <pic:blipFill>
                    <a:blip r:embed="rId34"/>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7"/>
    <w:bookmarkStart w:id="38"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8"/>
    <w:bookmarkStart w:id="45"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40" name="Picture"/>
            <a:graphic>
              <a:graphicData uri="http://schemas.openxmlformats.org/drawingml/2006/picture">
                <pic:pic>
                  <pic:nvPicPr>
                    <pic:cNvPr descr="/home/user/MTE4593-Group-Assignment/03_LCA_Calculations/results/F3_tornado.png" id="41" name="Picture"/>
                    <pic:cNvPicPr>
                      <a:picLocks noChangeArrowheads="1" noChangeAspect="1"/>
                    </pic:cNvPicPr>
                  </pic:nvPicPr>
                  <pic:blipFill>
                    <a:blip r:embed="rId39"/>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3" name="Picture"/>
            <a:graphic>
              <a:graphicData uri="http://schemas.openxmlformats.org/drawingml/2006/picture">
                <pic:pic>
                  <pic:nvPicPr>
                    <pic:cNvPr descr="/home/user/MTE4593-Group-Assignment/03_LCA_Calculations/results/F4_montecarlo.png" id="44" name="Picture"/>
                    <pic:cNvPicPr>
                      <a:picLocks noChangeArrowheads="1" noChangeAspect="1"/>
                    </pic:cNvPicPr>
                  </pic:nvPicPr>
                  <pic:blipFill>
                    <a:blip r:embed="rId42"/>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5"/>
    <w:bookmarkStart w:id="49"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7" name="Picture"/>
            <a:graphic>
              <a:graphicData uri="http://schemas.openxmlformats.org/drawingml/2006/picture">
                <pic:pic>
                  <pic:nvPicPr>
                    <pic:cNvPr descr="/home/user/MTE4593-Group-Assignment/03_LCA_Calculations/results/F5_benchmarks.png" id="48" name="Picture"/>
                    <pic:cNvPicPr>
                      <a:picLocks noChangeArrowheads="1" noChangeAspect="1"/>
                    </pic:cNvPicPr>
                  </pic:nvPicPr>
                  <pic:blipFill>
                    <a:blip r:embed="rId46"/>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9"/>
    <w:bookmarkEnd w:id="50"/>
    <w:bookmarkStart w:id="60"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1"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1"/>
    <w:bookmarkStart w:id="55"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3" name="Picture"/>
            <a:graphic>
              <a:graphicData uri="http://schemas.openxmlformats.org/drawingml/2006/picture">
                <pic:pic>
                  <pic:nvPicPr>
                    <pic:cNvPr descr="/home/user/MTE4593-Group-Assignment/03_LCA_Calculations/results/F6_displacement.png" id="54" name="Picture"/>
                    <pic:cNvPicPr>
                      <a:picLocks noChangeArrowheads="1" noChangeAspect="1"/>
                    </pic:cNvPicPr>
                  </pic:nvPicPr>
                  <pic:blipFill>
                    <a:blip r:embed="rId52"/>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5"/>
    <w:bookmarkStart w:id="59"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7" name="Picture"/>
            <a:graphic>
              <a:graphicData uri="http://schemas.openxmlformats.org/drawingml/2006/picture">
                <pic:pic>
                  <pic:nvPicPr>
                    <pic:cNvPr descr="/home/user/MTE4593-Group-Assignment/03_LCA_Calculations/results/F7_same_money.png" id="58" name="Picture"/>
                    <pic:cNvPicPr>
                      <a:picLocks noChangeArrowheads="1" noChangeAspect="1"/>
                    </pic:cNvPicPr>
                  </pic:nvPicPr>
                  <pic:blipFill>
                    <a:blip r:embed="rId56"/>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9"/>
    <w:bookmarkEnd w:id="60"/>
    <w:bookmarkStart w:id="70" w:name="Xabf1823ab98fa71e358698492c3b3ca10e02619"/>
    <w:p>
      <w:pPr>
        <w:pStyle w:val="Heading2"/>
      </w:pPr>
      <w:r>
        <w:t xml:space="preserve">8 Non-technical factors affecting translation to practice</w:t>
      </w:r>
    </w:p>
    <w:bookmarkStart w:id="61"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1"/>
    <w:bookmarkStart w:id="62"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2"/>
    <w:bookmarkStart w:id="63"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3"/>
    <w:bookmarkStart w:id="64"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4"/>
    <w:bookmarkStart w:id="68"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6" name="Picture"/>
            <a:graphic>
              <a:graphicData uri="http://schemas.openxmlformats.org/drawingml/2006/picture">
                <pic:pic>
                  <pic:nvPicPr>
                    <pic:cNvPr descr="/home/user/MTE4593-Group-Assignment/03_LCA_Calculations/results/F8_stakeholder_map.png" id="67" name="Picture"/>
                    <pic:cNvPicPr>
                      <a:picLocks noChangeArrowheads="1" noChangeAspect="1"/>
                    </pic:cNvPicPr>
                  </pic:nvPicPr>
                  <pic:blipFill>
                    <a:blip r:embed="rId65"/>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8"/>
    <w:bookmarkStart w:id="69"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9"/>
    <w:bookmarkEnd w:id="70"/>
    <w:bookmarkStart w:id="74"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1"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1"/>
    <w:bookmarkStart w:id="72"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2"/>
    <w:bookmarkStart w:id="73"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3"/>
    <w:bookmarkEnd w:id="74"/>
    <w:bookmarkStart w:id="75" w:name="future-material-properties-and-processes"/>
    <w:p>
      <w:pPr>
        <w:pStyle w:val="Heading2"/>
      </w:pPr>
      <w:r>
        <w:t xml:space="preserve">10 Future material properties and processes</w:t>
      </w:r>
    </w:p>
    <w:p>
      <w:pPr>
        <w:pStyle w:val="FirstParagraph"/>
      </w:pPr>
      <w:r>
        <w:rPr>
          <w:rStyle w:val="TeamNote"/>
        </w:rPr>
        <w:t xml:space="preserve">LEROY: please check the future-materials needs and add anything from your research.</w:t>
      </w:r>
    </w:p>
    <w:p>
      <w:pPr>
        <w:pStyle w:val="BodyText"/>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5"/>
    <w:bookmarkStart w:id="76"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6"/>
    <w:bookmarkStart w:id="79"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7"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7"/>
    <w:bookmarkStart w:id="78"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8"/>
    <w:bookmarkEnd w:id="79"/>
    <w:bookmarkStart w:id="80" w:name="declaration-of-generative-ai-use"/>
    <w:p>
      <w:pPr>
        <w:pStyle w:val="Heading2"/>
      </w:pPr>
      <w:r>
        <w:t xml:space="preserve">Declaration of generative AI use</w:t>
      </w:r>
    </w:p>
    <w:p>
      <w:pPr>
        <w:pStyle w:val="FirstParagraph"/>
      </w:pPr>
      <w:r>
        <w:rPr>
          <w:rStyle w:val="TeamNote"/>
        </w:rPr>
        <w:t xml:space="preserve">TEAM: agree the AI-use declaration wording and add it here.</w:t>
      </w:r>
    </w:p>
    <w:p>
      <w:r>
        <w:br w:type="page"/>
      </w:r>
    </w:p>
    <w:bookmarkEnd w:id="80"/>
    <w:bookmarkStart w:id="147" w:name="appendices"/>
    <w:p>
      <w:pPr>
        <w:pStyle w:val="Heading1"/>
      </w:pPr>
      <w:r>
        <w:t xml:space="preserve">Appendices</w:t>
      </w:r>
    </w:p>
    <w:bookmarkStart w:id="90" w:name="Xddcc31d2d3503f687b8b233cd4a745104a63a5c"/>
    <w:p>
      <w:pPr>
        <w:pStyle w:val="Heading2"/>
      </w:pPr>
      <w:r>
        <w:t xml:space="preserve">Appendix A. LCA inventory and calculations</w:t>
      </w:r>
    </w:p>
    <w:p>
      <w:pPr>
        <w:pStyle w:val="FirstParagraph"/>
      </w:pPr>
      <w:r>
        <w:rPr>
          <w:rStyle w:val="TeamNote"/>
        </w:rPr>
        <w:t xml:space="preserve">SAM: please review this appendix; your Granta results go in A9.</w:t>
      </w:r>
    </w:p>
    <w:p>
      <w:pPr>
        <w:pStyle w:val="BodyText"/>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1"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1"/>
    <w:bookmarkStart w:id="82"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7"/>
        </w:numPr>
        <w:pStyle w:val="Compact"/>
      </w:pPr>
      <w:r>
        <w:t xml:space="preserve">Annual output = P_net × 8,760 h × CF = 300 MWe × 8,760 × 0.90 = 2,365,200 MWh/yr.</w:t>
      </w:r>
    </w:p>
    <w:p>
      <w:pPr>
        <w:numPr>
          <w:ilvl w:val="0"/>
          <w:numId w:val="1007"/>
        </w:numPr>
        <w:pStyle w:val="Compact"/>
      </w:pPr>
      <w:r>
        <w:t xml:space="preserve">Lifetime output E = 2,365,200 × 60 =</w:t>
      </w:r>
      <w:r>
        <w:t xml:space="preserve"> </w:t>
      </w:r>
      <w:r>
        <w:rPr>
          <w:bCs/>
          <w:b/>
        </w:rPr>
        <w:t xml:space="preserve">1.419 × 10⁸ MWh</w:t>
      </w:r>
      <w:r>
        <w:t xml:space="preserve">.</w:t>
      </w:r>
    </w:p>
    <w:p>
      <w:pPr>
        <w:numPr>
          <w:ilvl w:val="0"/>
          <w:numId w:val="1007"/>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7"/>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2"/>
    <w:bookmarkStart w:id="83"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8"/>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8"/>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8"/>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3"/>
    <w:bookmarkStart w:id="84"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4"/>
    <w:bookmarkStart w:id="85"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5"/>
    <w:bookmarkStart w:id="86"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9"/>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9"/>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9"/>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9"/>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6"/>
    <w:bookmarkStart w:id="87"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10"/>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10"/>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10"/>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10"/>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7"/>
    <w:bookmarkStart w:id="88"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8"/>
    <w:bookmarkStart w:id="89"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9"/>
    <w:bookmarkEnd w:id="90"/>
    <w:bookmarkStart w:id="133"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5"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1"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1"/>
    <w:bookmarkStart w:id="92"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2"/>
    <w:bookmarkStart w:id="93"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3"/>
    <w:bookmarkStart w:id="94"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4"/>
    <w:bookmarkEnd w:id="95"/>
    <w:bookmarkStart w:id="102"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6" w:name="b2.1-method"/>
    <w:p>
      <w:pPr>
        <w:pStyle w:val="Heading4"/>
      </w:pPr>
      <w:r>
        <w:t xml:space="preserve">B2.1 Method</w:t>
      </w:r>
    </w:p>
    <w:p>
      <w:pPr>
        <w:numPr>
          <w:ilvl w:val="0"/>
          <w:numId w:val="1011"/>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11"/>
        </w:numPr>
        <w:pStyle w:val="Compact"/>
      </w:pPr>
      <w:r>
        <w:t xml:space="preserve">HHI = Σ s</w:t>
      </w:r>
      <w:r>
        <w:rPr>
          <w:iCs/>
          <w:i/>
        </w:rPr>
        <w:t xml:space="preserve">ᵢ</w:t>
      </w:r>
      <w:r>
        <w:t xml:space="preserve">² (range 0 to 10,000; one supplier = 10,000).</w:t>
      </w:r>
    </w:p>
    <w:p>
      <w:pPr>
        <w:numPr>
          <w:ilvl w:val="0"/>
          <w:numId w:val="1011"/>
        </w:numPr>
        <w:pStyle w:val="Compact"/>
      </w:pPr>
      <w:r>
        <w:t xml:space="preserve">Equivalent number of equal-sized suppliers: N_eq = 10,000 / HHI.</w:t>
      </w:r>
    </w:p>
    <w:p>
      <w:pPr>
        <w:numPr>
          <w:ilvl w:val="0"/>
          <w:numId w:val="1011"/>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11"/>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11"/>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11"/>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6"/>
    <w:bookmarkStart w:id="97"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7"/>
    <w:bookmarkStart w:id="98"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8"/>
    <w:bookmarkStart w:id="99"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9"/>
    <w:bookmarkStart w:id="100"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100"/>
    <w:bookmarkStart w:id="101"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1"/>
    <w:bookmarkEnd w:id="102"/>
    <w:bookmarkStart w:id="104"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3"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3"/>
    <w:bookmarkEnd w:id="104"/>
    <w:bookmarkStart w:id="108"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5" w:name="b4.1-method"/>
    <w:p>
      <w:pPr>
        <w:pStyle w:val="Heading4"/>
      </w:pPr>
      <w:r>
        <w:t xml:space="preserve">B4.1 Method</w:t>
      </w:r>
    </w:p>
    <w:p>
      <w:pPr>
        <w:numPr>
          <w:ilvl w:val="0"/>
          <w:numId w:val="1012"/>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12"/>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12"/>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12"/>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5"/>
    <w:bookmarkStart w:id="106"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6"/>
    <w:bookmarkStart w:id="107" w:name="b4.3-limitations"/>
    <w:p>
      <w:pPr>
        <w:pStyle w:val="Heading4"/>
      </w:pPr>
      <w:r>
        <w:t xml:space="preserve">B4.3 Limitations</w:t>
      </w:r>
    </w:p>
    <w:p>
      <w:pPr>
        <w:numPr>
          <w:ilvl w:val="0"/>
          <w:numId w:val="1013"/>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13"/>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13"/>
        </w:numPr>
        <w:pStyle w:val="Compact"/>
      </w:pPr>
      <w:r>
        <w:rPr>
          <w:bCs/>
          <w:b/>
        </w:rPr>
        <w:t xml:space="preserve">Counterfactual.</w:t>
      </w:r>
      <w:r>
        <w:t xml:space="preserve"> </w:t>
      </w:r>
      <w:r>
        <w:t xml:space="preserve">In both grids the real alternative is other new supply, not today’s grid forever (B6).</w:t>
      </w:r>
    </w:p>
    <w:p>
      <w:pPr>
        <w:numPr>
          <w:ilvl w:val="0"/>
          <w:numId w:val="1013"/>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13"/>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7"/>
    <w:bookmarkEnd w:id="108"/>
    <w:bookmarkStart w:id="115"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9" w:name="b5.1-method"/>
    <w:p>
      <w:pPr>
        <w:pStyle w:val="Heading4"/>
      </w:pPr>
      <w:r>
        <w:t xml:space="preserve">B5.1 Method</w:t>
      </w:r>
    </w:p>
    <w:p>
      <w:pPr>
        <w:numPr>
          <w:ilvl w:val="0"/>
          <w:numId w:val="1014"/>
        </w:numPr>
        <w:pStyle w:val="Compact"/>
      </w:pPr>
      <w:r>
        <w:t xml:space="preserve">Output of one unit: monthly M = E / 12 = 197,100,000 kWh; daily D = E / 365 = 6,480,000 kWh.</w:t>
      </w:r>
    </w:p>
    <w:p>
      <w:pPr>
        <w:numPr>
          <w:ilvl w:val="0"/>
          <w:numId w:val="1014"/>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4"/>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4"/>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9"/>
    <w:bookmarkStart w:id="110"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10"/>
    <w:bookmarkStart w:id="111"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1"/>
    <w:bookmarkStart w:id="112"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2"/>
    <w:bookmarkStart w:id="113"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3"/>
    <w:bookmarkStart w:id="114" w:name="b5.6-limitations"/>
    <w:p>
      <w:pPr>
        <w:pStyle w:val="Heading4"/>
      </w:pPr>
      <w:r>
        <w:t xml:space="preserve">B5.6 Limitations</w:t>
      </w:r>
    </w:p>
    <w:p>
      <w:pPr>
        <w:numPr>
          <w:ilvl w:val="0"/>
          <w:numId w:val="1015"/>
        </w:numPr>
        <w:pStyle w:val="Compact"/>
      </w:pPr>
      <w:r>
        <w:t xml:space="preserve">Average factors understate what a late baseload unit would have displaced in Ontario, where gas is on the margin.</w:t>
      </w:r>
    </w:p>
    <w:p>
      <w:pPr>
        <w:numPr>
          <w:ilvl w:val="0"/>
          <w:numId w:val="1015"/>
        </w:numPr>
        <w:pStyle w:val="Compact"/>
      </w:pPr>
      <w:r>
        <w:t xml:space="preserve">The net basis assumes the plant’s life is fixed in years, not extended.</w:t>
      </w:r>
    </w:p>
    <w:p>
      <w:pPr>
        <w:numPr>
          <w:ilvl w:val="0"/>
          <w:numId w:val="1015"/>
        </w:numPr>
        <w:pStyle w:val="Compact"/>
      </w:pPr>
      <w:r>
        <w:t xml:space="preserve">The carbon value is realised only if someone prices it. Construction-material emissions appear to fall outside Ontario’s Emissions Performance Standards (our inference).</w:t>
      </w:r>
    </w:p>
    <w:p>
      <w:pPr>
        <w:numPr>
          <w:ilvl w:val="0"/>
          <w:numId w:val="1015"/>
        </w:numPr>
        <w:pStyle w:val="Compact"/>
      </w:pPr>
      <w:r>
        <w:t xml:space="preserve">The carrying cost is an upper bound for an early slip.</w:t>
      </w:r>
    </w:p>
    <w:p>
      <w:pPr>
        <w:numPr>
          <w:ilvl w:val="0"/>
          <w:numId w:val="1015"/>
        </w:numPr>
        <w:pStyle w:val="Compact"/>
      </w:pPr>
      <w:r>
        <w:t xml:space="preserve">The eligible share (20–60%) is an assumption; the saving per m³ (0.110 t) is fixed, so volume and saving move together.</w:t>
      </w:r>
    </w:p>
    <w:p>
      <w:r>
        <w:pict>
          <v:rect style="width:0;height:1.5pt" o:hralign="center" o:hrstd="t" o:hr="t"/>
        </w:pict>
      </w:r>
    </w:p>
    <w:bookmarkEnd w:id="114"/>
    <w:bookmarkEnd w:id="115"/>
    <w:bookmarkStart w:id="120"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6"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6"/>
    <w:bookmarkStart w:id="117"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7"/>
    <w:bookmarkStart w:id="118"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8"/>
    <w:bookmarkStart w:id="119" w:name="b6.4-limitations"/>
    <w:p>
      <w:pPr>
        <w:pStyle w:val="Heading4"/>
      </w:pPr>
      <w:r>
        <w:t xml:space="preserve">B6.4 Limitations</w:t>
      </w:r>
    </w:p>
    <w:p>
      <w:pPr>
        <w:numPr>
          <w:ilvl w:val="0"/>
          <w:numId w:val="1016"/>
        </w:numPr>
        <w:pStyle w:val="Compact"/>
      </w:pPr>
      <w:r>
        <w:t xml:space="preserve">Adding several TWh a year of firmed renewables would itself change the NEM trajectory, so the comparison holds only at the margin of the stated trajectory.</w:t>
      </w:r>
    </w:p>
    <w:p>
      <w:pPr>
        <w:numPr>
          <w:ilvl w:val="0"/>
          <w:numId w:val="1016"/>
        </w:numPr>
        <w:pStyle w:val="Compact"/>
      </w:pPr>
      <w:r>
        <w:t xml:space="preserve">The LCOE of firmed renewables rises with their share, and GenCost’s integration costs cover this only up to the shares it models.</w:t>
      </w:r>
    </w:p>
    <w:p>
      <w:pPr>
        <w:numPr>
          <w:ilvl w:val="0"/>
          <w:numId w:val="1016"/>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6"/>
        </w:numPr>
        <w:pStyle w:val="Compact"/>
      </w:pPr>
      <w:r>
        <w:t xml:space="preserve">Renewable assets last about 25–30 years (GenCost). No replacement falls before 2050, but a whole-life comparison would need one.</w:t>
      </w:r>
    </w:p>
    <w:p>
      <w:pPr>
        <w:numPr>
          <w:ilvl w:val="0"/>
          <w:numId w:val="1016"/>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9"/>
    <w:bookmarkEnd w:id="120"/>
    <w:bookmarkStart w:id="127"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1"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1"/>
    <w:bookmarkStart w:id="122" w:name="b7.2-method"/>
    <w:p>
      <w:pPr>
        <w:pStyle w:val="Heading4"/>
      </w:pPr>
      <w:r>
        <w:t xml:space="preserve">B7.2 Method</w:t>
      </w:r>
    </w:p>
    <w:p>
      <w:pPr>
        <w:numPr>
          <w:ilvl w:val="0"/>
          <w:numId w:val="1017"/>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7"/>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7"/>
        </w:numPr>
        <w:pStyle w:val="Compact"/>
      </w:pPr>
      <w:r>
        <w:rPr>
          <w:bCs/>
          <w:b/>
        </w:rPr>
        <w:t xml:space="preserve">Total.</w:t>
      </w:r>
      <w:r>
        <w:t xml:space="preserve"> </w:t>
      </w:r>
      <w:r>
        <w:t xml:space="preserve">T = 100 × Σ w_c s_c, with weights renormalised to sum to 1.</w:t>
      </w:r>
    </w:p>
    <w:p>
      <w:pPr>
        <w:numPr>
          <w:ilvl w:val="0"/>
          <w:numId w:val="1017"/>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7"/>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2"/>
    <w:bookmarkStart w:id="123"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3"/>
    <w:bookmarkStart w:id="124"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8"/>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8"/>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8"/>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4"/>
    <w:bookmarkStart w:id="125"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5"/>
    <w:bookmarkStart w:id="126" w:name="b7.6-limitations"/>
    <w:p>
      <w:pPr>
        <w:pStyle w:val="Heading4"/>
      </w:pPr>
      <w:r>
        <w:t xml:space="preserve">B7.6 Limitations</w:t>
      </w:r>
    </w:p>
    <w:p>
      <w:pPr>
        <w:numPr>
          <w:ilvl w:val="0"/>
          <w:numId w:val="1019"/>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9"/>
        </w:numPr>
        <w:pStyle w:val="Compact"/>
      </w:pPr>
      <w:r>
        <w:t xml:space="preserve">Local min–max scaling makes each score depend on which options are compared. The status quo’s second place changes on fixed global scales (B7.4).</w:t>
      </w:r>
    </w:p>
    <w:p>
      <w:pPr>
        <w:numPr>
          <w:ilvl w:val="0"/>
          <w:numId w:val="1019"/>
        </w:numPr>
        <w:pStyle w:val="Compact"/>
      </w:pPr>
      <w:r>
        <w:t xml:space="preserve">Renewables’ supply HHI uses solar PV only; batteries, wind turbines and transmission are not assessed, and the IEA (2022) report was not opened in full.</w:t>
      </w:r>
    </w:p>
    <w:p>
      <w:pPr>
        <w:numPr>
          <w:ilvl w:val="0"/>
          <w:numId w:val="1019"/>
        </w:numPr>
        <w:pStyle w:val="Compact"/>
      </w:pPr>
      <w:r>
        <w:t xml:space="preserve">TRL is not scored, and first-power years depend on CSIRO’s 2040 and the Coalition’s 2035 (as reported).</w:t>
      </w:r>
    </w:p>
    <w:p>
      <w:pPr>
        <w:numPr>
          <w:ilvl w:val="0"/>
          <w:numId w:val="1019"/>
        </w:numPr>
        <w:pStyle w:val="Compact"/>
      </w:pPr>
      <w:r>
        <w:t xml:space="preserve">Renewables’ 30 g/kWh and 2028 start are assumptions, and the GenCost reading is the one stated in B6. Adding several TWh of renewables would itself change the grid trajectory (B6.4).</w:t>
      </w:r>
    </w:p>
    <w:p>
      <w:pPr>
        <w:numPr>
          <w:ilvl w:val="0"/>
          <w:numId w:val="1019"/>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6"/>
    <w:bookmarkEnd w:id="127"/>
    <w:bookmarkStart w:id="132"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8" w:name="X8871295422bcc52b42d843e419a224e284f0009"/>
    <w:p>
      <w:pPr>
        <w:pStyle w:val="Heading4"/>
      </w:pPr>
      <w:r>
        <w:t xml:space="preserve">B8.1 Perceived and actual safety, and deaths avoided</w:t>
      </w:r>
    </w:p>
    <w:p>
      <w:pPr>
        <w:numPr>
          <w:ilvl w:val="0"/>
          <w:numId w:val="1020"/>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20"/>
        </w:numPr>
        <w:pStyle w:val="Compact"/>
      </w:pPr>
      <w:r>
        <w:t xml:space="preserve">Output of one unit: 300 MWe × 8,760 h × 0.9 = 2.365 TWh a year (2.102–2.497 at capacity factors of 0.80–0.95).</w:t>
      </w:r>
    </w:p>
    <w:p>
      <w:pPr>
        <w:numPr>
          <w:ilvl w:val="0"/>
          <w:numId w:val="1020"/>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8"/>
    <w:bookmarkStart w:id="129"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9"/>
    <w:bookmarkStart w:id="130"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30"/>
    <w:bookmarkStart w:id="131"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1"/>
    <w:bookmarkEnd w:id="132"/>
    <w:bookmarkEnd w:id="133"/>
    <w:bookmarkStart w:id="141" w:name="X2538f2b2fc20c8063ffc88885f2cb513202a3b3"/>
    <w:p>
      <w:pPr>
        <w:pStyle w:val="Heading2"/>
      </w:pPr>
      <w:r>
        <w:t xml:space="preserve">Appendix C. Sensitivity: tornado and Monte Carlo set-up and results</w:t>
      </w:r>
    </w:p>
    <w:p>
      <w:pPr>
        <w:pStyle w:val="FirstParagraph"/>
      </w:pPr>
      <w:r>
        <w:rPr>
          <w:rStyle w:val="TeamNote"/>
        </w:rPr>
        <w:t xml:space="preserve">SAM: please review this appendix.</w:t>
      </w:r>
    </w:p>
    <w:p>
      <w:pPr>
        <w:pStyle w:val="BodyText"/>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4" w:name="c1.-set-up"/>
    <w:p>
      <w:pPr>
        <w:pStyle w:val="Heading3"/>
      </w:pPr>
      <w:r>
        <w:t xml:space="preserve">C1. Set-up</w:t>
      </w:r>
    </w:p>
    <w:p>
      <w:pPr>
        <w:numPr>
          <w:ilvl w:val="0"/>
          <w:numId w:val="1021"/>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21"/>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21"/>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21"/>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21"/>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21"/>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4"/>
    <w:bookmarkStart w:id="135"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5"/>
    <w:bookmarkStart w:id="136"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6"/>
    <w:bookmarkStart w:id="137"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7"/>
    <w:bookmarkStart w:id="138"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22"/>
        </w:numPr>
        <w:pStyle w:val="Compact"/>
      </w:pPr>
      <w:r>
        <w:t xml:space="preserve">A triangular distribution’s mean is (low + mode + high) / 3. For conversion heat that is (26 + 26 + 665) / 3 ≈ 239 kWh/kg U, nine times the mode of 26.</w:t>
      </w:r>
    </w:p>
    <w:p>
      <w:pPr>
        <w:numPr>
          <w:ilvl w:val="0"/>
          <w:numId w:val="1022"/>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22"/>
        </w:numPr>
        <w:pStyle w:val="Compact"/>
      </w:pPr>
      <w:r>
        <w:t xml:space="preserve">C1’s saving is almost symmetric (mode 2,200 t, median 2,217 t), so its share of the total falls from 0.54% at the mode case to 0.36%.</w:t>
      </w:r>
    </w:p>
    <w:p>
      <w:pPr>
        <w:numPr>
          <w:ilvl w:val="0"/>
          <w:numId w:val="1022"/>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22"/>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8"/>
    <w:bookmarkStart w:id="139" w:name="X861311e05ca973e4ff92563d183b5e9367fe19f"/>
    <w:p>
      <w:pPr>
        <w:pStyle w:val="Heading3"/>
      </w:pPr>
      <w:r>
        <w:t xml:space="preserve">C6. Limitations of the uncertainty analysis</w:t>
      </w:r>
    </w:p>
    <w:p>
      <w:pPr>
        <w:numPr>
          <w:ilvl w:val="0"/>
          <w:numId w:val="1023"/>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23"/>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23"/>
        </w:numPr>
        <w:pStyle w:val="Compact"/>
      </w:pPr>
      <w:r>
        <w:rPr>
          <w:bCs/>
          <w:b/>
        </w:rPr>
        <w:t xml:space="preserve">Triangular shape.</w:t>
      </w:r>
      <w:r>
        <w:t xml:space="preserve"> </w:t>
      </w:r>
      <w:r>
        <w:t xml:space="preserve">A convention, not a fitted distribution; Table C5 tests it for conversion heat only.</w:t>
      </w:r>
    </w:p>
    <w:p>
      <w:pPr>
        <w:numPr>
          <w:ilvl w:val="0"/>
          <w:numId w:val="1023"/>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23"/>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9"/>
    <w:bookmarkStart w:id="140"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40"/>
    <w:bookmarkEnd w:id="141"/>
    <w:bookmarkStart w:id="146" w:name="appendix-e.-search-log"/>
    <w:p>
      <w:pPr>
        <w:pStyle w:val="Heading2"/>
      </w:pPr>
      <w:r>
        <w:t xml:space="preserve">Appendix E. Search log</w:t>
      </w:r>
    </w:p>
    <w:p>
      <w:pPr>
        <w:pStyle w:val="FirstParagraph"/>
      </w:pPr>
      <w:r>
        <w:rPr>
          <w:rStyle w:val="TeamNote"/>
        </w:rPr>
        <w:t xml:space="preserve">LEROY: please check or replace this search log with your own Google Patents searches.</w:t>
      </w:r>
    </w:p>
    <w:p>
      <w:pPr>
        <w:pStyle w:val="BodyText"/>
      </w:pPr>
      <w:r>
        <w:rPr>
          <w:iCs/>
          <w:i/>
        </w:rPr>
        <w:t xml:space="preserve">Drafted for Leroy; Leroy may reclaim.</w:t>
      </w:r>
    </w:p>
    <w:bookmarkStart w:id="142"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2"/>
    <w:bookmarkStart w:id="143"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3"/>
    <w:bookmarkStart w:id="144"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4"/>
    <w:bookmarkStart w:id="145"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5"/>
    <w:bookmarkEnd w:id="146"/>
    <w:bookmarkEnd w:id="147"/>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character" w:customStyle="1" w:styleId="TeamNote">
    <w:name w:val="TeamNote"/>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ADD STUDENT ID; Leroy Jean ADD STUDENT ID; Sam ADD SURNAME ADD STUDENT ID</dc:creator>
  <cp:keywords/>
  <dcterms:created xsi:type="dcterms:W3CDTF">2026-10-25T09:58:13Z</dcterms:created>
  <dcterms:modified xsi:type="dcterms:W3CDTF">2026-10-25T09:58:13Z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