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0.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spacing w:before="3600" w:after="120"/>
      </w:pPr>
      <w:r>
        <w:rPr/>
        <w:t xml:space="preserve">Small Modular Reactors</w:t>
      </w:r>
    </w:p>
    <w:p>
      <w:pPr>
        <w:pStyle w:val="Subtitle"/>
        <w:jc w:val="center"/>
        <w:spacing w:before="0" w:after="120"/>
      </w:pPr>
      <w:r>
        <w:rPr/>
        <w:t xml:space="preserve">MTE4593 Assignment 2</w:t>
      </w:r>
    </w:p>
    <w:p>
      <w:pPr>
        <w:jc w:val="center"/>
        <w:spacing w:before="240" w:after="120"/>
      </w:pPr>
      <w:r>
        <w:rPr>
          <w:sz w:val="22"/>
          <w:szCs w:val="22"/>
          <w:i/>
        </w:rPr>
        <w:t xml:space="preserve">Where small modular reactors cut the most carbon, what holds them back, and a low-clinker concrete initiative for Darlington</w:t>
      </w:r>
    </w:p>
    <w:p>
      <w:pPr>
        <w:jc w:val="center"/>
        <w:spacing w:before="600" w:after="120"/>
      </w:pPr>
      <w:r>
        <w:rPr>
          <w:sz w:val="20"/>
          <w:szCs w:val="20"/>
        </w:rPr>
        <w:t xml:space="preserve">Authors: Leroy Louis Jean (33880212), Sam [surname] ([student ID]), Victor Clarke ([student ID])</w:t>
      </w:r>
    </w:p>
    <w:p>
      <w:pPr>
        <w:jc w:val="center"/>
        <w:spacing w:before="0" w:after="120"/>
      </w:pPr>
      <w:r>
        <w:rPr>
          <w:sz w:val="20"/>
          <w:szCs w:val="20"/>
        </w:rPr>
        <w:t xml:space="preserve">Date of Submission: 25 October 2026</w:t>
      </w:r>
    </w:p>
    <w:p>
      <w:r>
        <w:br w:type="page"/>
      </w:r>
    </w:p>
    <w:bookmarkStart w:id="20" w:name="abstract"/>
    <w:p>
      <w:pPr>
        <w:pStyle w:val="Heading1"/>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p>
      <w:r>
        <w:br w:type="page"/>
      </w:r>
    </w:p>
    <w:p>
      <w:pPr>
        <w:pStyle w:val="Heading1"/>
      </w:pPr>
      <w:r>
        <w:t>Table of Contents</w:t>
      </w:r>
    </w:p>
    <w:p>
      <w:r>
        <w:fldChar w:fldCharType="begin" w:dirty="true"/>
      </w:r>
      <w:r>
        <w:instrText xml:space="preserve">TOC \o "1-2" \h \z \u</w:instrText>
      </w:r>
      <w:r>
        <w:fldChar w:fldCharType="separate"/>
      </w:r>
      <w:r>
        <w:t>Right-click here and choose Update Field to build the table of contents.</w:t>
      </w:r>
      <w:r>
        <w:fldChar w:fldCharType="end"/>
      </w:r>
    </w:p>
    <w:p>
      <w:r>
        <w:br w:type="page"/>
      </w:r>
    </w:p>
    <w:bookmarkEnd w:id="20"/>
    <w:bookmarkStart w:id="21" w:name="introduction"/>
    <w:p>
      <w:pPr>
        <w:pStyle w:val="Heading1"/>
      </w:pPr>
      <w:r>
        <w:t xml:space="preserve">1 Introduction</w:t>
      </w:r>
    </w:p>
    <w:p>
      <w:pPr>
        <w:pStyle w:val="FirstParagraph"/>
      </w:pPr>
      <w:r>
        <w:t xml:space="preserve">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pPr>
      <w:r>
        <w:t xml:space="preserve">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pPr>
      <w:r>
        <w:rPr>
          <w:iCs/>
          <w:i/>
        </w:rPr>
        <w:t xml:space="preserve">Darlington, Ontario</w:t>
      </w:r>
      <w:r>
        <w:t xml:space="preserve"> </w:t>
      </w:r>
      <w:r>
        <w:t xml:space="preserve">is the initiative site: Ontario Power Generation (OPG) plans four BWRX-300 units for C$20.9 billion, Unit 1 in service in 2030 (Ontario Power Generation, 2025a).</w:t>
      </w:r>
      <w:r>
        <w:t xml:space="preserve"> </w:t>
      </w:r>
      <w:r>
        <w:rPr>
          <w:iCs/>
          <w:i/>
        </w:rPr>
        <w:t xml:space="preserve">Liddell</w:t>
      </w:r>
      <w:r>
        <w:t xml:space="preserve"> </w:t>
      </w:r>
      <w:r>
        <w:t xml:space="preserve">is the Australian comparison.</w:t>
      </w:r>
    </w:p>
    <w:p>
      <w:pPr>
        <w:pStyle w:val="BodyText"/>
      </w:pPr>
      <w:r>
        <w:t xml:space="preserve">OPG should pilot limestone calcined clay cement (LC³) in eligible non-safety works first, using it in the steel-composite infill only if qualified and schedule-neutral (Sections 3.1.1–3.1.4, Section 3.1.5).</w:t>
      </w:r>
    </w:p>
    <w:p>
      <w:pPr>
        <w:pStyle w:val="BodyText"/>
      </w:pPr>
      <w:r>
        <w:t xml:space="preserve">We answer four research questions.</w:t>
      </w:r>
    </w:p>
    <w:p>
      <w:pPr>
        <w:numPr>
          <w:ilvl w:val="0"/>
          <w:numId w:val="1001"/>
        </w:numPr>
        <w:pStyle w:val="Compact"/>
      </w:pPr>
      <w:r>
        <w:t xml:space="preserve">What does one BWRX-300 emit? (Section 3.2)</w:t>
      </w:r>
    </w:p>
    <w:p>
      <w:pPr>
        <w:numPr>
          <w:ilvl w:val="0"/>
          <w:numId w:val="1001"/>
        </w:numPr>
        <w:pStyle w:val="Compact"/>
      </w:pPr>
      <w:r>
        <w:t xml:space="preserve">How much does C1 save, and what delay cancels it? (Sections 3.2–3.3)</w:t>
      </w:r>
    </w:p>
    <w:p>
      <w:pPr>
        <w:numPr>
          <w:ilvl w:val="0"/>
          <w:numId w:val="1001"/>
        </w:numPr>
        <w:pStyle w:val="Compact"/>
      </w:pPr>
      <w:r>
        <w:t xml:space="preserve">Does a unit’s climate value differ between Ontario and Liddell? (Section 3.3)</w:t>
      </w:r>
    </w:p>
    <w:p>
      <w:pPr>
        <w:numPr>
          <w:ilvl w:val="0"/>
          <w:numId w:val="1001"/>
        </w:numPr>
        <w:pStyle w:val="Compact"/>
      </w:pPr>
      <w:r>
        <w:t xml:space="preserve">Which barriers decide, and does an SMR beat firmed renewables? (Section 3.1.3, Sections 3.4–3.7)</w:t>
      </w:r>
    </w:p>
    <w:p>
      <w:r>
        <w:pict>
          <v:rect style="width:0;height:1.5pt" o:hralign="center" o:hrstd="t" o:hr="t"/>
        </w:pict>
      </w:r>
    </w:p>
    <w:bookmarkEnd w:id="21"/>
    <w:bookmarkStart w:id="22" w:name="data-sourcesmethodology"/>
    <w:p>
      <w:pPr>
        <w:pStyle w:val="Heading1"/>
      </w:pPr>
      <w:r>
        <w:t xml:space="preserve">2 Data Sources/Methodology</w:t>
      </w:r>
    </w:p>
    <w:p>
      <w:pPr>
        <w:pStyle w:val="FirstParagraph"/>
      </w:pPr>
      <w:r>
        <w:t xml:space="preserve">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t xml:space="preserve">A screening study following ISO 14040/14044 principles (International Organization for Standardization, 2006a; 2006b), not critically reviewed: functional unit 1 MWh of net electricity at the grid connection, cradle to grave (Section 3.2.1). The screening model is scripted in Python; a Granta EduPack Eco Audit cross-check was planned but not completed.</w:t>
      </w:r>
    </w:p>
    <w:p>
      <w:pPr>
        <w:pStyle w:val="BodyText"/>
      </w:pP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t xml:space="preserve">Search strategy and patent search: Appendix E.</w:t>
      </w:r>
    </w:p>
    <w:p>
      <w:r>
        <w:pict>
          <v:rect style="width:0;height:1.5pt" o:hralign="center" o:hrstd="t" o:hr="t"/>
        </w:pict>
      </w:r>
    </w:p>
    <w:bookmarkEnd w:id="22"/>
    <w:bookmarkStart w:id="77" w:name="discussion"/>
    <w:p>
      <w:pPr>
        <w:pStyle w:val="Heading1"/>
      </w:pPr>
      <w:r>
        <w:t xml:space="preserve">3 Discussion</w:t>
      </w:r>
    </w:p>
    <w:bookmarkStart w:id="28" w:name="overview-of-smr"/>
    <w:p>
      <w:pPr>
        <w:pStyle w:val="Heading2"/>
      </w:pPr>
      <w:r>
        <w:t xml:space="preserve">3.1 Overview of SMR</w:t>
      </w:r>
    </w:p>
    <w:bookmarkStart w:id="23" w:name="current-projects-and-patents"/>
    <w:p>
      <w:pPr>
        <w:pStyle w:val="Heading3"/>
      </w:pPr>
      <w:r>
        <w:t xml:space="preserve">3.1.1 Current Projects and Patents</w:t>
      </w:r>
    </w:p>
    <w:p>
      <w:pPr>
        <w:pStyle w:val="FirstParagraph"/>
      </w:pPr>
      <w:r>
        <w:t xml:space="preserve">No light-water SMR is yet reported operating on land; the BWRX-300 is the Western design closest to doing so, and China’s ACP100 (Linglong One) was still in commissioning, with no criticality reported, in May 2026. Table T1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T1.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t xml:space="preserve">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t xml:space="preserve">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matching first power at Liddell (Section 3.3).</w:t>
      </w:r>
    </w:p>
    <w:bookmarkEnd w:id="23"/>
    <w:bookmarkStart w:id="24" w:name="Xb1ffc1080fdf38f7feb2061406364c544a34d75"/>
    <w:p>
      <w:pPr>
        <w:pStyle w:val="Heading3"/>
      </w:pPr>
      <w:r>
        <w:t xml:space="preserve">3.1.2 Technical Descriptions: the BWRX-300 at Darlington</w:t>
      </w:r>
    </w:p>
    <w:p>
      <w:pPr>
        <w:pStyle w:val="FirstParagraph"/>
      </w:pPr>
      <w:r>
        <w:t xml:space="preserve">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t xml:space="preserve">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3.1.4).</w:t>
      </w:r>
    </w:p>
    <w:bookmarkEnd w:id="24"/>
    <w:bookmarkStart w:id="25" w:name="X282bf2c80aeb6e14a6d21bd058e6df252031dca"/>
    <w:p>
      <w:pPr>
        <w:pStyle w:val="Heading3"/>
      </w:pPr>
      <w:r>
        <w:t xml:space="preserve">3.1.3 Barriers to cutting emissions with small modular reactors</w:t>
      </w:r>
    </w:p>
    <w:p>
      <w:pPr>
        <w:pStyle w:val="FirstParagraph"/>
      </w:pPr>
      <w:r>
        <w:t xml:space="preserve">Eight barriers decide whether a small modular reactor (SMR) is built and cuts emissions. The initiative, C1 (Section 3.1.4), reaches one directly and is constrained by a second. At Darlington, Ontario, cost and schedule bind. At Liddell, the closed New South Wales coal plant we use as the Australian comparison, law comes first and every later barrier is still open (Sections 3.4–3.6).</w:t>
      </w:r>
    </w:p>
    <w:p>
      <w:pPr>
        <w:pStyle w:val="BodyText"/>
      </w:pPr>
      <w:r>
        <w:rPr>
          <w:iCs/>
          <w:i/>
        </w:rPr>
        <w:t xml:space="preserve">Table T2.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(Section 3.5.1)</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(Section 3.3)</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(Section 3.5.2)</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11.5%</w:t>
            </w:r>
            <w:r>
              <w:t xml:space="preserve"> </w:t>
            </w:r>
            <w:r>
              <w:t xml:space="preserve">of life-cycle emissions is construction; C1 saves 2,200 t per unit (this study, Section 3.2)</w:t>
            </w:r>
          </w:p>
        </w:tc>
        <w:tc>
          <w:tcPr/>
          <w:p>
            <w:pPr>
              <w:pStyle w:val="Compact"/>
              <w:jc w:val="left"/>
            </w:pPr>
            <w:r>
              <w:t xml:space="preserve">Infill concrete needs nuclear qualification before Units 2–4 are fixed (Section 3.6.1)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(Section 3.4.2)</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(Section 3.4.2)</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(Section 3.4.2)</w:t>
            </w:r>
          </w:p>
        </w:tc>
        <w:tc>
          <w:tcPr/>
          <w:p>
            <w:pPr>
              <w:pStyle w:val="Compact"/>
              <w:jc w:val="left"/>
            </w:pPr>
            <w:r>
              <w:t xml:space="preserve">No</w:t>
            </w:r>
          </w:p>
        </w:tc>
      </w:tr>
    </w:tbl>
    <w:p>
      <w:pPr>
        <w:pStyle w:val="BodyText"/>
      </w:pPr>
      <w:r>
        <w:t xml:space="preserve">C1 moves only rows 2 and 5; Section 3.3 and Section 3.6.2 test the schedule risk.</w:t>
      </w:r>
    </w:p>
    <w:p>
      <w:r>
        <w:pict>
          <v:rect style="width:0;height:1.5pt" o:hralign="center" o:hrstd="t" o:hr="t"/>
        </w:pict>
      </w:r>
    </w:p>
    <w:bookmarkEnd w:id="25"/>
    <w:bookmarkStart w:id="26" w:name="X90098c7b12d1bfce5617586e418e3203c93a876"/>
    <w:p>
      <w:pPr>
        <w:pStyle w:val="Heading3"/>
      </w:pPr>
      <w:r>
        <w:t xml:space="preserve">3.1.4 The initiative: low-clinker concrete for the Darlington Units 2–4 infill</w:t>
      </w:r>
    </w:p>
    <w:p>
      <w:pPr>
        <w:pStyle w:val="FirstParagraph"/>
      </w:pPr>
      <w:r>
        <w:t xml:space="preserve">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3.3.1).</w:t>
      </w:r>
    </w:p>
    <w:p>
      <w:pPr>
        <w:pStyle w:val="BodyText"/>
      </w:pPr>
      <w:r>
        <w:t xml:space="preserve">Ontario Power Generation (OPG) should pilot limestone calcined clay cement (LC³; Scrivener et al., 2018) in eligible non-safety works first, and use it in steel-composite infill only if it is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Section 3.2.3;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t xml:space="preserve">Why it is not the obvious choice. First, the infill problem is specific to modular construction: a mix that flows, stays cool in thick sections and still shields has to be developed (Section 3.8). Second, C1’s value is set by schedule, not by the concrete: under three weeks of delay to a unit cancels its saving (Section 3.3.1), so C1 is a qualification programme timed to Unit 1 mock-ups rather than a binder swap. Third, its lever is financial: the Units 2–4 equity tranche can carry the condition (Section 3.6.2).</w:t>
      </w:r>
    </w:p>
    <w:p>
      <w:pPr>
        <w:pStyle w:val="BodyText"/>
      </w:pPr>
      <w:r>
        <w:t xml:space="preserve">What C1 does not address. It leaves cost, law, fuel supply, social licence and workforce untouched (Table T2); lower-carbon steel in the same structures is the next lever (Section 3.2.3, Section 3.8).</w:t>
      </w:r>
    </w:p>
    <w:p>
      <w:r>
        <w:pict>
          <v:rect style="width:0;height:1.5pt" o:hralign="center" o:hrstd="t" o:hr="t"/>
        </w:pict>
      </w:r>
    </w:p>
    <w:bookmarkEnd w:id="26"/>
    <w:bookmarkStart w:id="27" w:name="materials-from-extraction-to-end-of-life"/>
    <w:p>
      <w:pPr>
        <w:pStyle w:val="Heading3"/>
      </w:pPr>
      <w:r>
        <w:t xml:space="preserve">3.1.5 Materials from extraction to end-of-life</w:t>
      </w:r>
    </w:p>
    <w:p>
      <w:pPr>
        <w:pStyle w:val="FirstParagraph"/>
      </w:pPr>
      <w:r>
        <w:t xml:space="preserve">For C1, the binder’s carbon arises in the kiln, but its risks arise in the pour and at decommissioning. Stages follow Section 3.2’s boundary; operation, decommissioning and waste use published per-kWh values (Section 3.2.1).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(Section 3.8)</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BodyText"/>
      </w:pP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(Section 3.8).</w:t>
      </w:r>
    </w:p>
    <w:bookmarkEnd w:id="27"/>
    <w:bookmarkEnd w:id="28"/>
    <w:bookmarkStart w:id="49" w:name="lifecycle-analysis"/>
    <w:p>
      <w:pPr>
        <w:pStyle w:val="Heading2"/>
      </w:pPr>
      <w:r>
        <w:t xml:space="preserve">3.2 Lifecycle Analysis</w:t>
      </w:r>
    </w:p>
    <w:p>
      <w:pPr>
        <w:pStyle w:val="FirstParagraph"/>
      </w:pPr>
      <w:r>
        <w:t xml:space="preserve">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bookmarkStart w:id="32" w:name="goal-scope-and-method"/>
    <w:p>
      <w:pPr>
        <w:pStyle w:val="Heading3"/>
      </w:pPr>
      <w:r>
        <w:t xml:space="preserve">3.2.1 Goal, scope and method</w:t>
      </w:r>
    </w:p>
    <w:p>
      <w:pPr>
        <w:pStyle w:val="FirstParagraph"/>
      </w:pPr>
      <w:r>
        <w:t xml:space="preserve">This is a screening LCA of one BWRX-300 at Darlington following ISO 14040/14044 principles (International Organization for Standardization, 2006a; 2006b), not critically reviewed.</w:t>
      </w:r>
    </w:p>
    <w:p>
      <w:pPr>
        <w:pStyle w:val="BodyText"/>
      </w:pPr>
      <w:r>
        <w:t xml:space="preserve">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pPr>
      <w:r>
        <w:t xml:space="preserve">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3.2.2 Baseline and hotspots</w:t>
      </w:r>
    </w:p>
    <w:p>
      <w:pPr>
        <w:pStyle w:val="FirstParagraph"/>
      </w:pPr>
      <w:r>
        <w:t xml:space="preserve">One unit emits 4.40 g/kWh (median; 90% interval 3.24–6.05). With every input at its most likely value (the</w:t>
      </w:r>
      <w:r>
        <w:t xml:space="preserve"> </w:t>
      </w:r>
      <w:r>
        <w:t xml:space="preserve">“</w:t>
      </w:r>
      <w:r>
        <w:t xml:space="preserve">mode case</w:t>
      </w:r>
      <w:r>
        <w:t xml:space="preserve">”</w:t>
      </w:r>
      <w:r>
        <w:t xml:space="preserve">) it is 2.86; Section 3.2.4 explains the gap. On the expected basis (Figure F2):</w:t>
      </w:r>
    </w:p>
    <w:p>
      <w:pPr>
        <w:pStyle w:val="BodyText"/>
      </w:pPr>
      <w:r>
        <w:t xml:space="preserve">Mining and milling: 1.26 g/kWh (28%), low because Saskatchewan ores are high-grade (Parker, McNaughton and Sparrow, 2016). Conversion: 1.10 g/kWh (25%), an</w:t>
      </w:r>
      <w:r>
        <w:t xml:space="preserve"> </w:t>
      </w:r>
      <w:r>
        <w:rPr>
          <w:iCs/>
          <w:i/>
        </w:rPr>
        <w:t xml:space="preserve">uncertainty</w:t>
      </w:r>
      <w:r>
        <w:t xml:space="preserve"> </w:t>
      </w:r>
      <w:r>
        <w:t xml:space="preserve">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pPr>
      <w:r>
        <w:t xml:space="preserve">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3.2.3 The initiative against the baseline</w:t>
      </w:r>
    </w:p>
    <w:p>
      <w:pPr>
        <w:pStyle w:val="FirstParagraph"/>
      </w:pPr>
      <w:r>
        <w:t xml:space="preserve">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w:t>
      </w:r>
    </w:p>
    <w:p>
      <w:pPr>
        <w:pStyle w:val="BodyText"/>
      </w:pPr>
      <w:r>
        <w:t xml:space="preserve">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bookmarkEnd w:id="37"/>
    <w:bookmarkStart w:id="44" w:name="uncertainty-tornado-and-monte-carlo"/>
    <w:p>
      <w:pPr>
        <w:pStyle w:val="Heading3"/>
      </w:pPr>
      <w:r>
        <w:t xml:space="preserve">3.2.4 Uncertainty: tornado and Monte Carlo</w:t>
      </w:r>
    </w:p>
    <w:p>
      <w:pPr>
        <w:pStyle w:val="FirstParagraph"/>
      </w:pPr>
      <w:r>
        <w:t xml:space="preserve">The tornado varies 45 inputs one at a time; the Monte Carlo varies them together, 20,000 times (Appendix C).</w:t>
      </w:r>
    </w:p>
    <w:p>
      <w:pPr>
        <w:pStyle w:val="BodyText"/>
      </w:pPr>
      <w:r>
        <w:t xml:space="preserve">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t xml:space="preserve">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3.2.5 Comparison with published values</w:t>
      </w:r>
    </w:p>
    <w:p>
      <w:pPr>
        <w:pStyle w:val="FirstParagraph"/>
      </w:pPr>
      <w:r>
        <w:t xml:space="preserve">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pPr>
      <w:r>
        <w:t xml:space="preserve">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pPr>
      <w:r>
        <w:t xml:space="preserve">The known low bias would raise the total and shrink C1’s share, so it does not weaken Section 3.2.3.</w:t>
      </w:r>
    </w:p>
    <w:p>
      <w:pPr>
        <w:pStyle w:val="CaptionedFigure"/>
      </w:pPr>
      <w:r>
        <w:drawing>
          <wp:inline>
            <wp:extent cx="5441315" cy="2060676"/>
            <wp:effectExtent b="0" l="0" r="0" t="0"/>
            <wp:docPr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3ddf3e033a24408f4e033b74259d967de4cad05"/>
    <w:p>
      <w:pPr>
        <w:pStyle w:val="Heading2"/>
      </w:pPr>
      <w:r>
        <w:t xml:space="preserve">3.3 National Strategies and Industrial Policies: Carbon Avoided in Ontario and Australia</w:t>
      </w:r>
    </w:p>
    <w:p>
      <w:pPr>
        <w:pStyle w:val="FirstParagraph"/>
      </w:pPr>
      <w:r>
        <w:t xml:space="preserve">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3.3.1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t xml:space="preserve">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Construction materials appear to fall outside Ontario’s industrial carbon pricing (our inference; Section 3.5.1), so no one is paid for the saving. Schedule neutrality is therefore the binding condition on C1. The mix must be qualified on Unit 1 mock-ups before the Units 2–4 decision expected in 2028 (Section 3.6.2).</w:t>
      </w:r>
    </w:p>
    <w:bookmarkEnd w:id="50"/>
    <w:bookmarkStart w:id="54" w:name="Xb77cf30fc1ffb1f20fb94e7af23c490604b5f45"/>
    <w:p>
      <w:pPr>
        <w:pStyle w:val="Heading3"/>
      </w:pPr>
      <w:r>
        <w:t xml:space="preserve">3.3.2 What one BWRX-300 displaces: Darlington vs Liddell</w:t>
      </w:r>
    </w:p>
    <w:p>
      <w:pPr>
        <w:pStyle w:val="FirstParagraph"/>
      </w:pPr>
      <w:r>
        <w:t xml:space="preserve">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pPr>
      <w:r>
        <w:t xml:space="preserve">The plants would not run in the same years. Darlington Unit 1 is planned for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 1.0–6.8 Mt and Liddell 0.67–3.9 Mt. Liddell wins clearly only if the NEM stays at 640 g/kWh (16.5 Mt). The grid trajectory, start year and post-coal floor move these results tenfold; capacity factor, net output and our life-cycle interval move them by a few per cent (Appendix B4). An SMR’s climate value depends on when it runs and what it displaces, not on today’s coal share.</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3.3.3 The same money on firmed renewables</w:t>
      </w:r>
    </w:p>
    <w:p>
      <w:pPr>
        <w:pStyle w:val="FirstParagraph"/>
      </w:pPr>
      <w: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pPr>
      <w:r>
        <w:t xml:space="preserve">Renewables win because they are cheaper per MWh and start about a decade earlier. Two limits apply: that much new output would shift the grid trajectory, and integration costs rise beyond the shares GenCost models. On carbon per dollar, an SMR at Liddell loses. Its case rests on firm supply, land use, system security and a hedge against renewables or transmission falling behind, which Section 3.7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5" w:name="stakeholder-analysis"/>
    <w:p>
      <w:pPr>
        <w:pStyle w:val="Heading2"/>
      </w:pPr>
      <w:r>
        <w:t xml:space="preserve">3.4 Stakeholder Analysis</w:t>
      </w:r>
    </w:p>
    <w:bookmarkStart w:id="63" w:name="stakeholders-and-money-flows"/>
    <w:p>
      <w:pPr>
        <w:pStyle w:val="Heading3"/>
      </w:pPr>
      <w:r>
        <w:t xml:space="preserve">3.4.1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pPr>
      <w:r>
        <w:t xml:space="preserve">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Sections 3.4–3.6. Source: this study, Appendix B8.2." title="" id="61" name="Picture"/>
            <a:graphic>
              <a:graphicData uri="http://schemas.openxmlformats.org/drawingml/2006/picture">
                <pic:pic>
                  <pic:nvPicPr>
                    <pic:cNvPr descr="/home/user/MTE4593-Group-Assignment/03_LCA_Calculations/results/F8_stakeholder_map.png" id="62" name="Picture"/>
                    <pic:cNvPicPr>
                      <a:picLocks noChangeArrowheads="1" noChangeAspect="1"/>
                    </pic:cNvPicPr>
                  </pic:nvPicPr>
                  <pic:blipFill>
                    <a:blip r:embed="rId60"/>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Sections 3.4–3.6. Source: this study, Appendix B8.2.</w:t>
      </w:r>
    </w:p>
    <w:p>
      <w:pPr>
        <w:pStyle w:val="BodyText"/>
      </w:pPr>
      <w:r>
        <w:rPr>
          <w:iCs/>
          <w:i/>
        </w:rPr>
        <w:t xml:space="preserve">Table T7. Stakeholders at the C$20.9 bn Darlington New Nuclear Project: influence, interest in C1, and money.</w:t>
      </w:r>
      <w:r>
        <w:t xml:space="preserve"> </w:t>
      </w:r>
      <w:r>
        <w:rPr>
          <w:iCs/>
          <w:i/>
        </w:rPr>
        <w:t xml:space="preserve">Source: influence ratings and interests are our qualitative judgement, not survey data; money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Influence</w:t>
            </w:r>
          </w:p>
        </w:tc>
        <w:tc>
          <w:tcPr/>
          <w:p>
            <w:pPr>
              <w:pStyle w:val="Compact"/>
              <w:jc w:val="left"/>
            </w:pPr>
            <w:r>
              <w:t xml:space="preserve">Primary interest in C1</w:t>
            </w:r>
          </w:p>
        </w:tc>
        <w:tc>
          <w:tcPr/>
          <w:p>
            <w:pPr>
              <w:pStyle w:val="Compact"/>
              <w:jc w:val="left"/>
            </w:pPr>
            <w:r>
              <w:t xml:space="preserve">Money (share of budget)</w:t>
            </w:r>
          </w:p>
        </w:tc>
      </w:tr>
      <w:tr>
        <w:tc>
          <w:tcPr/>
          <w:p>
            <w:pPr>
              <w:pStyle w:val="Compact"/>
              <w:jc w:val="left"/>
            </w:pPr>
            <w:r>
              <w:t xml:space="preserve">OPG and its design authority</w:t>
            </w:r>
          </w:p>
        </w:tc>
        <w:tc>
          <w:tcPr/>
          <w:p>
            <w:pPr>
              <w:pStyle w:val="Compact"/>
              <w:jc w:val="left"/>
            </w:pPr>
            <w:r>
              <w:t xml:space="preserve">Very high</w:t>
            </w:r>
          </w:p>
        </w:tc>
        <w:tc>
          <w:tcPr/>
          <w:p>
            <w:pPr>
              <w:pStyle w:val="Compact"/>
              <w:jc w:val="left"/>
            </w:pPr>
            <w:r>
              <w:t xml:space="preserve">Safety, delivery; oversee qualification and a fallback mix</w:t>
            </w:r>
          </w:p>
        </w:tc>
        <w:tc>
          <w:tcPr/>
          <w:p>
            <w:pPr>
              <w:pStyle w:val="Compact"/>
              <w:jc w:val="left"/>
            </w:pPr>
            <w:r>
              <w:t xml:space="preserve">Pays C$16.2 bn (78%), repaid by ratepayers through Ontario Energy Board-approved rates (Ontario Power Generation, 2025b)</w:t>
            </w:r>
          </w:p>
        </w:tc>
      </w:tr>
      <w:tr>
        <w:tc>
          <w:tcPr/>
          <w:p>
            <w:pPr>
              <w:pStyle w:val="Compact"/>
              <w:jc w:val="left"/>
            </w:pPr>
            <w:r>
              <w:t xml:space="preserve">CNSC</w:t>
            </w:r>
          </w:p>
        </w:tc>
        <w:tc>
          <w:tcPr/>
          <w:p>
            <w:pPr>
              <w:pStyle w:val="Compact"/>
              <w:jc w:val="left"/>
            </w:pPr>
            <w:r>
              <w:t xml:space="preserve">Very high</w:t>
            </w:r>
          </w:p>
        </w:tc>
        <w:tc>
          <w:tcPr/>
          <w:p>
            <w:pPr>
              <w:pStyle w:val="Compact"/>
              <w:jc w:val="left"/>
            </w:pPr>
            <w:r>
              <w:t xml:space="preserve">Independent safety case</w:t>
            </w:r>
          </w:p>
        </w:tc>
        <w:tc>
          <w:tcPr/>
          <w:p>
            <w:pPr>
              <w:pStyle w:val="Compact"/>
              <w:jc w:val="left"/>
            </w:pPr>
            <w:r>
              <w:t xml:space="preserve">None</w:t>
            </w:r>
          </w:p>
        </w:tc>
      </w:tr>
      <w:tr>
        <w:tc>
          <w:tcPr/>
          <w:p>
            <w:pPr>
              <w:pStyle w:val="Compact"/>
              <w:jc w:val="left"/>
            </w:pPr>
            <w:r>
              <w:t xml:space="preserve">Williams Treaties First Nations</w:t>
            </w:r>
          </w:p>
        </w:tc>
        <w:tc>
          <w:tcPr/>
          <w:p>
            <w:pPr>
              <w:pStyle w:val="Compact"/>
              <w:jc w:val="left"/>
            </w:pPr>
            <w:r>
              <w:t xml:space="preserve">High</w:t>
            </w:r>
          </w:p>
        </w:tc>
        <w:tc>
          <w:tcPr/>
          <w:p>
            <w:pPr>
              <w:pStyle w:val="Compact"/>
              <w:jc w:val="left"/>
            </w:pPr>
            <w:r>
              <w:t xml:space="preserve">Long-term participation; rights-respecting engagement</w:t>
            </w:r>
          </w:p>
        </w:tc>
        <w:tc>
          <w:tcPr/>
          <w:p>
            <w:pPr>
              <w:pStyle w:val="Compact"/>
              <w:jc w:val="left"/>
            </w:pPr>
            <w:r>
              <w:t xml:space="preserve">Loan converting to equity, C$0.70 bn (3.3%); guarantors carry default risk (Williams Treaties First Nations et al., 2026)</w:t>
            </w:r>
          </w:p>
        </w:tc>
      </w:tr>
      <w:tr>
        <w:tc>
          <w:tcPr/>
          <w:p>
            <w:pPr>
              <w:pStyle w:val="Compact"/>
              <w:jc w:val="left"/>
            </w:pPr>
            <w:r>
              <w:t xml:space="preserve">Public financiers and investors</w:t>
            </w:r>
          </w:p>
        </w:tc>
        <w:tc>
          <w:tcPr/>
          <w:p>
            <w:pPr>
              <w:pStyle w:val="Compact"/>
              <w:jc w:val="left"/>
            </w:pPr>
            <w:r>
              <w:t xml:space="preserve">High</w:t>
            </w:r>
          </w:p>
        </w:tc>
        <w:tc>
          <w:tcPr/>
          <w:p>
            <w:pPr>
              <w:pStyle w:val="Compact"/>
              <w:jc w:val="left"/>
            </w:pPr>
            <w:r>
              <w:t xml:space="preserve">Investment risk, delivery milestones</w:t>
            </w:r>
          </w:p>
        </w:tc>
        <w:tc>
          <w:tcPr/>
          <w:p>
            <w:pPr>
              <w:pStyle w:val="Compact"/>
              <w:jc w:val="left"/>
            </w:pPr>
            <w:r>
              <w:t xml:space="preserve">Canada Infrastructure Bank loan, C$0.97 bn (4.6%) (Canada Infrastructure Bank, 2022); equity, C$3.0 bn (14.4%) (Canada Growth Fund and Building Ontario Fund, 2025)</w:t>
            </w:r>
          </w:p>
        </w:tc>
      </w:tr>
      <w:tr>
        <w:tc>
          <w:tcPr/>
          <w:p>
            <w:pPr>
              <w:pStyle w:val="Compact"/>
              <w:jc w:val="left"/>
            </w:pPr>
            <w:r>
              <w:t xml:space="preserve">Contractors and suppliers</w:t>
            </w:r>
          </w:p>
        </w:tc>
        <w:tc>
          <w:tcPr/>
          <w:p>
            <w:pPr>
              <w:pStyle w:val="Compact"/>
              <w:jc w:val="left"/>
            </w:pPr>
            <w:r>
              <w:t xml:space="preserve">High</w:t>
            </w:r>
          </w:p>
        </w:tc>
        <w:tc>
          <w:tcPr/>
          <w:p>
            <w:pPr>
              <w:pStyle w:val="Compact"/>
              <w:jc w:val="left"/>
            </w:pPr>
            <w:r>
              <w:t xml:space="preserve">Constructability, price, traceability</w:t>
            </w:r>
          </w:p>
        </w:tc>
        <w:tc>
          <w:tcPr/>
          <w:p>
            <w:pPr>
              <w:pStyle w:val="Compact"/>
              <w:jc w:val="left"/>
            </w:pPr>
            <w:r>
              <w:t xml:space="preserve">Earn the construction revenue, with GE Vernova Hitachi</w:t>
            </w:r>
          </w:p>
        </w:tc>
      </w:tr>
      <w:tr>
        <w:tc>
          <w:tcPr/>
          <w:p>
            <w:pPr>
              <w:pStyle w:val="Compact"/>
              <w:jc w:val="left"/>
            </w:pPr>
            <w:r>
              <w:t xml:space="preserve">Clarington residents and customers</w:t>
            </w:r>
          </w:p>
        </w:tc>
        <w:tc>
          <w:tcPr/>
          <w:p>
            <w:pPr>
              <w:pStyle w:val="Compact"/>
              <w:jc w:val="left"/>
            </w:pPr>
            <w:r>
              <w:t xml:space="preserve">Medium–high</w:t>
            </w:r>
          </w:p>
        </w:tc>
        <w:tc>
          <w:tcPr/>
          <w:p>
            <w:pPr>
              <w:pStyle w:val="Compact"/>
              <w:jc w:val="left"/>
            </w:pPr>
            <w:r>
              <w:t xml:space="preserve">Air and water impacts, cost</w:t>
            </w:r>
          </w:p>
        </w:tc>
        <w:tc>
          <w:tcPr/>
          <w:p>
            <w:pPr>
              <w:pStyle w:val="Compact"/>
              <w:jc w:val="left"/>
            </w:pPr>
            <w:r>
              <w:t xml:space="preserve">Repay OPG’s share through rates</w:t>
            </w:r>
          </w:p>
        </w:tc>
      </w:tr>
    </w:tbl>
    <w:p>
      <w:r>
        <w:pict>
          <v:rect style="width:0;height:1.5pt" o:hralign="center" o:hrstd="t" o:hr="t"/>
        </w:pict>
      </w:r>
    </w:p>
    <w:bookmarkEnd w:id="63"/>
    <w:bookmarkStart w:id="64" w:name="social-licence"/>
    <w:p>
      <w:pPr>
        <w:pStyle w:val="Heading3"/>
      </w:pPr>
      <w:r>
        <w:t xml:space="preserve">3.4.2 Social licence</w:t>
      </w:r>
    </w:p>
    <w:p>
      <w:pPr>
        <w:pStyle w:val="FirstParagraph"/>
      </w:pPr>
      <w:r>
        <w:t xml:space="preserve">The same reactor has a social licence at Darlington and none at Liddell. Safety data do not explain the difference; consent, benefit and trust do (Table T8).</w:t>
      </w:r>
    </w:p>
    <w:p>
      <w:pPr>
        <w:pStyle w:val="BodyText"/>
      </w:pP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pPr>
      <w:r>
        <w:t xml:space="preserve">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t xml:space="preserve">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pPr>
      <w:r>
        <w:rPr>
          <w:iCs/>
          <w:i/>
        </w:rPr>
        <w:t xml:space="preserve">Table T8.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keeps acceptance low (Slovic, 1987)</w:t>
            </w:r>
          </w:p>
        </w:tc>
      </w:tr>
      <w:tr>
        <w:tc>
          <w:tcPr/>
          <w:p>
            <w:pPr>
              <w:pStyle w:val="Compact"/>
              <w:jc w:val="left"/>
            </w:pPr>
            <w:r>
              <w:t xml:space="preserve">Traditional Owners and consent</w:t>
            </w:r>
          </w:p>
        </w:tc>
        <w:tc>
          <w:tcPr/>
          <w:p>
            <w:pPr>
              <w:pStyle w:val="Compact"/>
              <w:jc w:val="left"/>
            </w:pPr>
            <w:r>
              <w:t xml:space="preserve">Duty to consult met; C$700 m loan converting to equity</w:t>
            </w:r>
          </w:p>
        </w:tc>
        <w:tc>
          <w:tcPr/>
          <w:p>
            <w:pPr>
              <w:pStyle w:val="Compact"/>
              <w:jc w:val="left"/>
            </w:pPr>
            <w:r>
              <w:t xml:space="preserve">Wonnarua people: no public position located; no process. Kimba ballot 61.6% yes, Barngarla excluded</w:t>
            </w:r>
          </w:p>
        </w:tc>
        <w:tc>
          <w:tcPr/>
          <w:p>
            <w:pPr>
              <w:pStyle w:val="Compact"/>
              <w:jc w:val="left"/>
            </w:pPr>
            <w:r>
              <w:t xml:space="preserve">Canada has a funded way to say yes; Australia has none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trades</w:t>
            </w:r>
          </w:p>
        </w:tc>
      </w:tr>
    </w:tbl>
    <w:p>
      <w:r>
        <w:pict>
          <v:rect style="width:0;height:1.5pt" o:hralign="center" o:hrstd="t" o:hr="t"/>
        </w:pict>
      </w:r>
    </w:p>
    <w:bookmarkEnd w:id="64"/>
    <w:bookmarkEnd w:id="65"/>
    <w:bookmarkStart w:id="68" w:name="market-analysis-and-economic-feasibility"/>
    <w:p>
      <w:pPr>
        <w:pStyle w:val="Heading2"/>
      </w:pPr>
      <w:r>
        <w:t xml:space="preserve">3.5 Market Analysis and Economic Feasibility</w:t>
      </w:r>
    </w:p>
    <w:bookmarkStart w:id="66" w:name="economics-finance-and-market-barriers"/>
    <w:p>
      <w:pPr>
        <w:pStyle w:val="Heading3"/>
      </w:pPr>
      <w:r>
        <w:t xml:space="preserve">3.5.1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t xml:space="preserve">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t xml:space="preserve">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t xml:space="preserve">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3.6.2 (Table T13).</w:t>
      </w:r>
    </w:p>
    <w:p>
      <w:pPr>
        <w:pStyle w:val="BodyText"/>
      </w:pPr>
      <w:r>
        <w:rPr>
          <w:iCs/>
          <w:i/>
        </w:rPr>
        <w:t xml:space="preserve">Table T9. Material-only cost of an LC³ premium on 20,000 m³ of eligible concrete per unit, against 2,200 t CO₂e saved.</w:t>
      </w:r>
      <w:r>
        <w:t xml:space="preserve"> </w:t>
      </w:r>
      <w:r>
        <w:rPr>
          <w:iCs/>
          <w:i/>
        </w:rPr>
        <w:t xml:space="preserve">Source: this study; premiums assumed. Carbon price from Environment and Climate Change Canada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Premium</w:t>
            </w:r>
          </w:p>
        </w:tc>
        <w:tc>
          <w:tcPr/>
          <w:p>
            <w:pPr>
              <w:pStyle w:val="Compact"/>
              <w:jc w:val="left"/>
            </w:pPr>
            <w:r>
              <w:t xml:space="preserve">Extra cost per unit</w:t>
            </w:r>
          </w:p>
        </w:tc>
        <w:tc>
          <w:tcPr/>
          <w:p>
            <w:pPr>
              <w:pStyle w:val="Compact"/>
              <w:jc w:val="left"/>
            </w:pPr>
            <w:r>
              <w:t xml:space="preserve">Per t CO₂e saved</w:t>
            </w:r>
          </w:p>
        </w:tc>
        <w:tc>
          <w:tcPr/>
          <w:p>
            <w:pPr>
              <w:pStyle w:val="Compact"/>
              <w:jc w:val="left"/>
            </w:pPr>
            <w:r>
              <w:t xml:space="preserve">Against C$95–115/t</w:t>
            </w:r>
          </w:p>
        </w:tc>
      </w:tr>
      <w:tr>
        <w:tc>
          <w:tcPr/>
          <w:p>
            <w:pPr>
              <w:pStyle w:val="Compact"/>
              <w:jc w:val="left"/>
            </w:pPr>
            <w:r>
              <w:t xml:space="preserve">C$0/m³</w:t>
            </w:r>
          </w:p>
        </w:tc>
        <w:tc>
          <w:tcPr/>
          <w:p>
            <w:pPr>
              <w:pStyle w:val="Compact"/>
              <w:jc w:val="left"/>
            </w:pPr>
            <w:r>
              <w:t xml:space="preserve">C$0</w:t>
            </w:r>
          </w:p>
        </w:tc>
        <w:tc>
          <w:tcPr/>
          <w:p>
            <w:pPr>
              <w:pStyle w:val="Compact"/>
              <w:jc w:val="left"/>
            </w:pPr>
            <w:r>
              <w:t xml:space="preserve">C$0</w:t>
            </w:r>
          </w:p>
        </w:tc>
        <w:tc>
          <w:tcPr/>
          <w:p>
            <w:pPr>
              <w:pStyle w:val="Compact"/>
              <w:jc w:val="left"/>
            </w:pPr>
            <w:r>
              <w:t xml:space="preserve">Free</w:t>
            </w:r>
          </w:p>
        </w:tc>
      </w:tr>
      <w:tr>
        <w:tc>
          <w:tcPr/>
          <w:p>
            <w:pPr>
              <w:pStyle w:val="Compact"/>
              <w:jc w:val="left"/>
            </w:pPr>
            <w:r>
              <w:t xml:space="preserve">C$10/m³</w:t>
            </w:r>
          </w:p>
        </w:tc>
        <w:tc>
          <w:tcPr/>
          <w:p>
            <w:pPr>
              <w:pStyle w:val="Compact"/>
              <w:jc w:val="left"/>
            </w:pPr>
            <w:r>
              <w:t xml:space="preserve">C$0.2 m</w:t>
            </w:r>
          </w:p>
        </w:tc>
        <w:tc>
          <w:tcPr/>
          <w:p>
            <w:pPr>
              <w:pStyle w:val="Compact"/>
              <w:jc w:val="left"/>
            </w:pPr>
            <w:r>
              <w:t xml:space="preserve">C$91</w:t>
            </w:r>
          </w:p>
        </w:tc>
        <w:tc>
          <w:tcPr/>
          <w:p>
            <w:pPr>
              <w:pStyle w:val="Compact"/>
              <w:jc w:val="left"/>
            </w:pPr>
            <w:r>
              <w:t xml:space="preserve">Below the price</w:t>
            </w:r>
          </w:p>
        </w:tc>
      </w:tr>
      <w:tr>
        <w:tc>
          <w:tcPr/>
          <w:p>
            <w:pPr>
              <w:pStyle w:val="Compact"/>
              <w:jc w:val="left"/>
            </w:pPr>
            <w:r>
              <w:t xml:space="preserve">C$25/m³</w:t>
            </w:r>
          </w:p>
        </w:tc>
        <w:tc>
          <w:tcPr/>
          <w:p>
            <w:pPr>
              <w:pStyle w:val="Compact"/>
              <w:jc w:val="left"/>
            </w:pPr>
            <w:r>
              <w:t xml:space="preserve">C$0.5 m</w:t>
            </w:r>
          </w:p>
        </w:tc>
        <w:tc>
          <w:tcPr/>
          <w:p>
            <w:pPr>
              <w:pStyle w:val="Compact"/>
              <w:jc w:val="left"/>
            </w:pPr>
            <w:r>
              <w:t xml:space="preserve">C$227</w:t>
            </w:r>
          </w:p>
        </w:tc>
        <w:tc>
          <w:tcPr/>
          <w:p>
            <w:pPr>
              <w:pStyle w:val="Compact"/>
              <w:jc w:val="left"/>
            </w:pPr>
            <w:r>
              <w:t xml:space="preserve">Above the price</w:t>
            </w:r>
          </w:p>
        </w:tc>
      </w:tr>
      <w:tr>
        <w:tc>
          <w:tcPr/>
          <w:p>
            <w:pPr>
              <w:pStyle w:val="Compact"/>
              <w:jc w:val="left"/>
            </w:pPr>
            <w:r>
              <w:t xml:space="preserve">C$50/m³</w:t>
            </w:r>
          </w:p>
        </w:tc>
        <w:tc>
          <w:tcPr/>
          <w:p>
            <w:pPr>
              <w:pStyle w:val="Compact"/>
              <w:jc w:val="left"/>
            </w:pPr>
            <w:r>
              <w:t xml:space="preserve">C$1.0 m</w:t>
            </w:r>
          </w:p>
        </w:tc>
        <w:tc>
          <w:tcPr/>
          <w:p>
            <w:pPr>
              <w:pStyle w:val="Compact"/>
              <w:jc w:val="left"/>
            </w:pPr>
            <w:r>
              <w:t xml:space="preserve">C$455</w:t>
            </w:r>
          </w:p>
        </w:tc>
        <w:tc>
          <w:tcPr/>
          <w:p>
            <w:pPr>
              <w:pStyle w:val="Compact"/>
              <w:jc w:val="left"/>
            </w:pPr>
            <w:r>
              <w:t xml:space="preserve">Above the price</w:t>
            </w:r>
          </w:p>
        </w:tc>
      </w:tr>
    </w:tbl>
    <w:p>
      <w:pPr>
        <w:pStyle w:val="BodyText"/>
      </w:pPr>
      <w:r>
        <w:rPr>
          <w:iCs/>
          <w:i/>
        </w:rPr>
        <w:t xml:space="preserve">Table T10.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6"/>
    <w:bookmarkStart w:id="67" w:name="supply-concentration-and-geopolitics"/>
    <w:p>
      <w:pPr>
        <w:pStyle w:val="Heading3"/>
      </w:pPr>
      <w:r>
        <w:t xml:space="preserve">3.5.2 Supply concentration and geopolitics</w:t>
      </w:r>
    </w:p>
    <w:p>
      <w:pPr>
        <w:pStyle w:val="FirstParagraph"/>
      </w:pPr>
      <w:r>
        <w:t xml:space="preserve">Every front-end fuel stage we measured is concentrated: each Herfindahl–Hirschman index (HHI; Section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T11). For Darlington this is a price risk; for an Australian SMR it is a sovereign risk.</w:t>
      </w:r>
    </w:p>
    <w:p>
      <w:pPr>
        <w:pStyle w:val="BodyText"/>
      </w:pP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pP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pPr>
      <w:r>
        <w:t xml:space="preserve">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pPr>
      <w:r>
        <w:rPr>
          <w:iCs/>
          <w:i/>
        </w:rPr>
        <w:t xml:space="preserve">Table T11.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r>
        <w:pict>
          <v:rect style="width:0;height:1.5pt" o:hralign="center" o:hrstd="t" o:hr="t"/>
        </w:pict>
      </w:r>
    </w:p>
    <w:bookmarkEnd w:id="67"/>
    <w:bookmarkEnd w:id="68"/>
    <w:bookmarkStart w:id="71" w:name="government-regulations-review"/>
    <w:p>
      <w:pPr>
        <w:pStyle w:val="Heading2"/>
      </w:pPr>
      <w:r>
        <w:t xml:space="preserve">3.6 Government Regulations Review</w:t>
      </w:r>
    </w:p>
    <w:bookmarkStart w:id="69" w:name="law-regulation-and-licensing"/>
    <w:p>
      <w:pPr>
        <w:pStyle w:val="Heading3"/>
      </w:pPr>
      <w:r>
        <w:t xml:space="preserve">3.6.1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pP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t xml:space="preserve">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p>
      <w:pPr>
        <w:pStyle w:val="BodyText"/>
      </w:pPr>
      <w:r>
        <w:t xml:space="preserve">The non-safety pilot needs no nuclear qualification. Infill qualification must start in 2027, with slag (S1) as the fallback (Section 3.6.2). At Liddell the barrier precedes any materials choice: none of these first-order barriers can be solved by changing Portland cement to LC³.</w:t>
      </w:r>
    </w:p>
    <w:p>
      <w:pPr>
        <w:pStyle w:val="BodyText"/>
      </w:pPr>
      <w:r>
        <w:rPr>
          <w:iCs/>
          <w:i/>
        </w:rPr>
        <w:t xml:space="preserve">Table T12.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(CNSC, 2026a)</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9"/>
    <w:bookmarkStart w:id="70" w:name="implementation-pathway"/>
    <w:p>
      <w:pPr>
        <w:pStyle w:val="Heading3"/>
      </w:pPr>
      <w:r>
        <w:t xml:space="preserve">3.6.2 Implementation pathway</w:t>
      </w:r>
    </w:p>
    <w:p>
      <w:pPr>
        <w:pStyle w:val="FirstParagraph"/>
      </w:pPr>
      <w:r>
        <w:t xml:space="preserve">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3.1.4; Pillai et al., 2019).</w:t>
      </w:r>
    </w:p>
    <w:p>
      <w:pPr>
        <w:pStyle w:val="BodyText"/>
      </w:pPr>
      <w:r>
        <w:rPr>
          <w:iCs/>
          <w:i/>
        </w:rPr>
        <w:t xml:space="preserve">Table T13. Levers for putting C1 into practice, compared.</w:t>
      </w:r>
      <w:r>
        <w:t xml:space="preserve"> </w:t>
      </w:r>
      <w:r>
        <w:rPr>
          <w:iCs/>
          <w:i/>
        </w:rPr>
        <w:t xml:space="preserve">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 When</w:t>
            </w:r>
          </w:p>
        </w:tc>
        <w:tc>
          <w:tcPr/>
          <w:p>
            <w:pPr>
              <w:pStyle w:val="Compact"/>
              <w:jc w:val="left"/>
            </w:pPr>
            <w:r>
              <w:t xml:space="preserve">Schedule risk</w:t>
            </w:r>
          </w:p>
        </w:tc>
        <w:tc>
          <w:tcPr/>
          <w:p>
            <w:pPr>
              <w:pStyle w:val="Compact"/>
              <w:jc w:val="left"/>
            </w:pPr>
            <w:r>
              <w:t xml:space="preserve">Qualification gate it depends on; outcome if not met</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Section 3.5.1)</w:t>
            </w:r>
          </w:p>
        </w:tc>
        <w:tc>
          <w:tcPr/>
          <w:p>
            <w:pPr>
              <w:pStyle w:val="Compact"/>
              <w:jc w:val="left"/>
            </w:pPr>
            <w:r>
              <w:t xml:space="preserve">Yes (own contracts); next procurement round (2027)</w:t>
            </w:r>
          </w:p>
        </w:tc>
        <w:tc>
          <w:tcPr/>
          <w:p>
            <w:pPr>
              <w:pStyle w:val="Compact"/>
              <w:jc w:val="left"/>
            </w:pPr>
            <w:r>
              <w:t xml:space="preserve">Low</w:t>
            </w:r>
          </w:p>
        </w:tc>
        <w:tc>
          <w:tcPr/>
          <w:p>
            <w:pPr>
              <w:pStyle w:val="Compact"/>
              <w:jc w:val="left"/>
            </w:pPr>
            <w:r>
              <w:t xml:space="preserve">Classification and provenance: each component’s safety function defined, binder traced; if not, exclude it and revert to the approved mix</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 with tranche 2 (around 2028)</w:t>
            </w:r>
          </w:p>
        </w:tc>
        <w:tc>
          <w:tcPr/>
          <w:p>
            <w:pPr>
              <w:pStyle w:val="Compact"/>
              <w:jc w:val="left"/>
            </w:pPr>
            <w:r>
              <w:t xml:space="preserve">Low, if the exemption is written in</w:t>
            </w:r>
          </w:p>
        </w:tc>
        <w:tc>
          <w:tcPr/>
          <w:p>
            <w:pPr>
              <w:pStyle w:val="Compact"/>
              <w:jc w:val="left"/>
            </w:pPr>
            <w:r>
              <w:t xml:space="preserve">Life-cycle verification: EPDs on a comparable product boundary, with transport modelled; if not, no quantified saving claim</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 months</w:t>
            </w:r>
          </w:p>
        </w:tc>
        <w:tc>
          <w:tcPr/>
          <w:p>
            <w:pPr>
              <w:pStyle w:val="Compact"/>
              <w:jc w:val="left"/>
            </w:pPr>
            <w:r>
              <w:t xml:space="preserve">Depends on wording</w:t>
            </w:r>
          </w:p>
        </w:tc>
        <w:tc>
          <w:tcPr/>
          <w:p>
            <w:pPr>
              <w:pStyle w:val="Compact"/>
              <w:jc w:val="left"/>
            </w:pPr>
            <w:r>
              <w:t xml:space="preserve">Design-authority acceptance, with CNSC review where relevant; if not, no use in affected safety-class works</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 2027</w:t>
            </w:r>
          </w:p>
        </w:tc>
        <w:tc>
          <w:tcPr/>
          <w:p>
            <w:pPr>
              <w:pStyle w:val="Compact"/>
              <w:jc w:val="left"/>
            </w:pPr>
            <w:r>
              <w:t xml:space="preserve">Removes the main schedule risk</w:t>
            </w:r>
          </w:p>
        </w:tc>
        <w:tc>
          <w:tcPr/>
          <w:p>
            <w:pPr>
              <w:pStyle w:val="Compact"/>
              <w:jc w:val="left"/>
            </w:pPr>
            <w:r>
              <w:t xml:space="preserve">Strength, heat, crack and durability data, lot records and mock-ups; if not met, a further trial, rework or rejection</w:t>
            </w:r>
          </w:p>
        </w:tc>
        <w:tc>
          <w:tcPr/>
          <w:p>
            <w:pPr>
              <w:pStyle w:val="Compact"/>
              <w:jc w:val="left"/>
            </w:pPr>
            <w:r>
              <w:t xml:space="preserve">— (enabling step for L1’s infill extension)</w:t>
            </w:r>
          </w:p>
        </w:tc>
      </w:tr>
    </w:tbl>
    <w:p>
      <w:pPr>
        <w:pStyle w:val="BodyText"/>
      </w:pPr>
      <w:r>
        <w:t xml:space="preserve">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t xml:space="preserve">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70"/>
    <w:bookmarkEnd w:id="71"/>
    <w:bookmarkStart w:id="75" w:name="X5539a185355627e6c3e07c8c8240218227305a6"/>
    <w:p>
      <w:pPr>
        <w:pStyle w:val="Heading2"/>
      </w:pPr>
      <w:r>
        <w:t xml:space="preserve">3.7 Triple-bottom-line evaluation and multi-criteria analysis</w:t>
      </w:r>
    </w:p>
    <w:p>
      <w:pPr>
        <w:pStyle w:val="FirstParagraph"/>
      </w:pPr>
      <w:r>
        <w:t xml:space="preserve">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bookmarkStart w:id="72" w:name="triple-bottom-line"/>
    <w:p>
      <w:pPr>
        <w:pStyle w:val="Heading3"/>
      </w:pPr>
      <w:r>
        <w:t xml:space="preserve">3.7.1 Triple bottom line</w:t>
      </w:r>
    </w:p>
    <w:p>
      <w:pPr>
        <w:pStyle w:val="FirstParagraph"/>
      </w:pPr>
      <w:r>
        <w:rPr>
          <w:iCs/>
          <w:i/>
        </w:rPr>
        <w:t xml:space="preserve">Table T14.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C1 assessment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(Section 3.2). C1 saves 2,200 t per unit at 40% eligibility, about 0.36%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Conditional benefit</w:t>
            </w:r>
          </w:p>
        </w:tc>
        <w:tc>
          <w:tcPr/>
          <w:p>
            <w:pPr>
              <w:pStyle w:val="Compact"/>
              <w:jc w:val="left"/>
            </w:pPr>
            <w:r>
              <w:t xml:space="preserve">Section 3.2.3, Section 3.3</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underwriting (our inference, Section 3.5.1).</w:t>
            </w:r>
          </w:p>
        </w:tc>
        <w:tc>
          <w:tcPr/>
          <w:p>
            <w:pPr>
              <w:pStyle w:val="Compact"/>
              <w:jc w:val="left"/>
            </w:pPr>
            <w:r>
              <w:t xml:space="preserve">Conditional feasibility</w:t>
            </w:r>
          </w:p>
        </w:tc>
        <w:tc>
          <w:tcPr/>
          <w:p>
            <w:pPr>
              <w:pStyle w:val="Compact"/>
              <w:jc w:val="left"/>
            </w:pPr>
            <w:r>
              <w:t xml:space="preserve">Section 3.3.3, Section 3.5.1</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 sourcing and workplace dust need open handling.</w:t>
            </w:r>
          </w:p>
        </w:tc>
        <w:tc>
          <w:tcPr/>
          <w:p>
            <w:pPr>
              <w:pStyle w:val="Compact"/>
              <w:jc w:val="left"/>
            </w:pPr>
            <w:r>
              <w:t xml:space="preserve">Stance −1.03; 59% want the ban kept. No legal route is open.</w:t>
            </w:r>
          </w:p>
        </w:tc>
        <w:tc>
          <w:tcPr/>
          <w:p>
            <w:pPr>
              <w:pStyle w:val="Compact"/>
              <w:jc w:val="left"/>
            </w:pPr>
            <w:r>
              <w:t xml:space="preserve">Acceptability depends on process</w:t>
            </w:r>
          </w:p>
        </w:tc>
        <w:tc>
          <w:tcPr/>
          <w:p>
            <w:pPr>
              <w:pStyle w:val="Compact"/>
              <w:jc w:val="left"/>
            </w:pPr>
            <w:r>
              <w:t xml:space="preserve">Section 3.6.1, Sections 3.4–3.6</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Controlled innovation</w:t>
            </w:r>
          </w:p>
        </w:tc>
        <w:tc>
          <w:tcPr/>
          <w:p>
            <w:pPr>
              <w:pStyle w:val="Compact"/>
              <w:jc w:val="left"/>
            </w:pPr>
            <w:r>
              <w:t xml:space="preserve">Sections 3.2–3.6</w:t>
            </w:r>
          </w:p>
        </w:tc>
      </w:tr>
    </w:tbl>
    <w:bookmarkEnd w:id="72"/>
    <w:bookmarkStart w:id="73" w:name="multi-criteria-analysis"/>
    <w:p>
      <w:pPr>
        <w:pStyle w:val="Heading3"/>
      </w:pPr>
      <w:r>
        <w:t xml:space="preserve">3.7.2 Multi-criteria analysis</w:t>
      </w:r>
    </w:p>
    <w:p>
      <w:pPr>
        <w:pStyle w:val="FirstParagraph"/>
      </w:pPr>
      <w:r>
        <w:t xml:space="preserve">Method in Section 2; working in Appendix B7; social-licence and legal scores from Appendix B8.3 and B3. Technology readiness level (TRL) is not scored.</w:t>
      </w:r>
    </w:p>
    <w:p>
      <w:pPr>
        <w:pStyle w:val="BodyText"/>
      </w:pPr>
      <w:r>
        <w:rPr>
          <w:iCs/>
          <w:i/>
        </w:rPr>
        <w:t xml:space="preserve">Table T15.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t xml:space="preserve">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pP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t xml:space="preserve">SMR + C1 and SMR are indistinguishable. At 2,200 t per unit (50,000 m³ of concrete, 40% eligible; BWRX-300 Ostrołęka sp. z o.o., 2023; Pillai et al., 2019), C1 moves the weighted score by under 0.005 point. At Liddell, an 18.5-day slip would forgo CO₂e equal to 15 times the saving (Appendix B7.5), so schedule neutrality decides whether C1 helps. The status quo’s second place over the SMR is a scaling artefact: it scores full marks on cost, supply and legal feasibility because it changes nothing.</w:t>
      </w:r>
    </w:p>
    <w:bookmarkEnd w:id="73"/>
    <w:bookmarkStart w:id="74" w:name="verdict-and-limits"/>
    <w:p>
      <w:pPr>
        <w:pStyle w:val="Heading3"/>
      </w:pPr>
      <w:r>
        <w:t xml:space="preserve">3.7.3 Verdict and limits</w:t>
      </w:r>
    </w:p>
    <w:p>
      <w:pPr>
        <w:pStyle w:val="FirstParagraph"/>
      </w:pPr>
      <w:r>
        <w:t xml:space="preserve">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guards against trading a carbon saving for structural or occupational risk. Qualification must start in 2027 for the 2028 Units 2–4 decision (Section 3.6.2).</w:t>
      </w:r>
    </w:p>
    <w:p>
      <w:pPr>
        <w:pStyle w:val="BodyText"/>
      </w:pPr>
      <w:r>
        <w:t xml:space="preserve">An SMR at Liddell would need its cost gap closed, first power well before 2040, and the legal and consent barriers removed (Appendix B3, route C). We would keep SMRs under review against Darlington’s outturn cost.</w:t>
      </w:r>
    </w:p>
    <w:p>
      <w:pPr>
        <w:pStyle w:val="BodyText"/>
      </w:pPr>
      <w:r>
        <w:t xml:space="preserve">The social, legal and renewables-supply scores and all four weight sets are our judgement; only</w:t>
      </w:r>
      <w:r>
        <w:t xml:space="preserve"> </w:t>
      </w:r>
      <w:r>
        <w:t xml:space="preserve">“</w:t>
      </w:r>
      <w:r>
        <w:t xml:space="preserve">renewables first</w:t>
      </w:r>
      <w:r>
        <w:t xml:space="preserve">”</w:t>
      </w:r>
      <w:r>
        <w:t xml:space="preserve"> </w:t>
      </w:r>
      <w:r>
        <w:t xml:space="preserve">is robust to the scaling. First power is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4"/>
    <w:bookmarkEnd w:id="75"/>
    <w:bookmarkStart w:id="76" w:name="future-material-properties-and-processes"/>
    <w:p>
      <w:pPr>
        <w:pStyle w:val="Heading2"/>
      </w:pPr>
      <w:r>
        <w:t xml:space="preserve">3.8 Future material properties and processes</w:t>
      </w:r>
    </w:p>
    <w:p>
      <w:pPr>
        <w:pStyle w:val="FirstParagraph"/>
      </w:pPr>
      <w:r>
        <w:t xml:space="preserve">C1 and the levers beyond it each depend on a property or process still to be proven (Table T16).</w:t>
      </w:r>
    </w:p>
    <w:p>
      <w:pPr>
        <w:pStyle w:val="BodyText"/>
      </w:pPr>
      <w:r>
        <w:rPr>
          <w:iCs/>
          <w:i/>
        </w:rPr>
        <w:t xml:space="preserve">Table T16.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2023b)</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(Section 3.5.2);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6"/>
    <w:bookmarkEnd w:id="77"/>
    <w:bookmarkStart w:id="78" w:name="conclusion"/>
    <w:p>
      <w:pPr>
        <w:pStyle w:val="Heading1"/>
      </w:pPr>
      <w:r>
        <w:t xml:space="preserve">4 Conclusion</w:t>
      </w:r>
    </w:p>
    <w:p>
      <w:pPr>
        <w:pStyle w:val="FirstParagraph"/>
      </w:pPr>
      <w: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t xml:space="preserve">Our answers to the four research questions are as follows.</w:t>
      </w:r>
    </w:p>
    <w:p>
      <w:pPr>
        <w:numPr>
          <w:ilvl w:val="0"/>
          <w:numId w:val="1002"/>
        </w:numPr>
        <w:pStyle w:val="Compact"/>
      </w:pPr>
      <w:r>
        <w:rPr>
          <w:iCs/>
          <w:i/>
        </w:rPr>
        <w:t xml:space="preserve">Life cycle (Section 3.2).</w:t>
      </w:r>
      <w:r>
        <w:t xml:space="preserve"> </w:t>
      </w:r>
      <w:r>
        <w:t xml:space="preserve">One BWRX-300 emits about 4 g CO₂e/kWh, mostly from the fuel front end; conversion heat is the largest uncertainty.</w:t>
      </w:r>
    </w:p>
    <w:p>
      <w:pPr>
        <w:numPr>
          <w:ilvl w:val="0"/>
          <w:numId w:val="1002"/>
        </w:numPr>
        <w:pStyle w:val="Compact"/>
      </w:pPr>
      <w:r>
        <w:rPr>
          <w:iCs/>
          <w:i/>
        </w:rPr>
        <w:t xml:space="preserve">C1 (Sections 3.2–3.3).</w:t>
      </w:r>
      <w:r>
        <w:t xml:space="preserve"> </w:t>
      </w:r>
      <w:r>
        <w:t xml:space="preserve">It saves 2,200 t per unit (1,100–3,300; Section 3.1.4), about 0.36% of the life cycle; a delay of 11.6–18.5 days cancels it (1.7–1.8 days on the marginal grid factor).</w:t>
      </w:r>
    </w:p>
    <w:p>
      <w:pPr>
        <w:numPr>
          <w:ilvl w:val="0"/>
          <w:numId w:val="1002"/>
        </w:numPr>
        <w:pStyle w:val="Compact"/>
      </w:pPr>
      <w:r>
        <w:rPr>
          <w:iCs/>
          <w:i/>
        </w:rPr>
        <w:t xml:space="preserve">Displacement (Section 3.3).</w:t>
      </w:r>
      <w:r>
        <w:t xml:space="preserve"> </w:t>
      </w:r>
      <w:r>
        <w:t xml:space="preserve">Darlington Unit 1 avoids 1.0–6.8 Mt CO₂e to 2050 and a Liddell unit 0.67–3.9 Mt; firmed renewables avoid 10.9 times more per dollar.</w:t>
      </w:r>
    </w:p>
    <w:p>
      <w:pPr>
        <w:numPr>
          <w:ilvl w:val="0"/>
          <w:numId w:val="1002"/>
        </w:numPr>
        <w:pStyle w:val="Compact"/>
      </w:pPr>
      <w:r>
        <w:rPr>
          <w:iCs/>
          <w:i/>
        </w:rPr>
        <w:t xml:space="preserve">Barriers and options (Section 3.1.3, Sections 3.4–3.7).</w:t>
      </w:r>
      <w:r>
        <w:t xml:space="preserve"> </w:t>
      </w:r>
      <w:r>
        <w:t xml:space="preserve">Law (three bans), cost (C$149–198/MWh) and time (2040 at the earliest) decide; firmed renewables rank first under all four weight sets (80 against 30 with equal weights).</w:t>
      </w:r>
    </w:p>
    <w:p>
      <w:pPr>
        <w:pStyle w:val="FirstParagraph"/>
      </w:pPr>
      <w:r>
        <w:t xml:space="preserve">Ranked materials levers.. Schedule: a month’s slip to Units 2–4 costs 29–175 times C1’s carbon value (Section 3.3). Fuel front end: a measured conversion-heat value would narrow the headline most (Section 3.2). Whole-plant steel: up to 3,714 t per unit, if feasible for nuclear-grade plate (Section 3.8). Concrete (C1): real and low-risk if schedule-neutral, but it moves the life cycle by about 0.36%.</w:t>
      </w:r>
    </w:p>
    <w:p>
      <w:pPr>
        <w:pStyle w:val="BodyText"/>
      </w:pPr>
      <w:r>
        <w:t xml:space="preserve">A screening LCA, not critically reviewed; MCDA scores and weights are our judgement; inputs are as described in Section 2; legislation is as compiled, without the 2025 EPBC reforms.</w:t>
      </w:r>
    </w:p>
    <w:p>
      <w:r>
        <w:pict>
          <v:rect style="width:0;height:1.5pt" o:hralign="center" o:hrstd="t" o:hr="t"/>
        </w:pict>
      </w:r>
    </w:p>
    <w:p>
      <w:r>
        <w:br w:type="page"/>
      </w:r>
    </w:p>
    <w:bookmarkEnd w:id="78"/>
    <w:bookmarkStart w:id="81" w:name="references"/>
    <w:p>
      <w:pPr>
        <w:pStyle w:val="Heading1"/>
      </w:pPr>
      <w:r>
        <w:t xml:space="preserve">5 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2023a.</w:t>
      </w:r>
      <w:r>
        <w:t xml:space="preserve"> </w:t>
      </w:r>
      <w:r>
        <w:rPr>
          <w:iCs/>
          <w:i/>
        </w:rPr>
        <w:t xml:space="preserve">REGDOC-2.5.2, Design of Reactor Facilities: Nuclear Power Plants</w:t>
      </w:r>
      <w:r>
        <w:t xml:space="preserve">, Version 2.1. [online] Ottawa: Canadian Nuclear Safety Commission. Available at: https://www.cnsc-ccsn.gc.ca/eng/acts-and-regulations/regulatory-documents/published/html/regdoc2-5-2-v2-1/ [Accessed 25 October 2026].</w:t>
      </w:r>
    </w:p>
    <w:p>
      <w:pPr>
        <w:pStyle w:val="BodyText"/>
      </w:pPr>
      <w:r>
        <w:t xml:space="preserve">Canadian Nuclear Safety Commission, 2023b.</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CSA Group, 2026.</w:t>
      </w:r>
      <w:r>
        <w:t xml:space="preserve"> </w:t>
      </w:r>
      <w:r>
        <w:rPr>
          <w:iCs/>
          <w:i/>
        </w:rPr>
        <w:t xml:space="preserve">CSA N287.2, Material requirements for concrete containment structures for nuclear power plants</w:t>
      </w:r>
      <w:r>
        <w:t xml:space="preserve">. [online] Standard catalogue information. Toronto: CSA Group. Available at: https://webstore.ansi.org/standards/csa/csan2872026 [Accessed 25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Canada, 2026.</w:t>
      </w:r>
      <w:r>
        <w:t xml:space="preserve"> </w:t>
      </w:r>
      <w:r>
        <w:rPr>
          <w:iCs/>
          <w:i/>
        </w:rPr>
        <w:t xml:space="preserve">Darlington New Nuclear Project</w:t>
      </w:r>
      <w:r>
        <w:t xml:space="preserve">. [online] Ottawa: Major Projects Office, updated 8 July 2026. Available at: https://www.canada.ca/en/privy-council/major-projects-office/projects/national/darlington.html [Accessed 25 October 2026].</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International Atomic Energy Agency, 2023.</w:t>
      </w:r>
      <w:r>
        <w:t xml:space="preserve"> </w:t>
      </w:r>
      <w:r>
        <w:rPr>
          <w:iCs/>
          <w:i/>
        </w:rPr>
        <w:t xml:space="preserve">What are small modular reactors (SMRs)?</w:t>
      </w:r>
      <w:r>
        <w:t xml:space="preserve"> </w:t>
      </w:r>
      <w:r>
        <w:t xml:space="preserve">[online] Vienna: International Atomic Energy Agency. Available at: https://www.iaea.org/newscenter/news/what-are-small-modular-reactors-smrs [Accessed 25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2026.</w:t>
      </w:r>
      <w:r>
        <w:t xml:space="preserve"> </w:t>
      </w:r>
      <w:r>
        <w:rPr>
          <w:iCs/>
          <w:i/>
        </w:rPr>
        <w:t xml:space="preserve">Regulatory process: deep geological repository for Canada’s used nuclear fuel project</w:t>
      </w:r>
      <w:r>
        <w:t xml:space="preserve">. [online] Toronto: Nuclear Waste Management Organization. Available at: https://www.nwmo.ca/en/Regulatory-process [Accessed 25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9" w:name="legislation"/>
    <w:p>
      <w:pPr>
        <w:pStyle w:val="Heading4"/>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9"/>
    <w:bookmarkStart w:id="80" w:name="cases"/>
    <w:p>
      <w:pPr>
        <w:pStyle w:val="Heading4"/>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80"/>
    <w:bookmarkEnd w:id="81"/>
    <w:bookmarkStart w:id="82" w:name="declaration-of-generative-ai-use"/>
    <w:p>
      <w:pPr>
        <w:pStyle w:val="Heading1"/>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82"/>
    <w:bookmarkStart w:id="115" w:name="appendices"/>
    <w:p>
      <w:pPr>
        <w:pStyle w:val="Heading1"/>
      </w:pPr>
      <w:r>
        <w:t xml:space="preserve">Appendices</w:t>
      </w:r>
    </w:p>
    <w:bookmarkStart w:id="92" w:name="Xddcc31d2d3503f687b8b233cd4a745104a63a5c"/>
    <w:p>
      <w:pPr>
        <w:pStyle w:val="Heading2"/>
      </w:pPr>
      <w:r>
        <w:t xml:space="preserve">Appendix A. LCA inventory and calculations</w:t>
      </w:r>
    </w:p>
    <w:p>
      <w:pPr>
        <w:pStyle w:val="FirstParagraph"/>
      </w:pPr>
      <w:r>
        <w:t xml:space="preserve">All calculations are reproducible from the Python scripts and parameter files in the team repository (03_LCA_Calculations).</w:t>
      </w:r>
    </w:p>
    <w:p>
      <w:pPr>
        <w:pStyle w:val="BodyText"/>
      </w:pPr>
      <w:r>
        <w:t xml:space="preserve">This is a screening LCA (ISO 14040/44 principles). Ostrołęka and Pillai values are used as reported; other inputs are assumptions or placeholders.</w:t>
      </w:r>
    </w:p>
    <w:bookmarkStart w:id="83" w:name="a1-reproducing-the-results"/>
    <w:p>
      <w:pPr>
        <w:pStyle w:val="Heading4"/>
      </w:pPr>
      <w:r>
        <w:t xml:space="preserve">A1 Reproducing the results</w:t>
      </w:r>
    </w:p>
    <w:p>
      <w:pPr>
        <w:pStyle w:val="FirstParagraph"/>
      </w:pPr>
      <w:r>
        <w:t xml:space="preserve">Edit</w:t>
      </w:r>
      <w:r>
        <w:t xml:space="preserve"> </w:t>
      </w:r>
      <w:r>
        <w:rPr>
          <w:rStyle w:val="VerbatimChar"/>
        </w:rPr>
        <w:t xml:space="preserve">parameters_lca.yaml</w:t>
      </w:r>
      <w:r>
        <w:t xml:space="preserve"> </w:t>
      </w:r>
      <w:r>
        <w:t xml:space="preserve">(68 parameters) and re-run</w:t>
      </w:r>
      <w:r>
        <w:t xml:space="preserve"> </w:t>
      </w:r>
      <w:r>
        <w:rPr>
          <w:rStyle w:val="VerbatimChar"/>
        </w:rPr>
        <w:t xml:space="preserve">lca_baseline.py</w:t>
      </w:r>
      <w:r>
        <w:t xml:space="preserve">,</w:t>
      </w:r>
      <w:r>
        <w:t xml:space="preserve"> </w:t>
      </w:r>
      <w:r>
        <w:rPr>
          <w:rStyle w:val="VerbatimChar"/>
        </w:rPr>
        <w:t xml:space="preserve">lca_scenarios.py</w:t>
      </w:r>
      <w:r>
        <w:t xml:space="preserve"> </w:t>
      </w:r>
      <w:r>
        <w:t xml:space="preserve">and</w:t>
      </w:r>
      <w:r>
        <w:t xml:space="preserve"> </w:t>
      </w:r>
      <w:r>
        <w:rPr>
          <w:rStyle w:val="VerbatimChar"/>
        </w:rPr>
        <w:t xml:space="preserve">lca_uncertainty.py</w:t>
      </w:r>
      <w:r>
        <w:t xml:space="preserve"> </w:t>
      </w:r>
      <w:r>
        <w:t xml:space="preserve">(</w:t>
      </w:r>
      <w:r>
        <w:rPr>
          <w:rStyle w:val="VerbatimChar"/>
        </w:rPr>
        <w:t xml:space="preserve">python3 -I 03_LCA_Calculations/scripts/&lt;name&gt;</w:t>
      </w:r>
      <w:r>
        <w:t xml:space="preserve">). Outputs are in</w:t>
      </w:r>
      <w:r>
        <w:t xml:space="preserve"> </w:t>
      </w:r>
      <w:r>
        <w:rPr>
          <w:rStyle w:val="VerbatimChar"/>
        </w:rPr>
        <w:t xml:space="preserve">03_LCA_Calculations/results/</w:t>
      </w:r>
      <w:r>
        <w:t xml:space="preserve">.</w:t>
      </w:r>
    </w:p>
    <w:bookmarkEnd w:id="83"/>
    <w:bookmarkStart w:id="84" w:name="a2-functional-unit"/>
    <w:p>
      <w:pPr>
        <w:pStyle w:val="Heading4"/>
      </w:pPr>
      <w:r>
        <w:t xml:space="preserve">A2 Functional unit</w:t>
      </w:r>
    </w:p>
    <w:p>
      <w:pPr>
        <w:numPr>
          <w:ilvl w:val="0"/>
          <w:numId w:val="1003"/>
        </w:numPr>
        <w:pStyle w:val="Compact"/>
      </w:pPr>
      <w:r>
        <w:t xml:space="preserve">Annual output = 300 MWe × 8,760 h × 0.90 = 2,365,200 MWh/yr.</w:t>
      </w:r>
    </w:p>
    <w:p>
      <w:pPr>
        <w:numPr>
          <w:ilvl w:val="0"/>
          <w:numId w:val="1003"/>
        </w:numPr>
        <w:pStyle w:val="Compact"/>
      </w:pPr>
      <w:r>
        <w:t xml:space="preserve">Lifetime output E = 2,365,200 × 60 years =</w:t>
      </w:r>
      <w:r>
        <w:t xml:space="preserve"> </w:t>
      </w:r>
      <w:r>
        <w:rPr>
          <w:bCs/>
          <w:b/>
        </w:rPr>
        <w:t xml:space="preserve">1.419 × 10⁸ MWh</w:t>
      </w:r>
      <w:r>
        <w:t xml:space="preserve">.</w:t>
      </w:r>
    </w:p>
    <w:p>
      <w:pPr>
        <w:numPr>
          <w:ilvl w:val="0"/>
          <w:numId w:val="1003"/>
        </w:numPr>
        <w:pStyle w:val="Compact"/>
      </w:pPr>
      <w:r>
        <w:t xml:space="preserve">Net efficiency = 300 / 870 MWt =</w:t>
      </w:r>
      <w:r>
        <w:t xml:space="preserve"> </w:t>
      </w:r>
      <w:r>
        <w:rPr>
          <w:bCs/>
          <w:b/>
        </w:rPr>
        <w:t xml:space="preserve">0.345</w:t>
      </w:r>
      <w:r>
        <w:t xml:space="preserve"> </w:t>
      </w:r>
      <w:r>
        <w:t xml:space="preserve">(Sun and Kurosaki, 2025, unrefereed preprint).</w:t>
      </w:r>
    </w:p>
    <w:p>
      <w:pPr>
        <w:numPr>
          <w:ilvl w:val="0"/>
          <w:numId w:val="1003"/>
        </w:numPr>
        <w:pStyle w:val="Compact"/>
      </w:pPr>
      <w:r>
        <w:t xml:space="preserve">Inputs: 300 MWe (GE Vernova Hitachi Nuclear Energy, n.d.; 315 in Ontario Power Generation, 2025b); capacity factor 0.90 (placeholder); life 60 years (Canadian Nuclear Safety Commission, 2024).</w:t>
      </w:r>
    </w:p>
    <w:bookmarkEnd w:id="84"/>
    <w:bookmarkStart w:id="85" w:name="a3-material-quantities-per-unit"/>
    <w:p>
      <w:pPr>
        <w:pStyle w:val="Heading4"/>
      </w:pPr>
      <w:r>
        <w:t xml:space="preserve">A3 Material quantities per unit</w:t>
      </w:r>
    </w:p>
    <w:p>
      <w:pPr>
        <w:numPr>
          <w:ilvl w:val="0"/>
          <w:numId w:val="1004"/>
        </w:numPr>
        <w:pStyle w:val="Compact"/>
      </w:pPr>
      <w:r>
        <w:t xml:space="preserve">Main case (BWRX-300 Ostrołęka sp. z o.o., 2023, as reported):</w:t>
      </w:r>
      <w:r>
        <w:t xml:space="preserve"> </w:t>
      </w:r>
      <w:r>
        <w:rPr>
          <w:bCs/>
          <w:b/>
        </w:rPr>
        <w:t xml:space="preserve">50,000 m³ concrete, 14,000 t steel</w:t>
      </w:r>
      <w:r>
        <w:t xml:space="preserve">, a Polish-design proxy rather than Darlington data.</w:t>
      </w:r>
    </w:p>
    <w:p>
      <w:pPr>
        <w:numPr>
          <w:ilvl w:val="0"/>
          <w:numId w:val="1004"/>
        </w:numPr>
        <w:pStyle w:val="Compact"/>
      </w:pPr>
      <w:r>
        <w:t xml:space="preserve">Rebar = 0.15 t/m³ × 50,000 = 7,500 t (assumption); plate and equipment steel = 14,000 − 7,500 = 6,500 t.</w:t>
      </w:r>
    </w:p>
    <w:p>
      <w:pPr>
        <w:numPr>
          <w:ilvl w:val="0"/>
          <w:numId w:val="1004"/>
        </w:numPr>
        <w:pStyle w:val="Compact"/>
      </w:pPr>
      <w:r>
        <w:t xml:space="preserve">C1-eligible concrete = 0.40 × 50,000 =</w:t>
      </w:r>
      <w:r>
        <w:t xml:space="preserve"> </w:t>
      </w:r>
      <w:r>
        <w:rPr>
          <w:bCs/>
          <w:b/>
        </w:rPr>
        <w:t xml:space="preserve">20,000 m³</w:t>
      </w:r>
      <w:r>
        <w:t xml:space="preserve"> </w:t>
      </w:r>
      <w:r>
        <w:t xml:space="preserve">(10,000 and 30,000 at 20% and 60%; a scenario, not data).</w:t>
      </w:r>
    </w:p>
    <w:p>
      <w:pPr>
        <w:numPr>
          <w:ilvl w:val="0"/>
          <w:numId w:val="1004"/>
        </w:numPr>
        <w:pStyle w:val="Compact"/>
      </w:pPr>
      <w:r>
        <w:t xml:space="preserve">Cross-check (Peterson, Zhao and Petroski, 2005; ESBWR 69 m³/MWe, 33 t/MWe): 20,700 m³ and 9,900 t.</w:t>
      </w:r>
    </w:p>
    <w:bookmarkEnd w:id="85"/>
    <w:bookmarkStart w:id="86" w:name="a4-construction-inventory"/>
    <w:p>
      <w:pPr>
        <w:pStyle w:val="Heading4"/>
      </w:pPr>
      <w:r>
        <w:t xml:space="preserve">A4 Construction inventory</w:t>
      </w:r>
    </w:p>
    <w:p>
      <w:pPr>
        <w:pStyle w:val="FirstParagraph"/>
      </w:pPr>
      <w:r>
        <w:t xml:space="preserve">Construction emits</w:t>
      </w:r>
      <w:r>
        <w:t xml:space="preserve"> </w:t>
      </w:r>
      <w:r>
        <w:rPr>
          <w:bCs/>
          <w:b/>
        </w:rPr>
        <w:t xml:space="preserve">57,600 t CO₂e per unit</w:t>
      </w:r>
      <w:r>
        <w:t xml:space="preserve"> </w:t>
      </w:r>
      <w:r>
        <w:t xml:space="preserve">(mode case, 0.41 g/kWh).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Quantity × factor</w:t>
            </w:r>
          </w:p>
        </w:tc>
        <w:tc>
          <w:tcPr/>
          <w:p>
            <w:pPr>
              <w:pStyle w:val="Compact"/>
              <w:jc w:val="right"/>
            </w:pPr>
            <w:r>
              <w:t xml:space="preserve">t CO₂e</w:t>
            </w:r>
          </w:p>
        </w:tc>
      </w:tr>
      <w:tr>
        <w:tc>
          <w:tcPr/>
          <w:p>
            <w:pPr>
              <w:pStyle w:val="Compact"/>
              <w:jc w:val="left"/>
            </w:pPr>
            <w:r>
              <w:t xml:space="preserve">Concrete (all)</w:t>
            </w:r>
          </w:p>
        </w:tc>
        <w:tc>
          <w:tcPr/>
          <w:p>
            <w:pPr>
              <w:pStyle w:val="Compact"/>
              <w:jc w:val="left"/>
            </w:pPr>
            <w:r>
              <w:t xml:space="preserve">50,000 m³ × 380 kg/m³</w:t>
            </w:r>
          </w:p>
        </w:tc>
        <w:tc>
          <w:tcPr/>
          <w:p>
            <w:pPr>
              <w:pStyle w:val="Compact"/>
              <w:jc w:val="right"/>
            </w:pPr>
            <w:r>
              <w:t xml:space="preserve">19,000</w:t>
            </w:r>
          </w:p>
        </w:tc>
      </w:tr>
      <w:tr>
        <w:tc>
          <w:tcPr/>
          <w:p>
            <w:pPr>
              <w:pStyle w:val="Compact"/>
              <w:jc w:val="left"/>
            </w:pPr>
            <w:r>
              <w:t xml:space="preserve">Rebar</w:t>
            </w:r>
          </w:p>
        </w:tc>
        <w:tc>
          <w:tcPr/>
          <w:p>
            <w:pPr>
              <w:pStyle w:val="Compact"/>
              <w:jc w:val="left"/>
            </w:pPr>
            <w:r>
              <w:t xml:space="preserve">7,500 t × 0.97</w:t>
            </w:r>
          </w:p>
        </w:tc>
        <w:tc>
          <w:tcPr/>
          <w:p>
            <w:pPr>
              <w:pStyle w:val="Compact"/>
              <w:jc w:val="right"/>
            </w:pPr>
            <w:r>
              <w:t xml:space="preserve">7,275</w:t>
            </w:r>
          </w:p>
        </w:tc>
      </w:tr>
      <w:tr>
        <w:tc>
          <w:tcPr/>
          <w:p>
            <w:pPr>
              <w:pStyle w:val="Compact"/>
              <w:jc w:val="left"/>
            </w:pPr>
            <w:r>
              <w:t xml:space="preserve">Plate and equipment steel</w:t>
            </w:r>
          </w:p>
        </w:tc>
        <w:tc>
          <w:tcPr/>
          <w:p>
            <w:pPr>
              <w:pStyle w:val="Compact"/>
              <w:jc w:val="left"/>
            </w:pPr>
            <w:r>
              <w:t xml:space="preserve">6,500 t × 1.73</w:t>
            </w:r>
          </w:p>
        </w:tc>
        <w:tc>
          <w:tcPr/>
          <w:p>
            <w:pPr>
              <w:pStyle w:val="Compact"/>
              <w:jc w:val="right"/>
            </w:pPr>
            <w:r>
              <w:t xml:space="preserve">11,245</w:t>
            </w:r>
          </w:p>
        </w:tc>
      </w:tr>
      <w:tr>
        <w:tc>
          <w:tcPr/>
          <w:p>
            <w:pPr>
              <w:pStyle w:val="Compact"/>
              <w:jc w:val="left"/>
            </w:pPr>
            <w:r>
              <w:t xml:space="preserve">Transport</w:t>
            </w:r>
          </w:p>
        </w:tc>
        <w:tc>
          <w:tcPr/>
          <w:p>
            <w:pPr>
              <w:pStyle w:val="Compact"/>
              <w:jc w:val="left"/>
            </w:pPr>
            <w:r>
              <w:t xml:space="preserve">15 km concrete, 500 km steel, 0.10 kg/t-km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above</w:t>
            </w:r>
          </w:p>
        </w:tc>
        <w:tc>
          <w:tcPr/>
          <w:p>
            <w:pPr>
              <w:pStyle w:val="Compact"/>
              <w:jc w:val="right"/>
            </w:pPr>
            <w:r>
              <w:t xml:space="preserve">19,200</w:t>
            </w:r>
          </w:p>
        </w:tc>
      </w:tr>
    </w:tbl>
    <w:p>
      <w:pPr>
        <w:pStyle w:val="BodyText"/>
      </w:pPr>
      <w:r>
        <w:t xml:space="preserve">Spreadsheet corrections: site is Clarington, not Ottawa; 4,127.29 m³ is forebay concrete plus rebar, not a bored volume; rebar uses an electric-arc-furnace factor.</w:t>
      </w:r>
    </w:p>
    <w:bookmarkEnd w:id="86"/>
    <w:bookmarkStart w:id="87" w:name="a5-emission-factors"/>
    <w:p>
      <w:pPr>
        <w:pStyle w:val="Heading4"/>
      </w:pPr>
      <w:r>
        <w:t xml:space="preserve">A5 Emission factors</w:t>
      </w:r>
    </w:p>
    <w:p>
      <w:pPr>
        <w:pStyle w:val="FirstParagraph"/>
      </w:pPr>
      <w:r>
        <w:t xml:space="preserve">Climate change, GWP100; cradle-to-gate for materials. Source:</w:t>
      </w:r>
      <w:r>
        <w:t xml:space="preserve"> </w:t>
      </w:r>
      <w:r>
        <w:rPr>
          <w:rStyle w:val="VerbatimChar"/>
        </w:rPr>
        <w:t xml:space="preserve">parameters_lca.yaml</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Central (range)</w:t>
            </w:r>
          </w:p>
        </w:tc>
        <w:tc>
          <w:tcPr/>
          <w:p>
            <w:pPr>
              <w:pStyle w:val="Compact"/>
              <w:jc w:val="left"/>
            </w:pPr>
            <w:r>
              <w:t xml:space="preserve">Reference</w:t>
            </w:r>
          </w:p>
        </w:tc>
      </w:tr>
      <w:tr>
        <w:tc>
          <w:tcPr/>
          <w:p>
            <w:pPr>
              <w:pStyle w:val="Compact"/>
              <w:jc w:val="left"/>
            </w:pPr>
            <w:r>
              <w:t xml:space="preserve">Baseline concrete</w:t>
            </w:r>
          </w:p>
        </w:tc>
        <w:tc>
          <w:tcPr/>
          <w:p>
            <w:pPr>
              <w:pStyle w:val="Compact"/>
              <w:jc w:val="left"/>
            </w:pPr>
            <w:r>
              <w:t xml:space="preserve">380 (330–420) kg CO₂e/m³</w:t>
            </w:r>
          </w:p>
        </w:tc>
        <w:tc>
          <w:tcPr/>
          <w:p>
            <w:pPr>
              <w:pStyle w:val="Compact"/>
              <w:jc w:val="left"/>
            </w:pPr>
            <w:r>
              <w:t xml:space="preserve">Pillai et al. (2019), as reported</w:t>
            </w:r>
          </w:p>
        </w:tc>
      </w:tr>
      <w:tr>
        <w:tc>
          <w:tcPr/>
          <w:p>
            <w:pPr>
              <w:pStyle w:val="Compact"/>
              <w:jc w:val="left"/>
            </w:pPr>
            <w:r>
              <w:t xml:space="preserve">LC³ concrete</w:t>
            </w:r>
          </w:p>
        </w:tc>
        <w:tc>
          <w:tcPr/>
          <w:p>
            <w:pPr>
              <w:pStyle w:val="Compact"/>
              <w:jc w:val="left"/>
            </w:pPr>
            <w:r>
              <w:t xml:space="preserve">270 kg CO₂e/m³ (cut 28.9%)</w:t>
            </w:r>
          </w:p>
        </w:tc>
        <w:tc>
          <w:tcPr/>
          <w:p>
            <w:pPr>
              <w:pStyle w:val="Compact"/>
              <w:jc w:val="left"/>
            </w:pPr>
            <w:r>
              <w:t xml:space="preserve">Pillai et al. (2019), as reported</w:t>
            </w:r>
          </w:p>
        </w:tc>
      </w:tr>
      <w:tr>
        <w:tc>
          <w:tcPr/>
          <w:p>
            <w:pPr>
              <w:pStyle w:val="Compact"/>
              <w:jc w:val="left"/>
            </w:pPr>
            <w:r>
              <w:t xml:space="preserve">Rebar</w:t>
            </w:r>
          </w:p>
        </w:tc>
        <w:tc>
          <w:tcPr/>
          <w:p>
            <w:pPr>
              <w:pStyle w:val="Compact"/>
              <w:jc w:val="left"/>
            </w:pPr>
            <w:r>
              <w:t xml:space="preserve">0.97 (0.89–1.99) t CO₂e/t</w:t>
            </w:r>
          </w:p>
        </w:tc>
        <w:tc>
          <w:tcPr/>
          <w:p>
            <w:pPr>
              <w:pStyle w:val="Compact"/>
              <w:jc w:val="left"/>
            </w:pPr>
            <w:r>
              <w:t xml:space="preserve">Concrete Reinforcing Steel Institute (2017)</w:t>
            </w:r>
          </w:p>
        </w:tc>
      </w:tr>
      <w:tr>
        <w:tc>
          <w:tcPr/>
          <w:p>
            <w:pPr>
              <w:pStyle w:val="Compact"/>
              <w:jc w:val="left"/>
            </w:pPr>
            <w:r>
              <w:t xml:space="preserve">Plate steel</w:t>
            </w:r>
          </w:p>
        </w:tc>
        <w:tc>
          <w:tcPr/>
          <w:p>
            <w:pPr>
              <w:pStyle w:val="Compact"/>
              <w:jc w:val="left"/>
            </w:pPr>
            <w:r>
              <w:t xml:space="preserve">1.73 (1.22–2.50) t CO₂e/t</w:t>
            </w:r>
          </w:p>
        </w:tc>
        <w:tc>
          <w:tcPr/>
          <w:p>
            <w:pPr>
              <w:pStyle w:val="Compact"/>
              <w:jc w:val="left"/>
            </w:pPr>
            <w:r>
              <w:t xml:space="preserve">American Institute of Steel Construction (2022)</w:t>
            </w:r>
          </w:p>
        </w:tc>
      </w:tr>
      <w:tr>
        <w:tc>
          <w:tcPr/>
          <w:p>
            <w:pPr>
              <w:pStyle w:val="Compact"/>
              <w:jc w:val="left"/>
            </w:pPr>
            <w:r>
              <w:t xml:space="preserve">Mining and milling</w:t>
            </w:r>
          </w:p>
        </w:tc>
        <w:tc>
          <w:tcPr/>
          <w:p>
            <w:pPr>
              <w:pStyle w:val="Compact"/>
              <w:jc w:val="left"/>
            </w:pPr>
            <w:r>
              <w:t xml:space="preserve">42 (24–81) kg CO₂e/kg U₃O₈</w:t>
            </w:r>
          </w:p>
        </w:tc>
        <w:tc>
          <w:tcPr/>
          <w:p>
            <w:pPr>
              <w:pStyle w:val="Compact"/>
              <w:jc w:val="left"/>
            </w:pPr>
            <w:r>
              <w:t xml:space="preserve">Parker, McNaughton and Sparrow (2016)</w:t>
            </w:r>
          </w:p>
        </w:tc>
      </w:tr>
      <w:tr>
        <w:tc>
          <w:tcPr/>
          <w:p>
            <w:pPr>
              <w:pStyle w:val="Compact"/>
              <w:jc w:val="left"/>
            </w:pPr>
            <w:r>
              <w:t xml:space="preserve">Conversion; enrichment</w:t>
            </w:r>
          </w:p>
        </w:tc>
        <w:tc>
          <w:tcPr/>
          <w:p>
            <w:pPr>
              <w:pStyle w:val="Compact"/>
              <w:jc w:val="left"/>
            </w:pPr>
            <w:r>
              <w:t xml:space="preserve">26 kWh/kg U (heat); 50 kWh/SWU</w:t>
            </w:r>
          </w:p>
        </w:tc>
        <w:tc>
          <w:tcPr/>
          <w:p>
            <w:pPr>
              <w:pStyle w:val="Compact"/>
              <w:jc w:val="left"/>
            </w:pPr>
            <w:r>
              <w:t xml:space="preserve">Gibon and Hahn Menacho (2023)</w:t>
            </w:r>
          </w:p>
        </w:tc>
      </w:tr>
      <w:tr>
        <w:tc>
          <w:tcPr/>
          <w:p>
            <w:pPr>
              <w:pStyle w:val="Compact"/>
              <w:jc w:val="left"/>
            </w:pPr>
            <w:r>
              <w:t xml:space="preserve">Grid: Ontario; USA</w:t>
            </w:r>
          </w:p>
        </w:tc>
        <w:tc>
          <w:tcPr/>
          <w:p>
            <w:pPr>
              <w:pStyle w:val="Compact"/>
              <w:jc w:val="left"/>
            </w:pPr>
            <w:r>
              <w:t xml:space="preserve">0.0738; 0.373 kg CO₂e/kWh</w:t>
            </w:r>
          </w:p>
        </w:tc>
        <w:tc>
          <w:tcPr/>
          <w:p>
            <w:pPr>
              <w:pStyle w:val="Compact"/>
              <w:jc w:val="left"/>
            </w:pPr>
            <w:r>
              <w:t xml:space="preserve">The Atmospheric Fund (2025); US EPA (2024)</w:t>
            </w:r>
          </w:p>
        </w:tc>
      </w:tr>
      <w:tr>
        <w:tc>
          <w:tcPr/>
          <w:p>
            <w:pPr>
              <w:pStyle w:val="Compact"/>
              <w:jc w:val="left"/>
            </w:pPr>
            <w:r>
              <w:t xml:space="preserve">O&amp;M; decommissioning; back end</w:t>
            </w:r>
          </w:p>
        </w:tc>
        <w:tc>
          <w:tcPr/>
          <w:p>
            <w:pPr>
              <w:pStyle w:val="Compact"/>
              <w:jc w:val="left"/>
            </w:pPr>
            <w:r>
              <w:t xml:space="preserve">0.33; 0.11; 0.56 g/kWh</w:t>
            </w:r>
          </w:p>
        </w:tc>
        <w:tc>
          <w:tcPr/>
          <w:p>
            <w:pPr>
              <w:pStyle w:val="Compact"/>
              <w:jc w:val="left"/>
            </w:pPr>
            <w:r>
              <w:t xml:space="preserve">EDF R&amp;D (2024), as reported</w:t>
            </w:r>
          </w:p>
        </w:tc>
      </w:tr>
    </w:tbl>
    <w:p>
      <w:pPr>
        <w:pStyle w:val="BodyText"/>
      </w:pPr>
      <w:r>
        <w:t xml:space="preserve">LC³ cut: 1 − 270/380 = 28.9%.</w:t>
      </w:r>
    </w:p>
    <w:bookmarkEnd w:id="87"/>
    <w:bookmarkStart w:id="88" w:name="a6-concrete-and-the-c1-scenarios"/>
    <w:p>
      <w:pPr>
        <w:pStyle w:val="Heading4"/>
      </w:pPr>
      <w:r>
        <w:t xml:space="preserve">A6 Concrete and the C1 scenarios</w:t>
      </w:r>
    </w:p>
    <w:p>
      <w:pPr>
        <w:numPr>
          <w:ilvl w:val="0"/>
          <w:numId w:val="1005"/>
        </w:numPr>
        <w:pStyle w:val="Compact"/>
      </w:pPr>
      <w:r>
        <w:rPr>
          <w:bCs/>
          <w:b/>
        </w:rPr>
        <w:t xml:space="preserve">LC³ (C1):</w:t>
      </w:r>
      <w:r>
        <w:t xml:space="preserve"> </w:t>
      </w:r>
      <w:r>
        <w:t xml:space="preserve">saving = 20,000 m³ × (380 − 270) / 1,000 =</w:t>
      </w:r>
      <w:r>
        <w:t xml:space="preserve"> </w:t>
      </w:r>
      <w:r>
        <w:rPr>
          <w:bCs/>
          <w:b/>
        </w:rPr>
        <w:t xml:space="preserve">2,200 t per unit</w:t>
      </w:r>
      <w:r>
        <w:t xml:space="preserve"> </w:t>
      </w:r>
      <w:r>
        <w:t xml:space="preserve">(1,100 at 20%; 3,300 at 60%); 2,200 / 406,462 = 0.54% of the mode-case life cycle.</w:t>
      </w:r>
    </w:p>
    <w:p>
      <w:pPr>
        <w:numPr>
          <w:ilvl w:val="0"/>
          <w:numId w:val="1005"/>
        </w:numPr>
        <w:pStyle w:val="Compact"/>
      </w:pPr>
      <w:r>
        <w:rPr>
          <w:bCs/>
          <w:b/>
        </w:rPr>
        <w:t xml:space="preserve">Slag fallback:</w:t>
      </w:r>
      <w:r>
        <w:t xml:space="preserve"> </w:t>
      </w:r>
      <w:r>
        <w:t xml:space="preserve">20,000 × 0.114 = 2,288 t.</w:t>
      </w:r>
    </w:p>
    <w:p>
      <w:pPr>
        <w:numPr>
          <w:ilvl w:val="0"/>
          <w:numId w:val="1005"/>
        </w:numPr>
        <w:pStyle w:val="Compact"/>
      </w:pPr>
      <w:r>
        <w:rPr>
          <w:bCs/>
          <w:b/>
        </w:rPr>
        <w:t xml:space="preserve">Clinker avoided:</w:t>
      </w:r>
      <w:r>
        <w:t xml:space="preserve"> </w:t>
      </w:r>
      <w:r>
        <w:t xml:space="preserve">20,000 × 350 kg/m³ × (0.92 − 0.50) / 1,000 = 2,940 t (indicative).</w:t>
      </w:r>
    </w:p>
    <w:p>
      <w:pPr>
        <w:numPr>
          <w:ilvl w:val="0"/>
          <w:numId w:val="1005"/>
        </w:numPr>
        <w:pStyle w:val="Compact"/>
      </w:pPr>
      <w:r>
        <w:rPr>
          <w:bCs/>
          <w:b/>
        </w:rPr>
        <w:t xml:space="preserve">Units 2–4:</w:t>
      </w:r>
      <w:r>
        <w:t xml:space="preserve"> </w:t>
      </w:r>
      <w:r>
        <w:t xml:space="preserve">3 × per unit = 6,600 t.</w:t>
      </w:r>
    </w:p>
    <w:p>
      <w:pPr>
        <w:numPr>
          <w:ilvl w:val="0"/>
          <w:numId w:val="1005"/>
        </w:numPr>
        <w:pStyle w:val="Compact"/>
      </w:pPr>
      <w:r>
        <w:t xml:space="preserve">Monte Carlo median for LC³ at 40%: 2,217 t per unit (1,375–3,294).</w:t>
      </w:r>
    </w:p>
    <w:bookmarkEnd w:id="88"/>
    <w:bookmarkStart w:id="89" w:name="X26113dcd5f7d5ab0d7b6b24f64ca9a1ce063d9c"/>
    <w:p>
      <w:pPr>
        <w:pStyle w:val="Heading4"/>
      </w:pPr>
      <w:r>
        <w:t xml:space="preserve">A7 Steel, transport and construction total</w:t>
      </w:r>
    </w:p>
    <w:p>
      <w:pPr>
        <w:numPr>
          <w:ilvl w:val="0"/>
          <w:numId w:val="1006"/>
        </w:numPr>
        <w:pStyle w:val="Compact"/>
      </w:pPr>
      <w:r>
        <w:t xml:space="preserve">Concrete 19,000 t + steel 18,520 t (7,275 + 11,245) + transport 880 t + uplift 0.5 × 38,400 = 19,200 t =</w:t>
      </w:r>
      <w:r>
        <w:t xml:space="preserve"> </w:t>
      </w:r>
      <w:r>
        <w:rPr>
          <w:bCs/>
          <w:b/>
        </w:rPr>
        <w:t xml:space="preserve">57,600 t</w:t>
      </w:r>
      <w:r>
        <w:t xml:space="preserve">.</w:t>
      </w:r>
    </w:p>
    <w:p>
      <w:pPr>
        <w:numPr>
          <w:ilvl w:val="0"/>
          <w:numId w:val="1006"/>
        </w:numPr>
        <w:pStyle w:val="Compact"/>
      </w:pPr>
      <w:r>
        <w:t xml:space="preserve">Per kWh: 57,600 / 1.419 × 10⁸ MWh =</w:t>
      </w:r>
      <w:r>
        <w:t xml:space="preserve"> </w:t>
      </w:r>
      <w:r>
        <w:rPr>
          <w:bCs/>
          <w:b/>
        </w:rPr>
        <w:t xml:space="preserve">0.406 g/kWh</w:t>
      </w:r>
      <w:r>
        <w:t xml:space="preserve">.</w:t>
      </w:r>
    </w:p>
    <w:p>
      <w:pPr>
        <w:numPr>
          <w:ilvl w:val="0"/>
          <w:numId w:val="1006"/>
        </w:numPr>
        <w:pStyle w:val="Compact"/>
      </w:pPr>
      <w:r>
        <w:t xml:space="preserve">Steel sensitivity (not part of C1): target-structure steel only 566 t per unit; all steel at best-practice factors 3,915 t; world-average steel −12,655 t (adds emissions).</w:t>
      </w:r>
    </w:p>
    <w:bookmarkEnd w:id="89"/>
    <w:bookmarkStart w:id="90" w:name="a8-fuel-cycle-and-life-cycle-total"/>
    <w:p>
      <w:pPr>
        <w:pStyle w:val="Heading4"/>
      </w:pPr>
      <w:r>
        <w:t xml:space="preserve">A8 Fuel cycle and life-cycle total</w:t>
      </w:r>
    </w:p>
    <w:p>
      <w:pPr>
        <w:pStyle w:val="FirstParagraph"/>
      </w:pPr>
      <w:r>
        <w:t xml:space="preserve">Inputs: burnup 45 GWd/t and 3.8% U-235 (placeholders); tails 0.25%; feed 0.711%.</w:t>
      </w:r>
      <w:r>
        <w:t xml:space="preserve"> </w:t>
      </w:r>
      <w:r>
        <w:t xml:space="preserve">- Electricity per kg enriched U = 45 × 24,000 × 0.345 = 372,414 kWh →</w:t>
      </w:r>
      <w:r>
        <w:t xml:space="preserve"> </w:t>
      </w:r>
      <w:r>
        <w:rPr>
          <w:bCs/>
          <w:b/>
        </w:rPr>
        <w:t xml:space="preserve">2.685 g enriched U per MWh</w:t>
      </w:r>
      <w:r>
        <w:t xml:space="preserve">.</w:t>
      </w:r>
      <w:r>
        <w:t xml:space="preserve"> </w:t>
      </w:r>
      <w:r>
        <w:t xml:space="preserve">- Feed factor = (3.8 − 0.25) / (0.711 − 0.25) =</w:t>
      </w:r>
      <w:r>
        <w:t xml:space="preserve"> </w:t>
      </w:r>
      <w:r>
        <w:rPr>
          <w:bCs/>
          <w:b/>
        </w:rPr>
        <w:t xml:space="preserve">7.70</w:t>
      </w:r>
      <w:r>
        <w:t xml:space="preserve">; natural U = 20.68 g/MWh.</w:t>
      </w:r>
      <w:r>
        <w:t xml:space="preserve"> </w:t>
      </w:r>
      <w:r>
        <w:t xml:space="preserve">- Separative work = 5.42 SWU/kg → 0.0146 SWU/MWh.</w:t>
      </w:r>
      <w:r>
        <w:t xml:space="preserve"> </w:t>
      </w:r>
      <w:r>
        <w:t xml:space="preserve">- Four units need about</w:t>
      </w:r>
      <w:r>
        <w:t xml:space="preserve"> </w:t>
      </w:r>
      <w:r>
        <w:rPr>
          <w:bCs/>
          <w:b/>
        </w:rPr>
        <w:t xml:space="preserve">196 t natural U and 138 tSWU a year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 (mode case)</w:t>
            </w:r>
          </w:p>
        </w:tc>
        <w:tc>
          <w:tcPr/>
          <w:p>
            <w:pPr>
              <w:pStyle w:val="Compact"/>
              <w:jc w:val="right"/>
            </w:pPr>
            <w:r>
              <w:t xml:space="preserve">g CO₂e/kWh</w:t>
            </w:r>
          </w:p>
        </w:tc>
        <w:tc>
          <w:tcPr/>
          <w:p>
            <w:pPr>
              <w:pStyle w:val="Compact"/>
              <w:jc w:val="right"/>
            </w:pPr>
            <w:r>
              <w:t xml:space="preserve">Share</w:t>
            </w:r>
          </w:p>
        </w:tc>
      </w:tr>
      <w:tr>
        <w:tc>
          <w:tcPr/>
          <w:p>
            <w:pPr>
              <w:pStyle w:val="Compact"/>
              <w:jc w:val="left"/>
            </w:pPr>
            <w:r>
              <w:t xml:space="preserve">Mining and milling</w:t>
            </w:r>
          </w:p>
        </w:tc>
        <w:tc>
          <w:tcPr/>
          <w:p>
            <w:pPr>
              <w:pStyle w:val="Compact"/>
              <w:jc w:val="right"/>
            </w:pPr>
            <w:r>
              <w:t xml:space="preserve">1.024</w:t>
            </w:r>
          </w:p>
        </w:tc>
        <w:tc>
          <w:tcPr/>
          <w:p>
            <w:pPr>
              <w:pStyle w:val="Compact"/>
              <w:jc w:val="right"/>
            </w:pPr>
            <w:r>
              <w:t xml:space="preserve">35.8%</w:t>
            </w:r>
          </w:p>
        </w:tc>
      </w:tr>
      <w:tr>
        <w:tc>
          <w:tcPr/>
          <w:p>
            <w:pPr>
              <w:pStyle w:val="Compact"/>
              <w:jc w:val="left"/>
            </w:pPr>
            <w:r>
              <w:t xml:space="preserve">Back end</w:t>
            </w:r>
          </w:p>
        </w:tc>
        <w:tc>
          <w:tcPr/>
          <w:p>
            <w:pPr>
              <w:pStyle w:val="Compact"/>
              <w:jc w:val="right"/>
            </w:pPr>
            <w:r>
              <w:t xml:space="preserve">0.560</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11.5%</w:t>
            </w:r>
          </w:p>
        </w:tc>
      </w:tr>
      <w:tr>
        <w:tc>
          <w:tcPr/>
          <w:p>
            <w:pPr>
              <w:pStyle w:val="Compact"/>
              <w:jc w:val="left"/>
            </w:pPr>
            <w:r>
              <w:t xml:space="preserve">Enrichment</w:t>
            </w:r>
          </w:p>
        </w:tc>
        <w:tc>
          <w:tcPr/>
          <w:p>
            <w:pPr>
              <w:pStyle w:val="Compact"/>
              <w:jc w:val="right"/>
            </w:pPr>
            <w:r>
              <w:t xml:space="preserve">0.272</w:t>
            </w:r>
          </w:p>
        </w:tc>
        <w:tc>
          <w:tcPr/>
          <w:p>
            <w:pPr>
              <w:pStyle w:val="Compact"/>
              <w:jc w:val="right"/>
            </w:pPr>
            <w:r>
              <w:t xml:space="preserve">9.5%</w:t>
            </w:r>
          </w:p>
        </w:tc>
      </w:tr>
      <w:tr>
        <w:tc>
          <w:tcPr/>
          <w:p>
            <w:pPr>
              <w:pStyle w:val="Compact"/>
              <w:jc w:val="left"/>
            </w:pPr>
            <w:r>
              <w:t xml:space="preserve">Construction (all)</w:t>
            </w:r>
          </w:p>
        </w:tc>
        <w:tc>
          <w:tcPr/>
          <w:p>
            <w:pPr>
              <w:pStyle w:val="Compact"/>
              <w:jc w:val="right"/>
            </w:pPr>
            <w:r>
              <w:t xml:space="preserve">0.406</w:t>
            </w:r>
          </w:p>
        </w:tc>
        <w:tc>
          <w:tcPr/>
          <w:p>
            <w:pPr>
              <w:pStyle w:val="Compact"/>
              <w:jc w:val="right"/>
            </w:pPr>
            <w:r>
              <w:t xml:space="preserve">14.2%</w:t>
            </w:r>
          </w:p>
        </w:tc>
      </w:tr>
      <w:tr>
        <w:tc>
          <w:tcPr/>
          <w:p>
            <w:pPr>
              <w:pStyle w:val="Compact"/>
              <w:jc w:val="left"/>
            </w:pPr>
            <w:r>
              <w:t xml:space="preserve">Conversion</w:t>
            </w:r>
          </w:p>
        </w:tc>
        <w:tc>
          <w:tcPr/>
          <w:p>
            <w:pPr>
              <w:pStyle w:val="Compact"/>
              <w:jc w:val="right"/>
            </w:pPr>
            <w:r>
              <w:t xml:space="preserve">0.127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3.8%</w:t>
            </w:r>
          </w:p>
        </w:tc>
      </w:tr>
      <w:tr>
        <w:tc>
          <w:tcPr/>
          <w:p>
            <w:pPr>
              <w:pStyle w:val="Compact"/>
              <w:jc w:val="left"/>
            </w:pPr>
            <w:r>
              <w:t xml:space="preserve">Fabrication</w:t>
            </w:r>
          </w:p>
        </w:tc>
        <w:tc>
          <w:tcPr/>
          <w:p>
            <w:pPr>
              <w:pStyle w:val="Compact"/>
              <w:jc w:val="right"/>
            </w:pPr>
            <w:r>
              <w:t xml:space="preserve">0.036</w:t>
            </w:r>
          </w:p>
        </w:tc>
        <w:tc>
          <w:tcPr/>
          <w:p>
            <w:pPr>
              <w:pStyle w:val="Compact"/>
              <w:jc w:val="right"/>
            </w:pPr>
            <w:r>
              <w:t xml:space="preserve">1.3%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100%</w:t>
            </w:r>
          </w:p>
        </w:tc>
      </w:tr>
    </w:tbl>
    <w:p>
      <w:pPr>
        <w:pStyle w:val="BodyText"/>
      </w:pPr>
      <w:r>
        <w:t xml:space="preserve">Total 406,462 t CO₂e per unit. Fuel front end 1.458 g/kWh (50.9%).</w:t>
      </w:r>
    </w:p>
    <w:bookmarkEnd w:id="90"/>
    <w:bookmarkStart w:id="91" w:name="a9-granta-edupack-eco-audit"/>
    <w:p>
      <w:pPr>
        <w:pStyle w:val="Heading4"/>
      </w:pPr>
      <w:r>
        <w:t xml:space="preserve">A9 Granta EduPack Eco Audit</w:t>
      </w:r>
    </w:p>
    <w:p>
      <w:pPr>
        <w:pStyle w:val="FirstParagraph"/>
      </w:pPr>
      <w:r>
        <w:t xml:space="preserve">A Granta EduPack Eco Audit cross-check was planned but not completed; the screening model above is the basis of all results.</w:t>
      </w:r>
    </w:p>
    <w:bookmarkEnd w:id="91"/>
    <w:bookmarkEnd w:id="92"/>
    <w:bookmarkStart w:id="101" w:name="X41f8985c0bdb5c661a77e90b79209825311d8ec"/>
    <w:p>
      <w:pPr>
        <w:pStyle w:val="Heading2"/>
      </w:pPr>
      <w:r>
        <w:t xml:space="preserve">Appendix B. Policy, economics and supply calculations</w:t>
      </w:r>
    </w:p>
    <w:p>
      <w:pPr>
        <w:pStyle w:val="FirstParagraph"/>
      </w:pPr>
      <w:r>
        <w:t xml:space="preserve">Each subsection gives the formula, key inputs and result. Scripts are in</w:t>
      </w:r>
      <w:r>
        <w:t xml:space="preserve"> </w:t>
      </w:r>
      <w:r>
        <w:rPr>
          <w:rStyle w:val="VerbatimChar"/>
        </w:rPr>
        <w:t xml:space="preserve">03_LCA_Calculations/scripts/</w:t>
      </w:r>
      <w:r>
        <w:t xml:space="preserve"> </w:t>
      </w:r>
      <w:r>
        <w:t xml:space="preserve">(</w:t>
      </w:r>
      <w:r>
        <w:rPr>
          <w:rStyle w:val="VerbatimChar"/>
        </w:rPr>
        <w:t xml:space="preserve">law_timelines.py</w:t>
      </w:r>
      <w:r>
        <w:t xml:space="preserve">,</w:t>
      </w:r>
      <w:r>
        <w:t xml:space="preserve"> </w:t>
      </w:r>
      <w:r>
        <w:rPr>
          <w:rStyle w:val="VerbatimChar"/>
        </w:rPr>
        <w:t xml:space="preserve">hhi.py</w:t>
      </w:r>
      <w:r>
        <w:t xml:space="preserve">,</w:t>
      </w:r>
      <w:r>
        <w:t xml:space="preserve"> </w:t>
      </w:r>
      <w:r>
        <w:rPr>
          <w:rStyle w:val="VerbatimChar"/>
        </w:rPr>
        <w:t xml:space="preserve">displacement.py</w:t>
      </w:r>
      <w:r>
        <w:t xml:space="preserve">,</w:t>
      </w:r>
      <w:r>
        <w:t xml:space="preserve"> </w:t>
      </w:r>
      <w:r>
        <w:rPr>
          <w:rStyle w:val="VerbatimChar"/>
        </w:rPr>
        <w:t xml:space="preserve">schedule_value.py</w:t>
      </w:r>
      <w:r>
        <w:t xml:space="preserve">,</w:t>
      </w:r>
      <w:r>
        <w:t xml:space="preserve"> </w:t>
      </w:r>
      <w:r>
        <w:rPr>
          <w:rStyle w:val="VerbatimChar"/>
        </w:rPr>
        <w:t xml:space="preserve">same_money.py</w:t>
      </w:r>
      <w:r>
        <w:t xml:space="preserve">,</w:t>
      </w:r>
      <w:r>
        <w:t xml:space="preserve"> </w:t>
      </w:r>
      <w:r>
        <w:rPr>
          <w:rStyle w:val="VerbatimChar"/>
        </w:rPr>
        <w:t xml:space="preserve">mcda.py</w:t>
      </w:r>
      <w:r>
        <w:t xml:space="preserve">,</w:t>
      </w:r>
      <w:r>
        <w:t xml:space="preserve"> </w:t>
      </w:r>
      <w:r>
        <w:rPr>
          <w:rStyle w:val="VerbatimChar"/>
        </w:rPr>
        <w:t xml:space="preserve">social_licence.py</w:t>
      </w:r>
      <w:r>
        <w:t xml:space="preserve">). Scores marked</w:t>
      </w:r>
      <w:r>
        <w:t xml:space="preserve"> </w:t>
      </w:r>
      <w:r>
        <w:t xml:space="preserve">“</w:t>
      </w:r>
      <w:r>
        <w:t xml:space="preserve">judgement</w:t>
      </w:r>
      <w:r>
        <w:t xml:space="preserve">”</w:t>
      </w:r>
      <w:r>
        <w:t xml:space="preserve"> </w:t>
      </w:r>
      <w:r>
        <w:t xml:space="preserve">are our own, not sourced.</w:t>
      </w:r>
    </w:p>
    <w:bookmarkStart w:id="93" w:name="b1-legal-and-political-pathway"/>
    <w:p>
      <w:pPr>
        <w:pStyle w:val="Heading4"/>
      </w:pPr>
      <w:r>
        <w:t xml:space="preserve">B1 Legal and political pathway</w:t>
      </w:r>
    </w:p>
    <w:p>
      <w:pPr>
        <w:pStyle w:val="FirstParagraph"/>
      </w:pPr>
      <w:r>
        <w:t xml:space="preserve">Three laws bar an SMR at Liddell:</w:t>
      </w:r>
      <w:r>
        <w:t xml:space="preserve"> </w:t>
      </w:r>
      <w:r>
        <w:rPr>
          <w:iCs/>
          <w:i/>
        </w:rPr>
        <w:t xml:space="preserve">EPBC Act 1999</w:t>
      </w:r>
      <w:r>
        <w:t xml:space="preserve"> </w:t>
      </w:r>
      <w:r>
        <w:t xml:space="preserve">(Cth) s 140A;</w:t>
      </w:r>
      <w:r>
        <w:t xml:space="preserve"> </w:t>
      </w:r>
      <w:r>
        <w:rPr>
          <w:iCs/>
          <w:i/>
        </w:rPr>
        <w:t xml:space="preserve">ARPANS Act 1998</w:t>
      </w:r>
      <w:r>
        <w:t xml:space="preserve"> </w:t>
      </w:r>
      <w:r>
        <w:t xml:space="preserve">(Cth) s 10(2);</w:t>
      </w:r>
      <w:r>
        <w:t xml:space="preserve"> </w:t>
      </w:r>
      <w:r>
        <w:rPr>
          <w:iCs/>
          <w:i/>
        </w:rPr>
        <w:t xml:space="preserve">Uranium Mining and Nuclear Facilities (Prohibitions) Act 1986</w:t>
      </w:r>
      <w:r>
        <w:t xml:space="preserve"> </w:t>
      </w:r>
      <w:r>
        <w:t xml:space="preserve">(NSW) s 8. Each has a different veto holder (Commonwealth Parliament, NSW Parliament), plus the site owner AGL.</w:t>
      </w:r>
    </w:p>
    <w:p>
      <w:pPr>
        <w:pStyle w:val="BodyText"/>
      </w:pPr>
      <w:r>
        <w:t xml:space="preserve">Senate arithmetic (Parliament of Australia, 2026; 76 seats):</w:t>
      </w:r>
      <w:r>
        <w:t xml:space="preserve"> </w:t>
      </w:r>
      <w:r>
        <w:t xml:space="preserve">- Majority = ⌊76/2⌋ + 1 =</w:t>
      </w:r>
      <w:r>
        <w:t xml:space="preserve"> </w:t>
      </w:r>
      <w:r>
        <w:rPr>
          <w:bCs/>
          <w:b/>
        </w:rPr>
        <w:t xml:space="preserve">39</w:t>
      </w:r>
      <w:r>
        <w:t xml:space="preserve">.</w:t>
      </w:r>
      <w:r>
        <w:t xml:space="preserve"> </w:t>
      </w:r>
      <w:r>
        <w:t xml:space="preserve">- Largest pro-repeal bloc = Coalition 27 + One Nation 4 + Babet 1 = 32 (the last two are assumptions); shortfall = 39 − 32 =</w:t>
      </w:r>
      <w:r>
        <w:t xml:space="preserve"> </w:t>
      </w:r>
      <w:r>
        <w:rPr>
          <w:bCs/>
          <w:b/>
        </w:rPr>
        <w:t xml:space="preserve">7</w:t>
      </w:r>
      <w:r>
        <w:t xml:space="preserve">.</w:t>
      </w:r>
      <w:r>
        <w:t xml:space="preserve"> </w:t>
      </w:r>
      <w:r>
        <w:t xml:space="preserve">- Adding every other crossbencher gives 36–37, still short. Labor 30 + Greens 10 = 40 blocks.</w:t>
      </w:r>
    </w:p>
    <w:p>
      <w:pPr>
        <w:pStyle w:val="BodyText"/>
      </w:pPr>
      <w:r>
        <w:t xml:space="preserve">NSW repeal bill: introduced 19 November 2025, passed the Legislative Council 6 May 2026, stalled in the Assembly, lapses 28 November 2026.</w:t>
      </w:r>
    </w:p>
    <w:p>
      <w:pPr>
        <w:pStyle w:val="BodyText"/>
      </w:pPr>
      <w:r>
        <w:t xml:space="preserve">Darlington licensing (Canadian Nuclear Safety Commission, 2021; 2025; 2026a; 2026b): application 31 October 2022 to licence to construct 4 April 2025 = 886 days ÷ 30.44 =</w:t>
      </w:r>
      <w:r>
        <w:t xml:space="preserve"> </w:t>
      </w:r>
      <w:r>
        <w:rPr>
          <w:bCs/>
          <w:b/>
        </w:rPr>
        <w:t xml:space="preserve">29.1 months</w:t>
      </w:r>
      <w:r>
        <w:t xml:space="preserve">; environmental assessment start (May 2007) to licence =</w:t>
      </w:r>
      <w:r>
        <w:t xml:space="preserve"> </w:t>
      </w:r>
      <w:r>
        <w:rPr>
          <w:bCs/>
          <w:b/>
        </w:rPr>
        <w:t xml:space="preserve">17.9 years</w:t>
      </w:r>
      <w:r>
        <w:t xml:space="preserve">.</w:t>
      </w:r>
    </w:p>
    <w:bookmarkEnd w:id="93"/>
    <w:bookmarkStart w:id="94" w:name="b2-supply-concentration-hhi"/>
    <w:p>
      <w:pPr>
        <w:pStyle w:val="Heading4"/>
      </w:pPr>
      <w:r>
        <w:t xml:space="preserve">B2 Supply concentration (HHI)</w:t>
      </w:r>
    </w:p>
    <w:p>
      <w:pPr>
        <w:pStyle w:val="FirstParagraph"/>
      </w:pPr>
      <w:r>
        <w:t xml:space="preserve">Formula: share s = 100 × q / Σq; HHI = Σ s²; N_eq = 10,000 / HHI. Enrichment worked example (World Nuclear Association, 2025): Rosatom 29,133 / 68,077 = 42.79%, squared 1,831; sum with Urenco 646, CNNC 410, Orano 121 and Other 0.3 =</w:t>
      </w:r>
      <w:r>
        <w:t xml:space="preserve"> </w:t>
      </w:r>
      <w:r>
        <w:rPr>
          <w:bCs/>
          <w:b/>
        </w:rPr>
        <w:t xml:space="preserve">3,009</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 (base year)</w:t>
            </w:r>
          </w:p>
        </w:tc>
        <w:tc>
          <w:tcPr/>
          <w:p>
            <w:pPr>
              <w:pStyle w:val="Compact"/>
              <w:jc w:val="right"/>
            </w:pPr>
            <w:r>
              <w:t xml:space="preserve">HHI</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by country (2024; World Nuclear Association, 2026)</w:t>
            </w:r>
          </w:p>
        </w:tc>
        <w:tc>
          <w:tcPr/>
          <w:p>
            <w:pPr>
              <w:pStyle w:val="Compact"/>
              <w:jc w:val="right"/>
            </w:pPr>
            <w:r>
              <w:t xml:space="preserve">2,341</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by company (World Nuclear Association, 2024)</w:t>
            </w:r>
          </w:p>
        </w:tc>
        <w:tc>
          <w:tcPr/>
          <w:p>
            <w:pPr>
              <w:pStyle w:val="Compact"/>
              <w:jc w:val="right"/>
            </w:pPr>
            <w:r>
              <w:t xml:space="preserve">2,111</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by company (2025)</w:t>
            </w:r>
          </w:p>
        </w:tc>
        <w:tc>
          <w:tcPr/>
          <w:p>
            <w:pPr>
              <w:pStyle w:val="Compact"/>
              <w:jc w:val="right"/>
            </w:pPr>
            <w:r>
              <w:t xml:space="preserve">3,009</w:t>
            </w:r>
          </w:p>
        </w:tc>
        <w:tc>
          <w:tcPr/>
          <w:p>
            <w:pPr>
              <w:pStyle w:val="Compact"/>
              <w:jc w:val="right"/>
            </w:pPr>
            <w:r>
              <w:t xml:space="preserve">3,599</w:t>
            </w:r>
          </w:p>
        </w:tc>
        <w:tc>
          <w:tcPr/>
          <w:p>
            <w:pPr>
              <w:pStyle w:val="Compact"/>
              <w:jc w:val="right"/>
            </w:pPr>
            <w:r>
              <w:t xml:space="preserve">5,621</w:t>
            </w:r>
          </w:p>
        </w:tc>
        <w:tc>
          <w:tcPr/>
          <w:p>
            <w:pPr>
              <w:pStyle w:val="Compact"/>
              <w:jc w:val="right"/>
            </w:pPr>
            <w:r>
              <w:t xml:space="preserve">42.8%</w:t>
            </w:r>
          </w:p>
        </w:tc>
      </w:tr>
    </w:tbl>
    <w:p>
      <w:pPr>
        <w:pStyle w:val="BodyText"/>
      </w:pPr>
      <w:r>
        <w:t xml:space="preserve">Thresholds (US Department of Justice and Federal Trade Commission, 2023; 2010): above 1,800 is highly concentrated (2023); 1,500–2,500 moderate and above 2,500 high (2010). Mining by company, from the top three firms only, is 851–1,384 (midpoint 1,118), below 1,800.</w:t>
      </w:r>
    </w:p>
    <w:p>
      <w:pPr>
        <w:pStyle w:val="BodyText"/>
      </w:pPr>
      <w:r>
        <w:t xml:space="preserve">Darlington demand (four units; burnup 45 GWd/t, 3.8% enrichment, assumed): 195.6 t natural U and 137.7 tSWU a year, which is</w:t>
      </w:r>
      <w:r>
        <w:t xml:space="preserve"> </w:t>
      </w:r>
      <w:r>
        <w:rPr>
          <w:bCs/>
          <w:b/>
        </w:rPr>
        <w:t xml:space="preserve">3.2% of Urenco USA’s 4,300 tSWU</w:t>
      </w:r>
      <w:r>
        <w:t xml:space="preserve"> </w:t>
      </w:r>
      <w:r>
        <w:t xml:space="preserve">and 0.20% of world capacity (68,077). The project is too small to move the HHI.</w:t>
      </w:r>
    </w:p>
    <w:bookmarkEnd w:id="94"/>
    <w:bookmarkStart w:id="95" w:name="Xd90c1f62c73797e1f6dcc13bbd232793d36e279"/>
    <w:p>
      <w:pPr>
        <w:pStyle w:val="Heading4"/>
      </w:pPr>
      <w:r>
        <w:t xml:space="preserve">B3 Routes to a licensable SMR in Australia</w:t>
      </w:r>
    </w:p>
    <w:p>
      <w:pPr>
        <w:pStyle w:val="FirstParagraph"/>
      </w:pPr>
      <w:r>
        <w:t xml:space="preserve">Three routes scored 1 (poor) to 3 (good) on four objectives (judgement; hand calculation).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Route</w:t>
            </w:r>
          </w:p>
        </w:tc>
        <w:tc>
          <w:tcPr/>
          <w:p>
            <w:pPr>
              <w:pStyle w:val="Compact"/>
              <w:jc w:val="right"/>
            </w:pPr>
            <w:r>
              <w:t xml:space="preserve">Veto points</w:t>
            </w:r>
          </w:p>
        </w:tc>
        <w:tc>
          <w:tcPr/>
          <w:p>
            <w:pPr>
              <w:pStyle w:val="Compact"/>
              <w:jc w:val="right"/>
            </w:pPr>
            <w:r>
              <w:t xml:space="preserve">Regulator readiness</w:t>
            </w:r>
          </w:p>
        </w:tc>
        <w:tc>
          <w:tcPr/>
          <w:p>
            <w:pPr>
              <w:pStyle w:val="Compact"/>
              <w:jc w:val="right"/>
            </w:pPr>
            <w:r>
              <w:t xml:space="preserve">Durability</w:t>
            </w:r>
          </w:p>
        </w:tc>
        <w:tc>
          <w:tcPr/>
          <w:p>
            <w:pPr>
              <w:pStyle w:val="Compact"/>
              <w:jc w:val="right"/>
            </w:pPr>
            <w:r>
              <w:t xml:space="preserve">Social licence</w:t>
            </w:r>
          </w:p>
        </w:tc>
        <w:tc>
          <w:tcPr/>
          <w:p>
            <w:pPr>
              <w:pStyle w:val="Compact"/>
              <w:jc w:val="right"/>
            </w:pPr>
            <w:r>
              <w:t xml:space="preserve">Total (of 12)</w:t>
            </w:r>
          </w:p>
        </w:tc>
      </w:tr>
      <w:tr>
        <w:tc>
          <w:tcPr/>
          <w:p>
            <w:pPr>
              <w:pStyle w:val="Compact"/>
              <w:jc w:val="left"/>
            </w:pPr>
            <w:r>
              <w:t xml:space="preserve">A. Commonwealth-owned plant</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B. Federal law overriding states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C. Cooperative state repeal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8</w:t>
            </w:r>
          </w:p>
        </w:tc>
      </w:tr>
    </w:tbl>
    <w:p>
      <w:pPr>
        <w:pStyle w:val="BodyText"/>
      </w:pPr>
      <w:r>
        <w:t xml:space="preserve">Weight test (one objective doubled): regulator readiness × 2 gives A 9, B 7, C 9; durability × 2 gives A 7, B 6, C 11. Route B ranks last throughout. C1 levers (enforceability, speed, low risk; of 9): OPG specification 8, equity milestone 8, Ontario shareholder direction 7.</w:t>
      </w:r>
    </w:p>
    <w:bookmarkEnd w:id="95"/>
    <w:bookmarkStart w:id="96" w:name="b4-displacement"/>
    <w:p>
      <w:pPr>
        <w:pStyle w:val="Heading4"/>
      </w:pPr>
      <w:r>
        <w:t xml:space="preserve">B4 Displacement</w:t>
      </w:r>
    </w:p>
    <w:p>
      <w:pPr>
        <w:pStyle w:val="FirstParagraph"/>
      </w:pPr>
      <w:r>
        <w:t xml:space="preserve">Formulae: E = 300 MW × 8,760 h × 0.90 = 2,365,200 MWh/yr; avoided in year y = E × (EF_grid − EF_SMR) / 10⁶ t, with EF_SMR = 4.2 g/kWh (our Monte Carlo median).</w:t>
      </w:r>
      <w:r>
        <w:t xml:space="preserve"> </w:t>
      </w:r>
      <w:r>
        <w:t xml:space="preserve">- Static NSW grid (640 g/kWh; Department of Climate Change, Energy, the Environment and Water, 2025): 2,365,200,000 × (640 − 4.2) / 10⁶ =</w:t>
      </w:r>
      <w:r>
        <w:t xml:space="preserve"> </w:t>
      </w:r>
      <w:r>
        <w:rPr>
          <w:bCs/>
          <w:b/>
        </w:rPr>
        <w:t xml:space="preserve">1.50 Mt a year</w:t>
      </w:r>
      <w:r>
        <w:t xml:space="preserve">.</w:t>
      </w:r>
      <w:r>
        <w:t xml:space="preserve"> </w:t>
      </w:r>
      <w:r>
        <w:t xml:space="preserve">- Static Ontario average 2024 (73.8 g/kWh; The Atmospheric Fund, 2025): 0.165 Mt a year; marginal (343 g/kWh): 0.80 Mt.</w:t>
      </w:r>
      <w:r>
        <w:t xml:space="preserve"> </w:t>
      </w:r>
      <w:r>
        <w:t xml:space="preserve">- Cumulative to 2050: Darlington Unit 1 from 2030 =</w:t>
      </w:r>
      <w:r>
        <w:t xml:space="preserve"> </w:t>
      </w:r>
      <w:r>
        <w:rPr>
          <w:bCs/>
          <w:b/>
        </w:rPr>
        <w:t xml:space="preserve">1.01–6.80 Mt</w:t>
      </w:r>
      <w:r>
        <w:t xml:space="preserve">; Liddell from 2040 =</w:t>
      </w:r>
      <w:r>
        <w:t xml:space="preserve"> </w:t>
      </w:r>
      <w:r>
        <w:rPr>
          <w:bCs/>
          <w:b/>
        </w:rPr>
        <w:t xml:space="preserve">0.67–3.85 Mt</w:t>
      </w:r>
      <w:r>
        <w:t xml:space="preserve"> </w:t>
      </w:r>
      <w:r>
        <w:t xml:space="preserve">(Step Change proxy to slow transition); frozen NEM = 16.54 Mt.</w:t>
      </w:r>
      <w:r>
        <w:t xml:space="preserve"> </w:t>
      </w:r>
      <w:r>
        <w:t xml:space="preserve">- Liddell example: 2,365,200,000 × (30 − 4.2) / 10⁶ = 61,022 t a year; × 11 years = 671 kt.</w:t>
      </w:r>
    </w:p>
    <w:p>
      <w:pPr>
        <w:pStyle w:val="BodyText"/>
      </w:pPr>
      <w:r>
        <w:t xml:space="preserve">Grid trajectory, start year and post-coal floor dominate; the SMR’s own life-cycle value moves the result by a few per cent.</w:t>
      </w:r>
    </w:p>
    <w:bookmarkEnd w:id="96"/>
    <w:bookmarkStart w:id="97" w:name="b5-value-of-schedule"/>
    <w:p>
      <w:pPr>
        <w:pStyle w:val="Heading4"/>
      </w:pPr>
      <w:r>
        <w:t xml:space="preserve">B5 Value of schedule</w:t>
      </w:r>
    </w:p>
    <w:p>
      <w:pPr>
        <w:pStyle w:val="FirstParagraph"/>
      </w:pPr>
      <w:r>
        <w:t xml:space="preserve">Formulae: daily output D = E / 365 = 6,480,000 kWh; gross loss per day = D × (EF_grid − EF_SMR) / 10⁶; break-even days = saving / loss per day.</w:t>
      </w:r>
      <w:r>
        <w:t xml:space="preserve"> </w:t>
      </w:r>
      <w:r>
        <w:t xml:space="preserve">- Ontario average (2035 factor 33.4 g/kWh): 189 t a day, so C1’s 2,200 t is cancelled by</w:t>
      </w:r>
      <w:r>
        <w:t xml:space="preserve"> </w:t>
      </w:r>
      <w:r>
        <w:rPr>
          <w:bCs/>
          <w:b/>
        </w:rPr>
        <w:t xml:space="preserve">11.6 days</w:t>
      </w:r>
      <w:r>
        <w:t xml:space="preserve"> </w:t>
      </w:r>
      <w:r>
        <w:t xml:space="preserve">(net basis 18.5).</w:t>
      </w:r>
      <w:r>
        <w:t xml:space="preserve"> </w:t>
      </w:r>
      <w:r>
        <w:t xml:space="preserve">- Ontario marginal declining: 1,296 t a day,</w:t>
      </w:r>
      <w:r>
        <w:t xml:space="preserve"> </w:t>
      </w:r>
      <w:r>
        <w:rPr>
          <w:bCs/>
          <w:b/>
        </w:rPr>
        <w:t xml:space="preserve">1.7 days</w:t>
      </w:r>
      <w:r>
        <w:t xml:space="preserve">.</w:t>
      </w:r>
      <w:r>
        <w:t xml:space="preserve"> </w:t>
      </w:r>
      <w:r>
        <w:t xml:space="preserve">- Units 2–4 saving (6,600 t) against delay to one unit: 34.9 days (average), 5.1 days (marginal).</w:t>
      </w:r>
      <w:r>
        <w:t xml:space="preserve"> </w:t>
      </w:r>
      <w:r>
        <w:t xml:space="preserve">- Carbon value of C1, Units 2–4: 6,600 t × C$95/t = C$0.63 m (C$0.76 m at C$115; Environment and Climate Change Canada, 2026).</w:t>
      </w:r>
      <w:r>
        <w:t xml:space="preserve"> </w:t>
      </w:r>
      <w:r>
        <w:t xml:space="preserve">- One-month slip of Units 2–4: deferred output 591,300 MWh × C$149 = C$88 m (Ontario Power Generation, 2026b); carrying cost on C$13.2 bn at 3–10% = C$33–110 m. Ratio to C1’s carbon value:</w:t>
      </w:r>
      <w:r>
        <w:t xml:space="preserve"> </w:t>
      </w:r>
      <w:r>
        <w:rPr>
          <w:bCs/>
          <w:b/>
        </w:rPr>
        <w:t xml:space="preserve">29–175 times</w:t>
      </w:r>
      <w:r>
        <w:t xml:space="preserve">.</w:t>
      </w:r>
    </w:p>
    <w:bookmarkEnd w:id="97"/>
    <w:bookmarkStart w:id="98" w:name="b6-same-money"/>
    <w:p>
      <w:pPr>
        <w:pStyle w:val="Heading4"/>
      </w:pPr>
      <w:r>
        <w:t xml:space="preserve">B6 Same money</w:t>
      </w:r>
    </w:p>
    <w:p>
      <w:pPr>
        <w:pStyle w:val="FirstParagraph"/>
      </w:pPr>
      <w:r>
        <w:t xml:space="preserve">Formulae: CRF = r(1 + r)ⁿ / ((1 + r)ⁿ − 1) = 0.0806 (7%, 30 years); energy ratio = SMR LCOE / renewables LCOE.</w:t>
      </w:r>
      <w:r>
        <w:t xml:space="preserve"> </w:t>
      </w:r>
      <w:r>
        <w:t xml:space="preserve">- Inputs (Graham, Hayward and Foster, 2024, as reported): SMR A$306/MWh (230–382), firmed renewables A$107/MWh (89–125), 2030; Darlington C$20.9 bn (Government of Ontario, 2025) at A$1.119 per C$.</w:t>
      </w:r>
      <w:r>
        <w:t xml:space="preserve"> </w:t>
      </w:r>
      <w:r>
        <w:t xml:space="preserve">- Energy ratio = 306 / 107 =</w:t>
      </w:r>
      <w:r>
        <w:t xml:space="preserve"> </w:t>
      </w:r>
      <w:r>
        <w:rPr>
          <w:bCs/>
          <w:b/>
        </w:rPr>
        <w:t xml:space="preserve">2.9×</w:t>
      </w:r>
      <w:r>
        <w:t xml:space="preserve">; the same annual spend (A$0.72 bn) buys 6.8 TWh against 2.37 TWh.</w:t>
      </w:r>
      <w:r>
        <w:t xml:space="preserve"> </w:t>
      </w:r>
      <w:r>
        <w:t xml:space="preserve">- Capital only: C$5.225 bn × 1.119 × 0.0806 = A$471 m a year ÷ 2,365,200 MWh =</w:t>
      </w:r>
      <w:r>
        <w:t xml:space="preserve"> </w:t>
      </w:r>
      <w:r>
        <w:rPr>
          <w:bCs/>
          <w:b/>
        </w:rPr>
        <w:t xml:space="preserve">A$199/MWh</w:t>
      </w:r>
      <w:r>
        <w:t xml:space="preserve">, buying 1.9× the energy.</w:t>
      </w:r>
      <w:r>
        <w:t xml:space="preserve"> </w:t>
      </w:r>
      <w:r>
        <w:t xml:space="preserve">- CO₂e avoided to 2050, renewables ÷ SMR, Liddell from 2040: 5.7× (frozen grid), 10.9× (slow transition), 26.0× (Step Change); range across cases tested 4.9–26.0×.</w:t>
      </w:r>
      <w:r>
        <w:t xml:space="preserve"> </w:t>
      </w:r>
      <w:r>
        <w:t xml:space="preserve">- Ontario average grid: SMR wins (−0.4×), because the grid falls below the renewables’ assumed 30 g/kWh.</w:t>
      </w:r>
    </w:p>
    <w:bookmarkEnd w:id="98"/>
    <w:bookmarkStart w:id="99" w:name="b7-multi-criteria-analysis"/>
    <w:p>
      <w:pPr>
        <w:pStyle w:val="Heading4"/>
      </w:pPr>
      <w:r>
        <w:t xml:space="preserve">B7 Multi-criteria analysis</w:t>
      </w:r>
    </w:p>
    <w:p>
      <w:pPr>
        <w:pStyle w:val="FirstParagraph"/>
      </w:pPr>
      <w:r>
        <w:t xml:space="preserve">Method (Dodgson et al., 2009): min–max normalisation s = (x − worst) / (best − worst); total T = 100 × Σ w_c s_c. Seven criteria: life-cycle CO₂e, CO₂e avoided per dollar, cost, first-power year, supply HHI, social licence, legal feasibility (last two judgement).</w:t>
      </w:r>
    </w:p>
    <w:p>
      <w:pPr>
        <w:pStyle w:val="BodyText"/>
      </w:pPr>
      <w:r>
        <w:t xml:space="preserve">Worked example (SMR, equal weights): 0.99998 + 0.0921 + 0.0001 + 0.4545 + 0.5298 + 0 + 0 = 2.0766; T = 100 × 2.0766 / 7 =</w:t>
      </w:r>
      <w:r>
        <w:t xml:space="preserve"> </w:t>
      </w:r>
      <w:r>
        <w:rPr>
          <w:bCs/>
          <w:b/>
        </w:rPr>
        <w:t xml:space="preserve">29.7</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r>
    </w:tbl>
    <w:p>
      <w:pPr>
        <w:pStyle w:val="BodyText"/>
      </w:pPr>
      <w:r>
        <w:t xml:space="preserve">Robustness: ±50% weight tests change first place in 2 of 56 cases (both in W2); under 20,000 random weight sets renewables rank first in 85.4%. C1 changes the SMR’s life cycle from 4.200 to 4.1845 g/kWh (2,200 / 1.419 × 10¹¹ kWh = 0.0155 g/kWh), under 0.005 point of score.</w:t>
      </w:r>
    </w:p>
    <w:bookmarkEnd w:id="99"/>
    <w:bookmarkStart w:id="100" w:name="X60627b1cacf0cf76093b4e52129cfb79ca0b15a"/>
    <w:p>
      <w:pPr>
        <w:pStyle w:val="Heading4"/>
      </w:pPr>
      <w:r>
        <w:t xml:space="preserve">B8 Social licence and stakeholder working</w:t>
      </w:r>
    </w:p>
    <w:p>
      <w:pPr>
        <w:numPr>
          <w:ilvl w:val="0"/>
          <w:numId w:val="1007"/>
        </w:numPr>
        <w:pStyle w:val="Compact"/>
      </w:pPr>
      <w:r>
        <w:rPr>
          <w:bCs/>
          <w:b/>
        </w:rPr>
        <w:t xml:space="preserve">Deaths avoided:</w:t>
      </w:r>
      <w:r>
        <w:t xml:space="preserve"> </w:t>
      </w:r>
      <w:r>
        <w:t xml:space="preserve">output 2.365 TWh a year × (death rate displaced − nuclear’s 0.03 per TWh; Ritchie, 2020; Markandya and Wilkinson, 2007). Black coal (24.62): 2.365 × 24.59 =</w:t>
      </w:r>
      <w:r>
        <w:t xml:space="preserve"> </w:t>
      </w:r>
      <w:r>
        <w:rPr>
          <w:bCs/>
          <w:b/>
        </w:rPr>
        <w:t xml:space="preserve">58.2 a year</w:t>
      </w:r>
      <w:r>
        <w:t xml:space="preserve"> </w:t>
      </w:r>
      <w:r>
        <w:t xml:space="preserve">(upper bound); gas (2.82):</w:t>
      </w:r>
      <w:r>
        <w:t xml:space="preserve"> </w:t>
      </w:r>
      <w:r>
        <w:rPr>
          <w:bCs/>
          <w:b/>
        </w:rPr>
        <w:t xml:space="preserve">6.6 a year</w:t>
      </w:r>
      <w:r>
        <w:t xml:space="preserve">.</w:t>
      </w:r>
    </w:p>
    <w:p>
      <w:pPr>
        <w:numPr>
          <w:ilvl w:val="0"/>
          <w:numId w:val="1007"/>
        </w:numPr>
        <w:pStyle w:val="Compact"/>
      </w:pPr>
      <w:r>
        <w:rPr>
          <w:bCs/>
          <w:b/>
        </w:rPr>
        <w:t xml:space="preserve">Power-weighted stance</w:t>
      </w:r>
      <w:r>
        <w:t xml:space="preserve"> </w:t>
      </w:r>
      <w:r>
        <w:t xml:space="preserve">= Σ(power × stance) / Σ(power). Darlington: 46 / 43 =</w:t>
      </w:r>
      <w:r>
        <w:t xml:space="preserve"> </w:t>
      </w:r>
      <w:r>
        <w:rPr>
          <w:bCs/>
          <w:b/>
        </w:rPr>
        <w:t xml:space="preserve">+1.07</w:t>
      </w:r>
      <w:r>
        <w:t xml:space="preserve">; Liddell: −37 / 36 =</w:t>
      </w:r>
      <w:r>
        <w:t xml:space="preserve"> </w:t>
      </w:r>
      <w:r>
        <w:rPr>
          <w:bCs/>
          <w:b/>
        </w:rPr>
        <w:t xml:space="preserve">−1.03</w:t>
      </w:r>
      <w:r>
        <w:t xml:space="preserve"> </w:t>
      </w:r>
      <w:r>
        <w:t xml:space="preserve">(scores are judgement).</w:t>
      </w:r>
    </w:p>
    <w:p>
      <w:pPr>
        <w:numPr>
          <w:ilvl w:val="0"/>
          <w:numId w:val="1007"/>
        </w:numPr>
        <w:pStyle w:val="Compact"/>
      </w:pPr>
      <w:r>
        <w:rPr>
          <w:bCs/>
          <w:b/>
        </w:rPr>
        <w:t xml:space="preserve">Siting routes</w:t>
      </w:r>
      <w:r>
        <w:t xml:space="preserve"> </w:t>
      </w:r>
      <w:r>
        <w:t xml:space="preserve">(scored 1–3 on five criteria, judgement): Commonwealth-led 7; volunteer host 11; with First Nations equity 11; no SMR (firmed renewables) 14 of 15.</w:t>
      </w:r>
    </w:p>
    <w:p>
      <w:pPr>
        <w:numPr>
          <w:ilvl w:val="0"/>
          <w:numId w:val="1007"/>
        </w:numPr>
        <w:pStyle w:val="Compact"/>
      </w:pPr>
      <w:r>
        <w:rPr>
          <w:bCs/>
          <w:b/>
        </w:rPr>
        <w:t xml:space="preserve">Financing</w:t>
      </w:r>
      <w:r>
        <w:t xml:space="preserve"> </w:t>
      </w:r>
      <w:r>
        <w:t xml:space="preserve">of C$20.9 bn (Government of Ontario, 2025): Canada Growth Fund 2.00 (9.6%), Building Ontario Fund 1.00 (4.8%), Canada Infrastructure Bank 0.97 (4.6%), Williams Treaties First Nations 0.70 (3.3%); remainder 16.23 (77.7%) from OPG’s balance sheet, a subtraction rather than a reported figure.</w:t>
      </w:r>
    </w:p>
    <w:bookmarkEnd w:id="100"/>
    <w:bookmarkEnd w:id="101"/>
    <w:bookmarkStart w:id="109" w:name="appendix-c.-sensitivity-analysis"/>
    <w:p>
      <w:pPr>
        <w:pStyle w:val="Heading2"/>
      </w:pPr>
      <w:r>
        <w:t xml:space="preserve">Appendix C. Sensitivity analysis</w:t>
      </w:r>
    </w:p>
    <w:bookmarkStart w:id="102" w:name="c1-set-up"/>
    <w:p>
      <w:pPr>
        <w:pStyle w:val="Heading4"/>
      </w:pPr>
      <w:r>
        <w:t xml:space="preserve">C1 Set-up</w:t>
      </w:r>
    </w:p>
    <w:p>
      <w:pPr>
        <w:numPr>
          <w:ilvl w:val="0"/>
          <w:numId w:val="1008"/>
        </w:numPr>
        <w:pStyle w:val="Compact"/>
      </w:pPr>
      <w:r>
        <w:rPr>
          <w:bCs/>
          <w:b/>
        </w:rPr>
        <w:t xml:space="preserve">Tornado:</w:t>
      </w:r>
      <w:r>
        <w:t xml:space="preserve"> </w:t>
      </w:r>
      <w:r>
        <w:t xml:space="preserve">each of 45 ranged inputs set to its low and high value, others at central. Ranges are in</w:t>
      </w:r>
      <w:r>
        <w:t xml:space="preserve"> </w:t>
      </w:r>
      <w:r>
        <w:rPr>
          <w:rStyle w:val="VerbatimChar"/>
        </w:rPr>
        <w:t xml:space="preserve">parameters_lca.yaml</w:t>
      </w:r>
      <w:r>
        <w:t xml:space="preserve">.</w:t>
      </w:r>
    </w:p>
    <w:p>
      <w:pPr>
        <w:numPr>
          <w:ilvl w:val="0"/>
          <w:numId w:val="1008"/>
        </w:numPr>
        <w:pStyle w:val="Compact"/>
      </w:pPr>
      <w:r>
        <w:rPr>
          <w:bCs/>
          <w:b/>
        </w:rPr>
        <w:t xml:space="preserve">Monte Carlo:</w:t>
      </w:r>
      <w:r>
        <w:t xml:space="preserve"> </w:t>
      </w:r>
      <w:r>
        <w:t xml:space="preserve">20,000 draws, seed 20261021, inputs independent and triangular (net output uniform 300–315 MWe). Twenty-nine inputs affect the main case.</w:t>
      </w:r>
    </w:p>
    <w:p>
      <w:pPr>
        <w:numPr>
          <w:ilvl w:val="0"/>
          <w:numId w:val="1008"/>
        </w:numPr>
        <w:pStyle w:val="Compact"/>
      </w:pPr>
      <w:r>
        <w:t xml:space="preserve">Reproduce:</w:t>
      </w:r>
      <w:r>
        <w:t xml:space="preserve"> </w:t>
      </w:r>
      <w:r>
        <w:rPr>
          <w:rStyle w:val="VerbatimChar"/>
        </w:rPr>
        <w:t xml:space="preserve">python3 -I 03_LCA_Calculations/scripts/lca_uncertainty.py</w:t>
      </w:r>
      <w:r>
        <w:t xml:space="preserve">.</w:t>
      </w:r>
    </w:p>
    <w:bookmarkEnd w:id="102"/>
    <w:bookmarkStart w:id="103" w:name="c2-ranged-inputs-and-tornado-results"/>
    <w:p>
      <w:pPr>
        <w:pStyle w:val="Heading4"/>
      </w:pPr>
      <w:r>
        <w:t xml:space="preserve">C2 Ranged inputs and tornado results</w:t>
      </w:r>
    </w:p>
    <w:p>
      <w:pPr>
        <w:pStyle w:val="FirstParagraph"/>
      </w:pPr>
      <w:r>
        <w:t xml:space="preserve">Swing in life-cycle intensity (g CO₂e/kWh), ranked (Parker, McNaughton and Sparrow, 2016; Gibon and Hahn Menacho, 2023; EDF R&amp;D, 2024):</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Input (low / central / high)</w:t>
            </w:r>
          </w:p>
        </w:tc>
        <w:tc>
          <w:tcPr/>
          <w:p>
            <w:pPr>
              <w:pStyle w:val="Compact"/>
              <w:jc w:val="right"/>
            </w:pPr>
            <w:r>
              <w:t xml:space="preserve">Swing</w:t>
            </w:r>
          </w:p>
        </w:tc>
      </w:tr>
      <w:tr>
        <w:tc>
          <w:tcPr/>
          <w:p>
            <w:pPr>
              <w:pStyle w:val="Compact"/>
              <w:jc w:val="left"/>
            </w:pPr>
            <w:r>
              <w:t xml:space="preserve">Conversion heat (26 / 26 / 665 kWh/kg U)</w:t>
            </w:r>
          </w:p>
        </w:tc>
        <w:tc>
          <w:tcPr/>
          <w:p>
            <w:pPr>
              <w:pStyle w:val="Compact"/>
              <w:jc w:val="right"/>
            </w:pPr>
            <w:r>
              <w:t xml:space="preserve">2.669</w:t>
            </w:r>
          </w:p>
        </w:tc>
      </w:tr>
      <w:tr>
        <w:tc>
          <w:tcPr/>
          <w:p>
            <w:pPr>
              <w:pStyle w:val="Compact"/>
              <w:jc w:val="left"/>
            </w:pPr>
            <w:r>
              <w:t xml:space="preserve">Mining and milling (24 / 42 / 81 kg CO₂e/kg U₃O₈)</w:t>
            </w:r>
          </w:p>
        </w:tc>
        <w:tc>
          <w:tcPr/>
          <w:p>
            <w:pPr>
              <w:pStyle w:val="Compact"/>
              <w:jc w:val="right"/>
            </w:pPr>
            <w:r>
              <w:t xml:space="preserve">1.390</w:t>
            </w:r>
          </w:p>
        </w:tc>
      </w:tr>
      <w:tr>
        <w:tc>
          <w:tcPr/>
          <w:p>
            <w:pPr>
              <w:pStyle w:val="Compact"/>
              <w:jc w:val="left"/>
            </w:pPr>
            <w:r>
              <w:t xml:space="preserve">Back end (0.28 / 0.56 / 1.11 g/kWh)</w:t>
            </w:r>
          </w:p>
        </w:tc>
        <w:tc>
          <w:tcPr/>
          <w:p>
            <w:pPr>
              <w:pStyle w:val="Compact"/>
              <w:jc w:val="right"/>
            </w:pPr>
            <w:r>
              <w:t xml:space="preserve">0.830</w:t>
            </w:r>
          </w:p>
        </w:tc>
      </w:tr>
      <w:tr>
        <w:tc>
          <w:tcPr/>
          <w:p>
            <w:pPr>
              <w:pStyle w:val="Compact"/>
              <w:jc w:val="left"/>
            </w:pPr>
            <w:r>
              <w:t xml:space="preserve">Burnup (35 / 45 / 55 GWd/t)</w:t>
            </w:r>
          </w:p>
        </w:tc>
        <w:tc>
          <w:tcPr/>
          <w:p>
            <w:pPr>
              <w:pStyle w:val="Compact"/>
              <w:jc w:val="right"/>
            </w:pPr>
            <w:r>
              <w:t xml:space="preserve">0.682</w:t>
            </w:r>
          </w:p>
        </w:tc>
      </w:tr>
      <w:tr>
        <w:tc>
          <w:tcPr/>
          <w:p>
            <w:pPr>
              <w:pStyle w:val="Compact"/>
              <w:jc w:val="left"/>
            </w:pPr>
            <w:r>
              <w:t xml:space="preserve">Enrichment (3.4 / 3.8 / 4.95%)</w:t>
            </w:r>
          </w:p>
        </w:tc>
        <w:tc>
          <w:tcPr/>
          <w:p>
            <w:pPr>
              <w:pStyle w:val="Compact"/>
              <w:jc w:val="right"/>
            </w:pPr>
            <w:r>
              <w:t xml:space="preserve">0.663</w:t>
            </w:r>
          </w:p>
        </w:tc>
      </w:tr>
    </w:tbl>
    <w:p>
      <w:pPr>
        <w:pStyle w:val="BodyText"/>
      </w:pPr>
      <w:r>
        <w:t xml:space="preserve">Plant steel moves the total by 0.105 and plant concrete by 0.057. C1’s saving (2,200 t) moves with eligible share (1,100–3,300 t), LC³ cut (1,672–2,964 t), plant concrete (1,760–2,640 t) and OPC factor (1,911–2,432 t).</w:t>
      </w:r>
    </w:p>
    <w:bookmarkEnd w:id="103"/>
    <w:bookmarkStart w:id="104" w:name="c3-what-the-tornado-shows"/>
    <w:p>
      <w:pPr>
        <w:pStyle w:val="Heading4"/>
      </w:pPr>
      <w:r>
        <w:t xml:space="preserve">C3 What the tornado shows</w:t>
      </w:r>
    </w:p>
    <w:p>
      <w:pPr>
        <w:pStyle w:val="FirstParagraph"/>
      </w:pPr>
      <w:r>
        <w:t xml:space="preserve">Fuel-cycle inputs dominate; construction inputs are minor. Expected stage means (Monte Carlo) total 4.487 g/kWh: mining 1.261, conversion 1.105, back end 0.651, O&amp;M 0.390, enrichment 0.355, construction 0.515.</w:t>
      </w:r>
    </w:p>
    <w:bookmarkEnd w:id="104"/>
    <w:bookmarkStart w:id="105" w:name="c4-monte-carlo-results"/>
    <w:p>
      <w:pPr>
        <w:pStyle w:val="Heading4"/>
      </w:pPr>
      <w:r>
        <w:t xml:space="preserve">C4 Monte Carlo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 cycle (g/kWh)</w:t>
            </w:r>
          </w:p>
        </w:tc>
        <w:tc>
          <w:tcPr/>
          <w:p>
            <w:pPr>
              <w:pStyle w:val="Compact"/>
              <w:jc w:val="right"/>
            </w:pPr>
            <w:r>
              <w:t xml:space="preserve">2.864</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C1 saving per unit (t)</w:t>
            </w:r>
          </w:p>
        </w:tc>
        <w:tc>
          <w:tcPr/>
          <w:p>
            <w:pPr>
              <w:pStyle w:val="Compact"/>
              <w:jc w:val="right"/>
            </w:pPr>
            <w:r>
              <w:t xml:space="preserve">2,200</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w:t>
            </w:r>
          </w:p>
        </w:tc>
        <w:tc>
          <w:tcPr/>
          <w:p>
            <w:pPr>
              <w:pStyle w:val="Compact"/>
              <w:jc w:val="right"/>
            </w:pPr>
            <w:r>
              <w:t xml:space="preserve">6,600</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bl>
    <w:p>
      <w:pPr>
        <w:pStyle w:val="BodyText"/>
      </w:pPr>
      <w:r>
        <w:t xml:space="preserve">LC³ beats slag in 55% of draws.</w:t>
      </w:r>
    </w:p>
    <w:bookmarkEnd w:id="105"/>
    <w:bookmarkStart w:id="106" w:name="X9b97cab98b05962799865c59c8c8f622e9cd0ec"/>
    <w:p>
      <w:pPr>
        <w:pStyle w:val="Heading4"/>
      </w:pPr>
      <w:r>
        <w:t xml:space="preserve">C5 Why the median (4.40) sits above the mode case (2.86)</w:t>
      </w:r>
    </w:p>
    <w:p>
      <w:pPr>
        <w:pStyle w:val="FirstParagraph"/>
      </w:pPr>
      <w:r>
        <w:t xml:space="preserve">Skewed upper tails, mainly conversion heat: triangular mean (26 + 26 + 665) / 3 ≈ 239 kWh/kg U, nine times the mode, adds +0.98 of the +1.62 g/kWh gap. With conversion heat fixed at 26 the median is 3.51; log-uniform 26–665 gives 4.11. The reported range of medians is</w:t>
      </w:r>
      <w:r>
        <w:t xml:space="preserve"> </w:t>
      </w:r>
      <w:r>
        <w:rPr>
          <w:bCs/>
          <w:b/>
        </w:rPr>
        <w:t xml:space="preserve">3.51–4.40 g CO₂e/kWh</w:t>
      </w:r>
      <w:r>
        <w:t xml:space="preserve">.</w:t>
      </w:r>
    </w:p>
    <w:bookmarkEnd w:id="106"/>
    <w:bookmarkStart w:id="107" w:name="c6-limitations"/>
    <w:p>
      <w:pPr>
        <w:pStyle w:val="Heading4"/>
      </w:pPr>
      <w:r>
        <w:t xml:space="preserve">C6 Limitations</w:t>
      </w:r>
    </w:p>
    <w:p>
      <w:pPr>
        <w:pStyle w:val="FirstParagraph"/>
      </w:pPr>
      <w:r>
        <w:t xml:space="preserve">Inputs are drawn independently; some ranges (±20%, eligible share, LC³ cut, EDF transfer ranges) are assumptions; triangular shapes are conventions; the Ostrołęka and Pillai tables were not opened; model boundary and cut-offs are not sampled.</w:t>
      </w:r>
    </w:p>
    <w:bookmarkEnd w:id="107"/>
    <w:bookmarkStart w:id="108" w:name="c7-benchmarks"/>
    <w:p>
      <w:pPr>
        <w:pStyle w:val="Heading4"/>
      </w:pPr>
      <w:r>
        <w:t xml:space="preserve">C7 Benchmarks</w:t>
      </w:r>
    </w:p>
    <w:p>
      <w:pPr>
        <w:pStyle w:val="FirstParagraph"/>
      </w:pPr>
      <w:r>
        <w:t xml:space="preserve">Our median 4.40 (3.24–6.05) g/kWh against UNECE (2021) 5.1–6.4, EDF R&amp;D (2024) 3.7 (2.9–4.6), Gibon and Hahn Menacho (2023) 6.1, Warner and Heath (2012) median 12, and coal 751–1,095 g/kWh. Differences arise mainly from high-grade ore, centrifuge enrichment and fuel-inventory cut-offs.</w:t>
      </w:r>
    </w:p>
    <w:bookmarkEnd w:id="108"/>
    <w:bookmarkEnd w:id="109"/>
    <w:bookmarkStart w:id="114" w:name="appendix-e.-search-log"/>
    <w:p>
      <w:pPr>
        <w:pStyle w:val="Heading2"/>
      </w:pPr>
      <w:r>
        <w:t xml:space="preserve">Appendix E. Search log</w:t>
      </w:r>
    </w:p>
    <w:bookmarkStart w:id="110" w:name="e1-method-and-access"/>
    <w:p>
      <w:pPr>
        <w:pStyle w:val="Heading4"/>
      </w:pPr>
      <w:r>
        <w:t xml:space="preserve">E1 Method and access</w:t>
      </w:r>
    </w:p>
    <w:p>
      <w:pPr>
        <w:pStyle w:val="FirstParagraph"/>
      </w:pPr>
      <w:r>
        <w:t xml:space="preserve">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bookmarkEnd w:id="110"/>
    <w:bookmarkStart w:id="111" w:name="e2-search-strings-and-results"/>
    <w:p>
      <w:pPr>
        <w:pStyle w:val="Heading4"/>
      </w:pPr>
      <w:r>
        <w:t xml:space="preserve">E2 Search strings and results</w:t>
      </w:r>
    </w:p>
    <w:p>
      <w:pPr>
        <w:pStyle w:val="FirstParagraph"/>
      </w:pPr>
      <w:r>
        <w:t xml:space="preserve">Twelve strings were run (area (i): 5; (ii): 3; (iii): 4), for example</w:t>
      </w:r>
      <w:r>
        <w:t xml:space="preserve"> </w:t>
      </w:r>
      <w:r>
        <w:t xml:space="preserve">“</w:t>
      </w:r>
      <w:r>
        <w:t xml:space="preserve">GE-Hitachi patent isolation condenser small modular boiling water reactor</w:t>
      </w:r>
      <w:r>
        <w:t xml:space="preserve">”</w:t>
      </w:r>
      <w:r>
        <w:t xml:space="preserve">,</w:t>
      </w:r>
      <w:r>
        <w:t xml:space="preserve"> </w:t>
      </w:r>
      <w:r>
        <w:t xml:space="preserve">“</w:t>
      </w:r>
      <w:r>
        <w:t xml:space="preserve">patent steel-plate composite modular wall nuclear</w:t>
      </w:r>
      <w:r>
        <w:t xml:space="preserve">”</w:t>
      </w:r>
      <w:r>
        <w:t xml:space="preserve"> </w:t>
      </w:r>
      <w:r>
        <w:t xml:space="preserve">and</w:t>
      </w:r>
      <w:r>
        <w:t xml:space="preserve"> </w:t>
      </w:r>
      <w:r>
        <w:t xml:space="preserve">“</w:t>
      </w:r>
      <w:r>
        <w:t xml:space="preserve">patent limestone calcined clay cement LC3</w:t>
      </w:r>
      <w:r>
        <w:t xml:space="preserve">”</w:t>
      </w:r>
      <w:r>
        <w:t xml:space="preserve">. Area (i) found isolation-condenser and underground-shaft families; area (ii) found</w:t>
      </w:r>
      <w:r>
        <w:t xml:space="preserve"> </w:t>
      </w:r>
      <w:r>
        <w:rPr>
          <w:bCs/>
          <w:b/>
        </w:rPr>
        <w:t xml:space="preserve">no</w:t>
      </w:r>
      <w:r>
        <w:t xml:space="preserve"> </w:t>
      </w:r>
      <w:r>
        <w:t xml:space="preserve">DP-SC patent (gap: search</w:t>
      </w:r>
      <w:r>
        <w:t xml:space="preserve"> </w:t>
      </w:r>
      <w:r>
        <w:t xml:space="preserve">“</w:t>
      </w:r>
      <w:r>
        <w:t xml:space="preserve">diaphragm plate</w:t>
      </w:r>
      <w:r>
        <w:t xml:space="preserve">”</w:t>
      </w:r>
      <w:r>
        <w:t xml:space="preserve">, GE-Hitachi, when the host is reachable); area (iii) found clay-processing and admixture patents.</w:t>
      </w:r>
    </w:p>
    <w:bookmarkEnd w:id="111"/>
    <w:bookmarkStart w:id="112" w:name="e3-patents-kept"/>
    <w:p>
      <w:pPr>
        <w:pStyle w:val="Heading4"/>
      </w:pPr>
      <w:r>
        <w:t xml:space="preserve">E3 Patents kept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Assignee</w:t>
            </w:r>
          </w:p>
        </w:tc>
        <w:tc>
          <w:tcPr/>
          <w:p>
            <w:pPr>
              <w:pStyle w:val="Compact"/>
              <w:jc w:val="left"/>
            </w:pPr>
            <w:r>
              <w:t xml:space="preserve">Relevance</w:t>
            </w:r>
          </w:p>
        </w:tc>
      </w:tr>
      <w:tr>
        <w:tc>
          <w:tcPr/>
          <w:p>
            <w:pPr>
              <w:pStyle w:val="Compact"/>
              <w:jc w:val="left"/>
            </w:pPr>
            <w:r>
              <w:t xml:space="preserve">P1</w:t>
            </w:r>
          </w:p>
        </w:tc>
        <w:tc>
          <w:tcPr/>
          <w:p>
            <w:pPr>
              <w:pStyle w:val="Compact"/>
              <w:jc w:val="left"/>
            </w:pPr>
            <w:r>
              <w:t xml:space="preserve">US 10,867,712 B2</w:t>
            </w:r>
          </w:p>
        </w:tc>
        <w:tc>
          <w:tcPr/>
          <w:p>
            <w:pPr>
              <w:pStyle w:val="Compact"/>
              <w:jc w:val="left"/>
            </w:pPr>
            <w:r>
              <w:t xml:space="preserve">GE-Hitachi</w:t>
            </w:r>
          </w:p>
        </w:tc>
        <w:tc>
          <w:tcPr/>
          <w:p>
            <w:pPr>
              <w:pStyle w:val="Compact"/>
              <w:jc w:val="left"/>
            </w:pPr>
            <w:r>
              <w:t xml:space="preserve">Isolation condenser (passive cooling)</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Not confirmed</w:t>
            </w:r>
          </w:p>
        </w:tc>
        <w:tc>
          <w:tcPr/>
          <w:p>
            <w:pPr>
              <w:pStyle w:val="Compact"/>
              <w:jc w:val="left"/>
            </w:pPr>
            <w:r>
              <w:t xml:space="preserve">Condenser pool make-up</w:t>
            </w:r>
          </w:p>
        </w:tc>
      </w:tr>
      <w:tr>
        <w:tc>
          <w:tcPr/>
          <w:p>
            <w:pPr>
              <w:pStyle w:val="Compact"/>
              <w:jc w:val="left"/>
            </w:pPr>
            <w:r>
              <w:t xml:space="preserve">P3</w:t>
            </w:r>
          </w:p>
        </w:tc>
        <w:tc>
          <w:tcPr/>
          <w:p>
            <w:pPr>
              <w:pStyle w:val="Compact"/>
              <w:jc w:val="left"/>
            </w:pPr>
            <w:r>
              <w:t xml:space="preserve">US 2020/0208517 A1</w:t>
            </w:r>
          </w:p>
        </w:tc>
        <w:tc>
          <w:tcPr/>
          <w:p>
            <w:pPr>
              <w:pStyle w:val="Compact"/>
              <w:jc w:val="left"/>
            </w:pPr>
            <w:r>
              <w:t xml:space="preserve">Not confirmed</w:t>
            </w:r>
          </w:p>
        </w:tc>
        <w:tc>
          <w:tcPr/>
          <w:p>
            <w:pPr>
              <w:pStyle w:val="Compact"/>
              <w:jc w:val="left"/>
            </w:pPr>
            <w:r>
              <w:t xml:space="preserve">Underground vertical shaft</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Outotec</w:t>
            </w:r>
          </w:p>
        </w:tc>
        <w:tc>
          <w:tcPr/>
          <w:p>
            <w:pPr>
              <w:pStyle w:val="Compact"/>
              <w:jc w:val="left"/>
            </w:pPr>
            <w:r>
              <w:t xml:space="preserve">Calcined-clay clinker substitute</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Not confirmed</w:t>
            </w:r>
          </w:p>
        </w:tc>
        <w:tc>
          <w:tcPr/>
          <w:p>
            <w:pPr>
              <w:pStyle w:val="Compact"/>
              <w:jc w:val="left"/>
            </w:pPr>
            <w:r>
              <w:t xml:space="preserve">LC³, low-temperature clay</w:t>
            </w:r>
          </w:p>
        </w:tc>
      </w:tr>
      <w:tr>
        <w:tc>
          <w:tcPr/>
          <w:p>
            <w:pPr>
              <w:pStyle w:val="Compact"/>
              <w:jc w:val="left"/>
            </w:pPr>
            <w:r>
              <w:t xml:space="preserve">P6</w:t>
            </w:r>
          </w:p>
        </w:tc>
        <w:tc>
          <w:tcPr/>
          <w:p>
            <w:pPr>
              <w:pStyle w:val="Compact"/>
              <w:jc w:val="left"/>
            </w:pPr>
            <w:r>
              <w:t xml:space="preserve">US 11,939,273 B2</w:t>
            </w:r>
          </w:p>
        </w:tc>
        <w:tc>
          <w:tcPr/>
          <w:p>
            <w:pPr>
              <w:pStyle w:val="Compact"/>
              <w:jc w:val="left"/>
            </w:pPr>
            <w:r>
              <w:t xml:space="preserve">Construction Research &amp; Technology</w:t>
            </w:r>
          </w:p>
        </w:tc>
        <w:tc>
          <w:tcPr/>
          <w:p>
            <w:pPr>
              <w:pStyle w:val="Compact"/>
              <w:jc w:val="left"/>
            </w:pPr>
            <w:r>
              <w:t xml:space="preserve">LC³ composition</w:t>
            </w:r>
          </w:p>
        </w:tc>
      </w:tr>
      <w:tr>
        <w:tc>
          <w:tcPr/>
          <w:p>
            <w:pPr>
              <w:pStyle w:val="Compact"/>
              <w:jc w:val="left"/>
            </w:pPr>
            <w:r>
              <w:t xml:space="preserve">P7</w:t>
            </w:r>
          </w:p>
        </w:tc>
        <w:tc>
          <w:tcPr/>
          <w:p>
            <w:pPr>
              <w:pStyle w:val="Compact"/>
              <w:jc w:val="left"/>
            </w:pPr>
            <w:r>
              <w:t xml:space="preserve">US 2023/0202926 A1</w:t>
            </w:r>
          </w:p>
        </w:tc>
        <w:tc>
          <w:tcPr/>
          <w:p>
            <w:pPr>
              <w:pStyle w:val="Compact"/>
              <w:jc w:val="left"/>
            </w:pPr>
            <w:r>
              <w:t xml:space="preserve">Sika Technology</w:t>
            </w:r>
          </w:p>
        </w:tc>
        <w:tc>
          <w:tcPr/>
          <w:p>
            <w:pPr>
              <w:pStyle w:val="Compact"/>
              <w:jc w:val="left"/>
            </w:pPr>
            <w:r>
              <w:t xml:space="preserve">LC³ workability</w:t>
            </w:r>
          </w:p>
        </w:tc>
      </w:tr>
    </w:tbl>
    <w:p>
      <w:pPr>
        <w:pStyle w:val="BodyText"/>
      </w:pPr>
      <w:r>
        <w:t xml:space="preserve">LC³ itself appears in no core composition patent in these results; patenting is around clay processing and workability admixtures. No freedom-to-operate search was done.</w:t>
      </w:r>
    </w:p>
    <w:bookmarkEnd w:id="112"/>
    <w:bookmarkStart w:id="113" w:name="e4-literature-searches"/>
    <w:p>
      <w:pPr>
        <w:pStyle w:val="Heading4"/>
      </w:pPr>
      <w:r>
        <w:t xml:space="preserve">E4 Literature searches</w:t>
      </w:r>
    </w:p>
    <w:p>
      <w:pPr>
        <w:pStyle w:val="FirstParagraph"/>
      </w:pPr>
      <w:r>
        <w:t xml:space="preserve">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bookmarkEnd w:id="113"/>
    <w:bookmarkEnd w:id="114"/>
    <w:bookmarkEnd w:id="115"/>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outlineLvl w:val="0"/>
    </w:pPr>
    <w:rPr>
      <w:sz w:val="40"/>
      <w:szCs w:val="40"/>
    </w:rPr>
  </w:style>
  <w:style w:styleId="Heading2" w:type="paragraph">
    <w:name w:val="heading 2"/>
    <w:basedOn w:val="Normal"/>
    <w:next w:val="Normal"/>
    <w:pPr>
      <w:keepNext w:val="1"/>
      <w:keepLines w:val="1"/>
      <w:pageBreakBefore w:val="0"/>
      <w:spacing w:after="120" w:before="360" w:lineRule="auto"/>
      <w:outlineLvl w:val="1"/>
    </w:pPr>
    <w:rPr>
      <w:b w:val="0"/>
      <w:bCs w:val="0"/>
      <w:sz w:val="32"/>
      <w:szCs w:val="32"/>
    </w:rPr>
  </w:style>
  <w:style w:styleId="Heading3" w:type="paragraph">
    <w:name w:val="heading 3"/>
    <w:basedOn w:val="Normal"/>
    <w:next w:val="Normal"/>
    <w:pPr>
      <w:keepNext w:val="1"/>
      <w:keepLines w:val="1"/>
      <w:pageBreakBefore w:val="0"/>
      <w:spacing w:after="80" w:before="320" w:lineRule="auto"/>
      <w:outlineLvl w:val="2"/>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outlineLvl w:val="3"/>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tblPr>
      <w:tblInd w:type="dxa" w:w="0"/>
      <w:tblBorders>
        <w:top w:color="595959" w:space="0" w:sz="8" w:val="single"/>
        <w:bottom w:color="595959" w:space="0" w:sz="8" w:val="single"/>
        <w:insideH w:color="D0D7DE" w:space="0" w:sz="4" w:val="single"/>
      </w:tblBorders>
      <w:tblCellMar>
        <w:top w:type="dxa" w:w="30"/>
        <w:left w:type="dxa" w:w="80"/>
        <w:bottom w:type="dxa" w:w="30"/>
        <w:right w:type="dxa" w:w="80"/>
      </w:tblCellMar>
    </w:tblPr>
    <w:tblStylePr w:type="firstRow">
      <w:rPr>
        <w:b/>
      </w:rPr>
      <w:tcPr>
        <w:shd w:color="auto" w:fill="EDEDE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color w:val="555555"/>
      <w:sz w:val="19"/>
      <w:szCs w:val="19"/>
    </w:rPr>
  </w:style>
  <w:style w:customStyle="1" w:styleId="ImageCaption" w:type="paragraph">
    <w:name w:val="Image Caption"/>
    <w:basedOn w:val="Caption"/>
    <w:rPr>
      <w:color w:val="555555"/>
      <w:sz w:val="19"/>
      <w:szCs w:val="19"/>
    </w:rPr>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next w:val="Normal"/>
    <w:uiPriority w:val="39"/>
    <w:unhideWhenUsed/>
    <w:pPr>
      <w:tabs>
        <w:tab w:leader="dot" w:pos="9026" w:val="right"/>
      </w:tabs>
      <w:spacing w:after="60" w:before="60" w:line="240" w:lineRule="auto"/>
      <w:ind w:left="0"/>
    </w:pPr>
    <w:rPr>
      <w:rFonts w:ascii="Arial" w:cs="Arial" w:hAnsi="Arial"/>
      <w:b/>
      <w:bCs/>
      <w:sz w:val="22"/>
      <w:szCs w:val="22"/>
    </w:rPr>
  </w:style>
  <w:style w:styleId="TOC2" w:type="paragraph">
    <w:name w:val="toc 2"/>
    <w:basedOn w:val="Normal"/>
    <w:next w:val="Normal"/>
    <w:uiPriority w:val="39"/>
    <w:unhideWhenUsed/>
    <w:pPr>
      <w:tabs>
        <w:tab w:leader="dot" w:pos="9026" w:val="right"/>
      </w:tabs>
      <w:spacing w:after="60" w:before="60" w:line="240" w:lineRule="auto"/>
      <w:ind w:left="720"/>
    </w:pPr>
    <w:rPr>
      <w:rFonts w:ascii="Arial" w:cs="Arial" w:hAnsi="Arial"/>
      <w:sz w:val="22"/>
      <w:szCs w:val="22"/>
    </w:rPr>
  </w:style>
  <w:style w:styleId="TOC3" w:type="paragraph">
    <w:name w:val="toc 3"/>
    <w:basedOn w:val="Normal"/>
    <w:next w:val="Normal"/>
    <w:uiPriority w:val="39"/>
    <w:unhideWhenUsed/>
    <w:pPr>
      <w:tabs>
        <w:tab w:leader="dot" w:pos="9026" w:val="right"/>
      </w:tabs>
      <w:spacing w:after="60" w:before="60" w:line="240" w:lineRule="auto"/>
      <w:ind w:left="1440"/>
    </w:pPr>
    <w:rPr>
      <w:rFonts w:ascii="Arial" w:cs="Arial" w:hAnsi="Arial"/>
      <w:sz w:val="22"/>
      <w:szCs w:val="22"/>
    </w:rPr>
  </w:style>
  <w:style w:customStyle="1" w:styleId="TeamNote" w:type="character">
    <w:name w:val="Team Note"/>
    <w:rPr>
      <w:b/>
      <w:color w:val="C00000"/>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2026-10-25T12:23:18Z</dcterms:created>
  <dcterms:modified xsi:type="dcterms:W3CDTF">2026-10-25T12:23:18Z</dcterms:modified>
</cp:coreProperties>
</file>

<file path=docProps/custom.xml><?xml version="1.0" encoding="utf-8"?>
<Properties xmlns="http://schemas.openxmlformats.org/officeDocument/2006/custom-properties" xmlns:vt="http://schemas.openxmlformats.org/officeDocument/2006/docPropsVTypes"/>
</file>