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image1.png" ContentType="image/png"/>
  <Override PartName="/word/media/image2.png" ContentType="image/png"/>
  <Override PartName="/word/media/image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Small</w:t>
      </w:r>
      <w:r>
        <w:t xml:space="preserve"> </w:t>
      </w:r>
      <w:r>
        <w:t xml:space="preserve">modular</w:t>
      </w:r>
      <w:r>
        <w:t xml:space="preserve"> </w:t>
      </w:r>
      <w:r>
        <w:t xml:space="preserve">reactors:</w:t>
      </w:r>
      <w:r>
        <w:t xml:space="preserve"> </w:t>
      </w:r>
      <w:r>
        <w:t xml:space="preserve">DRAFT</w:t>
      </w:r>
      <w:r>
        <w:t xml:space="preserve"> </w:t>
      </w:r>
      <w:r>
        <w:t xml:space="preserve">(assembled</w:t>
      </w:r>
      <w:r>
        <w:t xml:space="preserve"> </w:t>
      </w:r>
      <w:r>
        <w:t xml:space="preserve">from</w:t>
      </w:r>
      <w:r>
        <w:t xml:space="preserve"> </w:t>
      </w:r>
      <w:r>
        <w:t xml:space="preserve">sections)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Draft for the team, not the submission.</w:t>
      </w:r>
      <w:r>
        <w:t xml:space="preserve"> </w:t>
      </w:r>
      <w:r>
        <w:t xml:space="preserve">Every [TO VERIFY] and [TODO] marker is still open. Leroy’s sections are placeholders until they are in the repo.</w:t>
      </w:r>
    </w:p>
    <w:bookmarkStart w:id="20" w:name="abstract"/>
    <w:p>
      <w:pPr>
        <w:pStyle w:val="Heading2"/>
      </w:pPr>
      <w:r>
        <w:t xml:space="preserve">Abstract</w:t>
      </w:r>
    </w:p>
    <w:p>
      <w:pPr>
        <w:pStyle w:val="FirstParagraph"/>
      </w:pPr>
      <w:r>
        <w:t xml:space="preserve">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pPr>
      <w:r>
        <w:t xml:space="preserve">Our initiative, C1, is low-clinker concrete for the steel-composite infill and forebay shaft of Darlington Units 2–4: limestone calcined clay cement (LC³) where qualified, a slag blend otherwise, and only if schedule-neutral. A screening life-cycle assessment (ISO 14040/44 principles, Granta EduPack not yet run) gives about 4.2 g CO₂e/kWh for one unit, 64% from the fuel front end. C1 saves [C1 saving: per final §6] per unit (1,734–2,200 t, provisional), about 0.3% of the life cycle, and a delay of 9–15 days cancels it.</w:t>
      </w:r>
    </w:p>
    <w:p>
      <w:pPr>
        <w:pStyle w:val="BodyText"/>
      </w:pPr>
      <w:r>
        <w:t xml:space="preserve">Law, cost and timing decide the Australian case. An SMR at Liddell could not start before about 2040, and firmed renewables avoid 10.9 times more CO₂e per dollar. In a multi-criteria analysis, renewables rank first under all four weight sets.</w:t>
      </w:r>
    </w:p>
    <w:p>
      <w:pPr>
        <w:pStyle w:val="BodyText"/>
      </w:pPr>
      <w:r>
        <w:t xml:space="preserve">We recommend piloting LC³ in eligible non-safety works first, and extending it to the infill only if qualified on Unit 1 mock-ups. In Australia, we recommend firmed renewables.</w:t>
      </w:r>
    </w:p>
    <w:bookmarkEnd w:id="20"/>
    <w:bookmarkStart w:id="21" w:name="introduction"/>
    <w:p>
      <w:pPr>
        <w:pStyle w:val="Heading2"/>
      </w:pPr>
      <w:r>
        <w:t xml:space="preserve">1 Introduction</w:t>
      </w:r>
    </w:p>
    <w:p>
      <w:pPr>
        <w:pStyle w:val="FirstParagraph"/>
      </w:pPr>
      <w:r>
        <w:rPr>
          <w:bCs/>
          <w:b/>
        </w:rPr>
        <w:t xml:space="preserve">When a coal plant closes, someone must replace its firm output with something cleaner, and small modular reactors (SMRs) are one proposed answer. This report asks whether an SMR is a feasible replacement across the triple bottom line (environmental, economic and social), and whether a materials decision can make it cleaner without making it later.</w:t>
      </w:r>
    </w:p>
    <w:p>
      <w:pPr>
        <w:pStyle w:val="BodyText"/>
      </w:pPr>
      <w:r>
        <w:rPr>
          <w:bCs/>
          <w:b/>
        </w:rPr>
        <w:t xml:space="preserve">Context.</w:t>
      </w:r>
      <w:r>
        <w:t xml:space="preserve"> </w:t>
      </w:r>
      <w:r>
        <w:t xml:space="preserve">Australia’s coal fleet is closing. Liddell in New South Wales (NSW), 2,000 MW, was approved to run to April 2023 (Australian Energy Regulator, 2021) and closed on 28 April 2023 [TODO: source needed: AGL closure release; so far news reports only], and the NSW grid still emits about 640 g CO₂e per kWh (Department of Climate Change, Energy, the Environment and Water, 2025). Ontario ended coal use in 2014 [TODO: source needed: Ontario coal phase-out date] and now emits about 74 g/kWh on average (The Atmospheric Fund, 2025). An SMR is a nuclear reactor of up to about 300 MWe built largely from factory-made modules (International Atomic Energy Agency, 2024) [TO VERIFY: definition; entry</w:t>
      </w:r>
      <w:r>
        <w:t xml:space="preserve"> </w:t>
      </w:r>
      <w:r>
        <w:rPr>
          <w:rStyle w:val="VerbatimChar"/>
        </w:rPr>
        <w:t xml:space="preserve">iaea2024_smr_catalogue</w:t>
      </w:r>
      <w:r>
        <w:t xml:space="preserve"> </w:t>
      </w:r>
      <w:r>
        <w:t xml:space="preserve">in sources_run5.md, not opened]. The GE Vernova Hitachi BWRX-300, a 300 MWe boiling-water reactor, is the first SMR licensed for construction in an OECD country: Ontario Power Generation (OPG) holds a licence to construct one unit at Darlington (Canadian Nuclear Safety Commission, 2025).</w:t>
      </w:r>
    </w:p>
    <w:p>
      <w:pPr>
        <w:pStyle w:val="BodyText"/>
      </w:pPr>
      <w:r>
        <w:rPr>
          <w:bCs/>
          <w:b/>
        </w:rPr>
        <w:t xml:space="preserve">The two sites.</w:t>
      </w:r>
      <w:r>
        <w:t xml:space="preserve"> </w:t>
      </w:r>
      <w:r>
        <w:rPr>
          <w:iCs/>
          <w:i/>
        </w:rPr>
        <w:t xml:space="preserve">Darlington, Clarington, Ontario</w:t>
      </w:r>
      <w:r>
        <w:t xml:space="preserve"> </w:t>
      </w:r>
      <w:r>
        <w:t xml:space="preserve">is the initiative site. OPG plans four units for C$20.9 billion, with Unit 1 in service in October 2030 (Ontario Power Generation, 2025). The licence covers Unit 1 only, so Units 2–4 need further licensing (§8.1).</w:t>
      </w:r>
      <w:r>
        <w:t xml:space="preserve"> </w:t>
      </w:r>
      <w:r>
        <w:rPr>
          <w:iCs/>
          <w:i/>
        </w:rPr>
        <w:t xml:space="preserve">Liddell</w:t>
      </w:r>
      <w:r>
        <w:t xml:space="preserve"> </w:t>
      </w:r>
      <w:r>
        <w:t xml:space="preserve">is the Australian comparison: a closed coal site with a grid connection, where federal and state law now bars nuclear power (§8.1) and CSIRO’s GenCost report puts first deployment no earlier than 2040 (Graham, Hayward and Foster, 2024) [TO VERIFY].</w:t>
      </w:r>
    </w:p>
    <w:p>
      <w:pPr>
        <w:pStyle w:val="BodyText"/>
      </w:pPr>
      <w:r>
        <w:rPr>
          <w:bCs/>
          <w:b/>
        </w:rPr>
        <w:t xml:space="preserve">The initiative (C1).</w:t>
      </w:r>
      <w:r>
        <w:t xml:space="preserve"> </w:t>
      </w:r>
      <w:r>
        <w:t xml:space="preserve">Concrete is the largest material by mass in our inventory, and cement is its main source of embodied carbon (§5, §6). C1 proposes that OPG</w:t>
      </w:r>
      <w:r>
        <w:t xml:space="preserve"> </w:t>
      </w:r>
      <w:r>
        <w:rPr>
          <w:bCs/>
          <w:b/>
        </w:rPr>
        <w:t xml:space="preserve">pilot limestone calcined clay cement (LC³) in eligible non-safety works first, and use it in the steel-composite infill only if it is qualified for nuclear use</w:t>
      </w:r>
      <w:r>
        <w:t xml:space="preserve">, on the condition that it adds no delay to Units 2–4. Volumes, the saving and its qualification route: [per final §4.3] and §8.6.</w:t>
      </w:r>
    </w:p>
    <w:p>
      <w:pPr>
        <w:pStyle w:val="BodyText"/>
      </w:pPr>
      <w:r>
        <w:rPr>
          <w:bCs/>
          <w:b/>
        </w:rPr>
        <w:t xml:space="preserve">Research questions.</w:t>
      </w:r>
      <w:r>
        <w:t xml:space="preserve"> </w:t>
      </w:r>
      <w:r>
        <w:t xml:space="preserve">1. What are the life-cycle emissions of one BWRX-300, and where do they arise? (§6)</w:t>
      </w:r>
      <w:r>
        <w:t xml:space="preserve"> </w:t>
      </w:r>
      <w:r>
        <w:t xml:space="preserve">2. How much does C1 save, and how long a delay would cancel it? (§6–7)</w:t>
      </w:r>
      <w:r>
        <w:t xml:space="preserve"> </w:t>
      </w:r>
      <w:r>
        <w:t xml:space="preserve">3. What displaces what: is the climate value of one unit different in Ontario and at Liddell? (§7)</w:t>
      </w:r>
      <w:r>
        <w:t xml:space="preserve"> </w:t>
      </w:r>
      <w:r>
        <w:t xml:space="preserve">4. Which barriers decide whether an SMR is built, and does it beat firmed renewables and the status quo on a multi-criteria comparison? (§3, §8–9)</w:t>
      </w:r>
    </w:p>
    <w:p>
      <w:pPr>
        <w:pStyle w:val="BodyText"/>
      </w:pPr>
      <w:r>
        <w:rPr>
          <w:bCs/>
          <w:b/>
        </w:rPr>
        <w:t xml:space="preserve">Answer in brief.</w:t>
      </w:r>
      <w:r>
        <w:t xml:space="preserve"> </w:t>
      </w:r>
      <w:r>
        <w:t xml:space="preserve">One unit emits about 4 g CO₂e/kWh over its life, mostly from fuel [per final §6]. C1 saves under one per cent of that, and about one to two weeks of delay cancel the saving (one to two days on the marginal grid factor), so it is worth doing only as a schedule-neutral add-on [per final §6–7]. The same money on firmed renewables ranks first under all four weight sets tested (§9).</w:t>
      </w:r>
    </w:p>
    <w:p>
      <w:pPr>
        <w:pStyle w:val="BodyText"/>
      </w:pPr>
      <w:r>
        <w:rPr>
          <w:bCs/>
          <w:b/>
        </w:rPr>
        <w:t xml:space="preserve">Roadmap.</w:t>
      </w:r>
      <w:r>
        <w:t xml:space="preserve"> </w:t>
      </w:r>
      <w:r>
        <w:t xml:space="preserve">Section 2 sets out the methods. Section 3 defines the barriers. Section 4 describes the technology, the projects and C1, and §5 the materials from extraction to end of life. Sections 6 and 7 give the LCA and the carbon avoided. Section 8 covers law, economics, supply, social licence, stakeholders and implementation. Section 9 evaluates the options, §10 the future materials and processes needed, and §11 concludes. Appendices A–E hold the working.</w:t>
      </w:r>
    </w:p>
    <w:p>
      <w:r>
        <w:pict>
          <v:rect style="width:0;height:1.5pt" o:hralign="center" o:hrstd="t" o:hr="t"/>
        </w:pict>
      </w:r>
    </w:p>
    <w:bookmarkEnd w:id="21"/>
    <w:bookmarkStart w:id="22" w:name="methods-and-data"/>
    <w:p>
      <w:pPr>
        <w:pStyle w:val="Heading2"/>
      </w:pPr>
      <w:r>
        <w:t xml:space="preserve">2 Methods and data</w:t>
      </w:r>
    </w:p>
    <w:p>
      <w:pPr>
        <w:pStyle w:val="FirstParagraph"/>
      </w:pPr>
      <w:r>
        <w:rPr>
          <w:bCs/>
          <w:b/>
        </w:rPr>
        <w:t xml:space="preserve">Four methods carry the numbers (a screening life-cycle assessment, grid displacement with a schedule break-even, a concentration index for fuel supply, and a multi-criteria analysis), and every figure regenerates from the scripts and parameter files in</w:t>
      </w:r>
      <w:r>
        <w:rPr>
          <w:bCs/>
          <w:b/>
        </w:rPr>
        <w:t xml:space="preserve"> </w:t>
      </w:r>
      <w:r>
        <w:rPr>
          <w:rStyle w:val="VerbatimChar"/>
          <w:bCs/>
          <w:b/>
        </w:rPr>
        <w:t xml:space="preserve">03_LCA_Calculations/</w:t>
      </w:r>
      <w:r>
        <w:rPr>
          <w:bCs/>
          <w:b/>
        </w:rPr>
        <w:t xml:space="preserve"> </w:t>
      </w:r>
      <w:r>
        <w:rPr>
          <w:bCs/>
          <w:b/>
        </w:rPr>
        <w:t xml:space="preserve">(Appendix D).</w:t>
      </w:r>
    </w:p>
    <w:p>
      <w:pPr>
        <w:pStyle w:val="BodyText"/>
      </w:pPr>
      <w:r>
        <w:rPr>
          <w:bCs/>
          <w:b/>
        </w:rPr>
        <w:t xml:space="preserve">Life-cycle assessment (LCA).</w:t>
      </w:r>
      <w:r>
        <w:t xml:space="preserve"> </w:t>
      </w:r>
      <w:r>
        <w:t xml:space="preserve">A screening study following ISO 14040/14044 principles (International Organization for Standardization, 2006a; 2006b), not critically reviewed, so it supports no public comparative claim.</w:t>
      </w:r>
      <w:r>
        <w:t xml:space="preserve"> </w:t>
      </w:r>
      <w:r>
        <w:rPr>
          <w:iCs/>
          <w:i/>
        </w:rPr>
        <w:t xml:space="preserve">Functional unit:</w:t>
      </w:r>
      <w:r>
        <w:t xml:space="preserve"> </w:t>
      </w:r>
      <w:r>
        <w:t xml:space="preserve">1 MWh of net electricity at the plant’s grid connection (results in g CO₂e/kWh).</w:t>
      </w:r>
      <w:r>
        <w:t xml:space="preserve"> </w:t>
      </w:r>
      <w:r>
        <w:rPr>
          <w:iCs/>
          <w:i/>
        </w:rPr>
        <w:t xml:space="preserve">Reference flow:</w:t>
      </w:r>
      <w:r>
        <w:t xml:space="preserve"> </w:t>
      </w:r>
      <w:r>
        <w:t xml:space="preserve">one BWRX-300 unit, 300 MWe × 8,760 h × 0.90 × 60 years = 1.419 × 10⁸ MWh.</w:t>
      </w:r>
      <w:r>
        <w:t xml:space="preserve"> </w:t>
      </w:r>
      <w:r>
        <w:rPr>
          <w:iCs/>
          <w:i/>
        </w:rPr>
        <w:t xml:space="preserve">Boundary:</w:t>
      </w:r>
      <w:r>
        <w:t xml:space="preserve"> </w:t>
      </w:r>
      <w:r>
        <w:t xml:space="preserve">cradle to grave. Construction materials and the fuel front end (mining, conversion, enrichment, fabrication) are built from process data; operation, decommissioning and the back end use per-kWh literature values. Omitted items (cladding, conversion chemicals, plant capital goods, recycling credits) bias the result low.</w:t>
      </w:r>
      <w:r>
        <w:t xml:space="preserve"> </w:t>
      </w:r>
      <w:r>
        <w:rPr>
          <w:iCs/>
          <w:i/>
        </w:rPr>
        <w:t xml:space="preserve">Model:</w:t>
      </w:r>
      <w:r>
        <w:t xml:space="preserve"> </w:t>
      </w:r>
      <w:r>
        <w:t xml:space="preserve">a Python script multiplying quantities by published emission factors, with a Monte Carlo analysis and tornado chart for uncertainty (Appendix C); inventory and results [per final §6].</w:t>
      </w:r>
      <w:r>
        <w:t xml:space="preserve"> </w:t>
      </w:r>
      <w:r>
        <w:rPr>
          <w:bCs/>
          <w:b/>
        </w:rPr>
        <w:t xml:space="preserve">The Granta EduPack Eco Audit has not yet been run and no number here comes from it</w:t>
      </w:r>
      <w:r>
        <w:t xml:space="preserve"> </w:t>
      </w:r>
      <w:r>
        <w:t xml:space="preserve">[TODO: H2].</w:t>
      </w:r>
    </w:p>
    <w:p>
      <w:pPr>
        <w:pStyle w:val="BodyText"/>
      </w:pPr>
      <w:r>
        <w:rPr>
          <w:bCs/>
          <w:b/>
        </w:rPr>
        <w:t xml:space="preserve">Displacement and schedule.</w:t>
      </w:r>
      <w:r>
        <w:t xml:space="preserve"> </w:t>
      </w:r>
      <w:r>
        <w:t xml:space="preserve">One unit supplies 2.365 TWh a year and avoids that output × (grid factor − SMR factor). The</w:t>
      </w:r>
      <w:r>
        <w:t xml:space="preserve"> </w:t>
      </w:r>
      <w:r>
        <w:rPr>
          <w:iCs/>
          <w:i/>
        </w:rPr>
        <w:t xml:space="preserve">average</w:t>
      </w:r>
      <w:r>
        <w:t xml:space="preserve"> </w:t>
      </w:r>
      <w:r>
        <w:t xml:space="preserve">factor is the mean intensity of the grid; the</w:t>
      </w:r>
      <w:r>
        <w:t xml:space="preserve"> </w:t>
      </w:r>
      <w:r>
        <w:rPr>
          <w:iCs/>
          <w:i/>
        </w:rPr>
        <w:t xml:space="preserve">marginal</w:t>
      </w:r>
      <w:r>
        <w:t xml:space="preserve"> </w:t>
      </w:r>
      <w:r>
        <w:t xml:space="preserve">factor is that of the plant that backs off when new supply arrives (The Atmospheric Fund, 2025). Ontario’s are 73.8 and 343 g/kWh (2024; the 343 is labelled</w:t>
      </w:r>
      <w:r>
        <w:t xml:space="preserve"> </w:t>
      </w:r>
      <w:r>
        <w:t xml:space="preserve">“</w:t>
      </w:r>
      <w:r>
        <w:t xml:space="preserve">Historical Annual MEF</w:t>
      </w:r>
      <w:r>
        <w:t xml:space="preserve">”</w:t>
      </w:r>
      <w:r>
        <w:t xml:space="preserve"> </w:t>
      </w:r>
      <w:r>
        <w:t xml:space="preserve">in the source) [TO VERIFY]; we report both because the difference decides the answer. For New South Wales we use 640 g/kWh, a location-based factor that excludes upstream emissions (Department of Climate Change, Energy, the Environment and Water, 2025). Future grids are our own trajectories from published anchor points, shown as ranges. Start years are October 2030 for Darlington Unit 1 (Ontario Power Generation, 2025) and 2040 at the earliest for Australia (Graham, Hayward and Foster, 2024) [TO VERIFY]. The</w:t>
      </w:r>
      <w:r>
        <w:t xml:space="preserve"> </w:t>
      </w:r>
      <w:r>
        <w:rPr>
          <w:iCs/>
          <w:i/>
        </w:rPr>
        <w:t xml:space="preserve">schedule break-even</w:t>
      </w:r>
      <w:r>
        <w:t xml:space="preserve"> </w:t>
      </w:r>
      <w:r>
        <w:t xml:space="preserve">is the delay that cancels an embodied saving S: S ÷ (daily output × grid-factor gap) [per final §7]. For cost we read GenCost 2023-24 at 2030 as A$230–382/MWh for SMRs against A$89–125 for firmed wind and solar, so the same money buys 2.9× the renewable energy. A$387–641 is probably the 2023 SMR value, not a 2030 alternative; set against A$102 for renewables, A$514 gives 5.0× [TO VERIFY: table and year].</w:t>
      </w:r>
    </w:p>
    <w:p>
      <w:pPr>
        <w:pStyle w:val="BodyText"/>
      </w:pPr>
      <w:r>
        <w:rPr>
          <w:bCs/>
          <w:b/>
        </w:rPr>
        <w:t xml:space="preserve">Supply concentration.</w:t>
      </w:r>
      <w:r>
        <w:t xml:space="preserve"> </w:t>
      </w:r>
      <w:r>
        <w:t xml:space="preserve">The Herfindahl–Hirschman index (HHI) is the sum of squared percentage market shares (0 to 10,000), computed for mining by country and for conversion and enrichment by company capacity. Above 1,800 is</w:t>
      </w:r>
      <w:r>
        <w:t xml:space="preserve"> </w:t>
      </w:r>
      <w:r>
        <w:t xml:space="preserve">“</w:t>
      </w:r>
      <w:r>
        <w:t xml:space="preserve">highly concentrated</w:t>
      </w:r>
      <w:r>
        <w:t xml:space="preserve">”</w:t>
      </w:r>
      <w:r>
        <w:t xml:space="preserve"> </w:t>
      </w:r>
      <w:r>
        <w:t xml:space="preserve">(US Department of Justice and Federal Trade Commission, 2023); we also report the 2010 scale (1,500 and 2,500) because mining falls between them. Caveats: it is a merger-review screen, not a legal test of supply risk; capacity is not contracts or stockpiles; inventories are excluded;</w:t>
      </w:r>
      <w:r>
        <w:t xml:space="preserve"> </w:t>
      </w:r>
      <w:r>
        <w:t xml:space="preserve">“</w:t>
      </w:r>
      <w:r>
        <w:t xml:space="preserve">without Russia</w:t>
      </w:r>
      <w:r>
        <w:t xml:space="preserve">”</w:t>
      </w:r>
      <w:r>
        <w:t xml:space="preserve"> </w:t>
      </w:r>
      <w:r>
        <w:t xml:space="preserve">re-divides shares with no new capacity; inputs are secondary extracts [TO VERIFY] (Appendix B).</w:t>
      </w:r>
    </w:p>
    <w:p>
      <w:pPr>
        <w:pStyle w:val="BodyText"/>
      </w:pPr>
      <w:r>
        <w:rPr>
          <w:bCs/>
          <w:b/>
        </w:rPr>
        <w:t xml:space="preserve">Multi-criteria analysis (MCDA).</w:t>
      </w:r>
      <w:r>
        <w:t xml:space="preserve"> </w:t>
      </w:r>
      <w:r>
        <w:t xml:space="preserve">A weighted-sum model (Dodgson et al., 2009) scores four options (status quo, one SMR at Liddell, SMR plus C1, the same money on firmed renewables) on seven criteria: life-cycle CO₂e, CO₂e avoided per dollar, cost, time to first power, supply concentration, social licence and legal feasibility. Each criterion is min-max normalised across the options (best 1, worst 0). Four weight sets (equal, federal government, Coalition, host community) are our reading of each group’s priorities, not elicited. Robustness: each weight moved ±50% (56 tests), 20,000 random weight sets, and input changes. Social licence and legal scores are our judgement.</w:t>
      </w:r>
    </w:p>
    <w:p>
      <w:pPr>
        <w:pStyle w:val="BodyText"/>
      </w:pPr>
      <w:r>
        <w:rPr>
          <w:bCs/>
          <w:b/>
        </w:rPr>
        <w:t xml:space="preserve">Search strategy.</w:t>
      </w:r>
      <w:r>
        <w:t xml:space="preserve"> </w:t>
      </w:r>
      <w:r>
        <w:t xml:space="preserve">[TODO: App E: databases, search strings and dates.]</w:t>
      </w:r>
    </w:p>
    <w:p>
      <w:r>
        <w:pict>
          <v:rect style="width:0;height:1.5pt" o:hralign="center" o:hrstd="t" o:hr="t"/>
        </w:pict>
      </w:r>
    </w:p>
    <w:bookmarkEnd w:id="22"/>
    <w:bookmarkStart w:id="23" w:name="X282bf2c80aeb6e14a6d21bd058e6df252031dca"/>
    <w:p>
      <w:pPr>
        <w:pStyle w:val="Heading2"/>
      </w:pPr>
      <w:r>
        <w:t xml:space="preserve">3 Barriers to cutting emissions with small modular reactors</w:t>
      </w:r>
    </w:p>
    <w:p>
      <w:pPr>
        <w:pStyle w:val="FirstParagraph"/>
      </w:pPr>
      <w:r>
        <w:rPr>
          <w:bCs/>
          <w:b/>
        </w:rPr>
        <w:t xml:space="preserve">Eight barriers decide whether a small modular reactor (SMR) is built and whether it cuts emissions. The initiative, C1 (§4.3), reaches only one of them directly, and a second sets its terms.</w:t>
      </w:r>
      <w:r>
        <w:t xml:space="preserve"> </w:t>
      </w:r>
      <w:r>
        <w:t xml:space="preserve">Table T15 gives each barrier with one number and one source, then states whether C1 touches it. The barriers are not equal. At Darlington, Ontario, the binding ones are cost and schedule, because law, regulator and owner are already aligned. At Liddell, the closed New South Wales (NSW) coal plant we use as the Australian comparison, law comes first and every later barrier is still open (§8.1–8.5).</w:t>
      </w:r>
    </w:p>
    <w:p>
      <w:pPr>
        <w:pStyle w:val="BodyText"/>
      </w:pPr>
      <w:r>
        <w:rPr>
          <w:iCs/>
          <w:i/>
        </w:rPr>
        <w:t xml:space="preserve">Table T15. Barriers to SMR deployment, one number each, and whether initiative C1 touches them.</w:t>
      </w:r>
      <w:r>
        <w:t xml:space="preserve"> </w:t>
      </w:r>
      <w:r>
        <w:rPr>
          <w:iCs/>
          <w:i/>
        </w:rPr>
        <w:t xml:space="preserve">Source: as cited in each row; calculations in</w:t>
      </w:r>
      <w:r>
        <w:rPr>
          <w:iCs/>
          <w:i/>
        </w:rPr>
        <w:t xml:space="preserve"> </w:t>
      </w:r>
      <w:r>
        <w:rPr>
          <w:rStyle w:val="VerbatimChar"/>
          <w:iCs/>
          <w:i/>
        </w:rPr>
        <w:t xml:space="preserve">03_LCA_Calculations/results/</w:t>
      </w:r>
      <w:r>
        <w:rPr>
          <w:iCs/>
          <w:i/>
        </w:rPr>
        <w:t xml:space="preserve"> </w:t>
      </w:r>
      <w:r>
        <w:rPr>
          <w:iCs/>
          <w:i/>
        </w:rPr>
        <w:t xml:space="preserve">(Appendix B); sections cited for detail. All figures [TO VERIFY] until each primary is opened.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Number and source</w:t>
            </w:r>
          </w:p>
        </w:tc>
        <w:tc>
          <w:tcPr/>
          <w:p>
            <w:pPr>
              <w:pStyle w:val="Compact"/>
              <w:jc w:val="left"/>
            </w:pPr>
            <w:r>
              <w:t xml:space="preserve">Why it matters</w:t>
            </w:r>
          </w:p>
        </w:tc>
        <w:tc>
          <w:tcPr/>
          <w:p>
            <w:pPr>
              <w:pStyle w:val="Compact"/>
              <w:jc w:val="left"/>
            </w:pPr>
            <w:r>
              <w:t xml:space="preserve">Does C1 touch it?</w:t>
            </w:r>
          </w:p>
        </w:tc>
      </w:tr>
      <w:tr>
        <w:tc>
          <w:tcPr/>
          <w:p>
            <w:pPr>
              <w:pStyle w:val="Compact"/>
              <w:jc w:val="left"/>
            </w:pPr>
            <w:r>
              <w:t xml:space="preserve">1. Cost and finance</w:t>
            </w:r>
          </w:p>
        </w:tc>
        <w:tc>
          <w:tcPr/>
          <w:p>
            <w:pPr>
              <w:pStyle w:val="Compact"/>
              <w:jc w:val="left"/>
            </w:pPr>
            <w:r>
              <w:rPr>
                <w:bCs/>
                <w:b/>
              </w:rPr>
              <w:t xml:space="preserve">C$149/MWh</w:t>
            </w:r>
            <w:r>
              <w:t xml:space="preserve"> </w:t>
            </w:r>
            <w:r>
              <w:t xml:space="preserve">(OPG’s figure, reproduced at about 4.9% real)</w:t>
            </w:r>
            <w:r>
              <w:t xml:space="preserve"> </w:t>
            </w:r>
            <w:r>
              <w:rPr>
                <w:bCs/>
                <w:b/>
              </w:rPr>
              <w:t xml:space="preserve">to C$198/MWh</w:t>
            </w:r>
            <w:r>
              <w:t xml:space="preserve"> </w:t>
            </w:r>
            <w:r>
              <w:t xml:space="preserve">(our 7% real) for Darlington’s C$20.9 bn, four-unit budget (Ontario Power Generation, 2025; our calculation; §8.2)</w:t>
            </w:r>
          </w:p>
        </w:tc>
        <w:tc>
          <w:tcPr/>
          <w:p>
            <w:pPr>
              <w:pStyle w:val="Compact"/>
              <w:jc w:val="left"/>
            </w:pPr>
            <w:r>
              <w:t xml:space="preserve">Capital is 65–86% of the cost, so whoever finances it sets the price. NuScale’s Idaho project was cancelled in 2023 when too few buyers subscribed after the target price rose to US$89/MWh (NuScale Power Corporation and Utah Associated Municipal Power Systems, 2023; NuScale Power Corporation, 2023) [TO VERIFY]</w:t>
            </w:r>
          </w:p>
        </w:tc>
        <w:tc>
          <w:tcPr/>
          <w:p>
            <w:pPr>
              <w:pStyle w:val="Compact"/>
              <w:jc w:val="left"/>
            </w:pPr>
            <w:r>
              <w:rPr>
                <w:bCs/>
                <w:b/>
              </w:rPr>
              <w:t xml:space="preserve">No.</w:t>
            </w:r>
            <w:r>
              <w:t xml:space="preserve"> </w:t>
            </w:r>
            <w:r>
              <w:t xml:space="preserve">C1’s target concrete is a small share of Units 2–4 capital (§8.2) [C1 share: per final §6]</w:t>
            </w:r>
          </w:p>
        </w:tc>
      </w:tr>
      <w:tr>
        <w:tc>
          <w:tcPr/>
          <w:p>
            <w:pPr>
              <w:pStyle w:val="Compact"/>
              <w:jc w:val="left"/>
            </w:pPr>
            <w:r>
              <w:t xml:space="preserve">2. Time to deploy</w:t>
            </w:r>
          </w:p>
        </w:tc>
        <w:tc>
          <w:tcPr/>
          <w:p>
            <w:pPr>
              <w:pStyle w:val="Compact"/>
              <w:jc w:val="left"/>
            </w:pPr>
            <w:r>
              <w:rPr>
                <w:bCs/>
                <w:b/>
              </w:rPr>
              <w:t xml:space="preserve">Unit 1 in service October 2030</w:t>
            </w:r>
            <w:r>
              <w:t xml:space="preserve">, against</w:t>
            </w:r>
            <w:r>
              <w:t xml:space="preserve"> </w:t>
            </w:r>
            <w:r>
              <w:rPr>
                <w:bCs/>
                <w:b/>
              </w:rPr>
              <w:t xml:space="preserve">2040 at the earliest</w:t>
            </w:r>
            <w:r>
              <w:t xml:space="preserve"> </w:t>
            </w:r>
            <w:r>
              <w:t xml:space="preserve">for Australia (Ontario Power Generation, 2025b; Graham, Hayward and Foster, 2024; §8.1)</w:t>
            </w:r>
          </w:p>
        </w:tc>
        <w:tc>
          <w:tcPr/>
          <w:p>
            <w:pPr>
              <w:pStyle w:val="Compact"/>
              <w:jc w:val="left"/>
            </w:pPr>
            <w:r>
              <w:t xml:space="preserve">Late plants displace less. Each year a Liddell unit is delayed forgoes some of the CO₂e it would avoid (§7)</w:t>
            </w:r>
          </w:p>
        </w:tc>
        <w:tc>
          <w:tcPr/>
          <w:p>
            <w:pPr>
              <w:pStyle w:val="Compact"/>
              <w:jc w:val="left"/>
            </w:pPr>
            <w:r>
              <w:rPr>
                <w:bCs/>
                <w:b/>
              </w:rPr>
              <w:t xml:space="preserve">Yes, as a constraint.</w:t>
            </w:r>
            <w:r>
              <w:t xml:space="preserve"> </w:t>
            </w:r>
            <w:r>
              <w:t xml:space="preserve">C1 must not add delay (§4.3)</w:t>
            </w:r>
          </w:p>
        </w:tc>
      </w:tr>
      <w:tr>
        <w:tc>
          <w:tcPr/>
          <w:p>
            <w:pPr>
              <w:pStyle w:val="Compact"/>
              <w:jc w:val="left"/>
            </w:pPr>
            <w:r>
              <w:t xml:space="preserve">3. Law</w:t>
            </w:r>
          </w:p>
        </w:tc>
        <w:tc>
          <w:tcPr/>
          <w:p>
            <w:pPr>
              <w:pStyle w:val="Compact"/>
              <w:jc w:val="left"/>
            </w:pPr>
            <w:r>
              <w:rPr>
                <w:bCs/>
                <w:b/>
              </w:rPr>
              <w:t xml:space="preserve">36 Senate votes at most</w:t>
            </w:r>
            <w:r>
              <w:t xml:space="preserve"> </w:t>
            </w:r>
            <w:r>
              <w:t xml:space="preserve">against 39 needed to repeal the federal bans (EPBC Act s 140A and ARPANS Act s 10) (Parliament of Australia, 2026; §8.1; Appendix B1.2) [TO VERIFY at aph.gov.au: the count may be 37; it fails either way]</w:t>
            </w:r>
          </w:p>
        </w:tc>
        <w:tc>
          <w:tcPr/>
          <w:p>
            <w:pPr>
              <w:pStyle w:val="Compact"/>
              <w:jc w:val="left"/>
            </w:pPr>
            <w:r>
              <w:t xml:space="preserve">Federal repeal would still leave NSW’s own ban, a criminal offence for a private owner</w:t>
            </w:r>
          </w:p>
        </w:tc>
        <w:tc>
          <w:tcPr/>
          <w:p>
            <w:pPr>
              <w:pStyle w:val="Compact"/>
              <w:jc w:val="left"/>
            </w:pPr>
            <w:r>
              <w:rPr>
                <w:bCs/>
                <w:b/>
              </w:rPr>
              <w:t xml:space="preserve">No.</w:t>
            </w:r>
            <w:r>
              <w:t xml:space="preserve"> </w:t>
            </w:r>
            <w:r>
              <w:t xml:space="preserve">Darlington is licensed; the bans matter only for Liddell</w:t>
            </w:r>
          </w:p>
        </w:tc>
      </w:tr>
      <w:tr>
        <w:tc>
          <w:tcPr/>
          <w:p>
            <w:pPr>
              <w:pStyle w:val="Compact"/>
              <w:jc w:val="left"/>
            </w:pPr>
            <w:r>
              <w:t xml:space="preserve">4. Fuel-supply concentration</w:t>
            </w:r>
          </w:p>
        </w:tc>
        <w:tc>
          <w:tcPr/>
          <w:p>
            <w:pPr>
              <w:pStyle w:val="Compact"/>
              <w:jc w:val="left"/>
            </w:pPr>
            <w:r>
              <w:rPr>
                <w:bCs/>
                <w:b/>
              </w:rPr>
              <w:t xml:space="preserve">Enrichment HHI 3,009</w:t>
            </w:r>
            <w:r>
              <w:t xml:space="preserve">, against 1,800 for</w:t>
            </w:r>
            <w:r>
              <w:t xml:space="preserve"> </w:t>
            </w:r>
            <w:r>
              <w:t xml:space="preserve">“</w:t>
            </w:r>
            <w:r>
              <w:t xml:space="preserve">highly concentrated</w:t>
            </w:r>
            <w:r>
              <w:t xml:space="preserve">”</w:t>
            </w:r>
            <w:r>
              <w:t xml:space="preserve"> </w:t>
            </w:r>
            <w:r>
              <w:t xml:space="preserve">(calculated from World Nuclear Association, 2025; US Department of Justice and Federal Trade Commission, 2023; §8.3)</w:t>
            </w:r>
          </w:p>
        </w:tc>
        <w:tc>
          <w:tcPr/>
          <w:p>
            <w:pPr>
              <w:pStyle w:val="Compact"/>
              <w:jc w:val="left"/>
            </w:pPr>
            <w:r>
              <w:t xml:space="preserve">Russia holds 42.8% of enrichment capacity. The Herfindahl–Hirschman index (HHI) is the sum of squared market shares. Darlington faces a price risk, Australia a sovereign one</w:t>
            </w:r>
          </w:p>
        </w:tc>
        <w:tc>
          <w:tcPr/>
          <w:p>
            <w:pPr>
              <w:pStyle w:val="Compact"/>
              <w:jc w:val="left"/>
            </w:pPr>
            <w:r>
              <w:rPr>
                <w:bCs/>
                <w:b/>
              </w:rPr>
              <w:t xml:space="preserve">No.</w:t>
            </w:r>
            <w:r>
              <w:t xml:space="preserve"> </w:t>
            </w:r>
            <w:r>
              <w:t xml:space="preserve">C1 does not change the fuel chain</w:t>
            </w:r>
          </w:p>
        </w:tc>
      </w:tr>
      <w:tr>
        <w:tc>
          <w:tcPr/>
          <w:p>
            <w:pPr>
              <w:pStyle w:val="Compact"/>
              <w:jc w:val="left"/>
            </w:pPr>
            <w:r>
              <w:t xml:space="preserve">5. Embodied carbon and nuclear qualification</w:t>
            </w:r>
          </w:p>
        </w:tc>
        <w:tc>
          <w:tcPr/>
          <w:p>
            <w:pPr>
              <w:pStyle w:val="Compact"/>
              <w:jc w:val="left"/>
            </w:pPr>
            <w:r>
              <w:rPr>
                <w:bCs/>
                <w:b/>
              </w:rPr>
              <w:t xml:space="preserve">7.5%</w:t>
            </w:r>
            <w:r>
              <w:t xml:space="preserve">: construction’s share of life-cycle emissions; the fuel front end is 64% (this study, §6.2)</w:t>
            </w:r>
          </w:p>
        </w:tc>
        <w:tc>
          <w:tcPr/>
          <w:p>
            <w:pPr>
              <w:pStyle w:val="Compact"/>
              <w:jc w:val="left"/>
            </w:pPr>
            <w:r>
              <w:t xml:space="preserve">Embodied carbon is a small share, and infill concrete must be qualified for nuclear use before Units 2–4 are fixed. No nuclear precedent was found for calcined-clay infill (GE-Hitachi Nuclear Energy, 2024; §8.1)</w:t>
            </w:r>
          </w:p>
        </w:tc>
        <w:tc>
          <w:tcPr/>
          <w:p>
            <w:pPr>
              <w:pStyle w:val="Compact"/>
              <w:jc w:val="left"/>
            </w:pPr>
            <w:r>
              <w:rPr>
                <w:bCs/>
                <w:b/>
              </w:rPr>
              <w:t xml:space="preserve">Yes.</w:t>
            </w:r>
            <w:r>
              <w:t xml:space="preserve"> </w:t>
            </w:r>
            <w:r>
              <w:t xml:space="preserve">This is the barrier C1 targets</w:t>
            </w:r>
          </w:p>
        </w:tc>
      </w:tr>
      <w:tr>
        <w:tc>
          <w:tcPr/>
          <w:p>
            <w:pPr>
              <w:pStyle w:val="Compact"/>
              <w:jc w:val="left"/>
            </w:pPr>
            <w:r>
              <w:t xml:space="preserve">6. Social licence</w:t>
            </w:r>
          </w:p>
        </w:tc>
        <w:tc>
          <w:tcPr/>
          <w:p>
            <w:pPr>
              <w:pStyle w:val="Compact"/>
              <w:jc w:val="left"/>
            </w:pPr>
            <w:r>
              <w:rPr>
                <w:bCs/>
                <w:b/>
              </w:rPr>
              <w:t xml:space="preserve">59%</w:t>
            </w:r>
            <w:r>
              <w:t xml:space="preserve"> </w:t>
            </w:r>
            <w:r>
              <w:t xml:space="preserve">of Australians wanted the ban kept in the 2024 survey (reported 2025), though 61% supported nuclear electricity in 2024 (Griffith University Climate Action Beacon and Monash Climate Change Communication Research Hub, 2025; §8.4)</w:t>
            </w:r>
          </w:p>
        </w:tc>
        <w:tc>
          <w:tcPr/>
          <w:p>
            <w:pPr>
              <w:pStyle w:val="Compact"/>
              <w:jc w:val="left"/>
            </w:pPr>
            <w:r>
              <w:t xml:space="preserve">Support is soft and depends on framing. Canada has a funded route to First Nations consent; Australia has none</w:t>
            </w:r>
          </w:p>
        </w:tc>
        <w:tc>
          <w:tcPr/>
          <w:p>
            <w:pPr>
              <w:pStyle w:val="Compact"/>
              <w:jc w:val="left"/>
            </w:pPr>
            <w:r>
              <w:rPr>
                <w:bCs/>
                <w:b/>
              </w:rPr>
              <w:t xml:space="preserve">No.</w:t>
            </w:r>
            <w:r>
              <w:t xml:space="preserve"> </w:t>
            </w:r>
            <w:r>
              <w:t xml:space="preserve">C1 adds no new consent issue</w:t>
            </w:r>
          </w:p>
        </w:tc>
      </w:tr>
      <w:tr>
        <w:tc>
          <w:tcPr/>
          <w:p>
            <w:pPr>
              <w:pStyle w:val="Compact"/>
              <w:jc w:val="left"/>
            </w:pPr>
            <w:r>
              <w:t xml:space="preserve">7. Workforce</w:t>
            </w:r>
          </w:p>
        </w:tc>
        <w:tc>
          <w:tcPr/>
          <w:p>
            <w:pPr>
              <w:pStyle w:val="Compact"/>
              <w:jc w:val="left"/>
            </w:pPr>
            <w:r>
              <w:rPr>
                <w:bCs/>
                <w:b/>
              </w:rPr>
              <w:t xml:space="preserve">76,950</w:t>
            </w:r>
            <w:r>
              <w:t xml:space="preserve"> </w:t>
            </w:r>
            <w:r>
              <w:t xml:space="preserve">shortfall across four trades by 2030–31, before submarine demand [TO VERIFY] (Defence FOI document, as reported by Defence Connect, n.d.; §8.4)</w:t>
            </w:r>
          </w:p>
        </w:tc>
        <w:tc>
          <w:tcPr/>
          <w:p>
            <w:pPr>
              <w:pStyle w:val="Compact"/>
              <w:jc w:val="left"/>
            </w:pPr>
            <w:r>
              <w:t xml:space="preserve">A civil plant would compete with the submarine programme for the same trades</w:t>
            </w:r>
          </w:p>
        </w:tc>
        <w:tc>
          <w:tcPr/>
          <w:p>
            <w:pPr>
              <w:pStyle w:val="Compact"/>
              <w:jc w:val="left"/>
            </w:pPr>
            <w:r>
              <w:rPr>
                <w:bCs/>
                <w:b/>
              </w:rPr>
              <w:t xml:space="preserve">No.</w:t>
            </w:r>
            <w:r>
              <w:t xml:space="preserve"> </w:t>
            </w:r>
            <w:r>
              <w:t xml:space="preserve">Darlington’s workforce is established</w:t>
            </w:r>
          </w:p>
        </w:tc>
      </w:tr>
      <w:tr>
        <w:tc>
          <w:tcPr/>
          <w:p>
            <w:pPr>
              <w:pStyle w:val="Compact"/>
              <w:jc w:val="left"/>
            </w:pPr>
            <w:r>
              <w:t xml:space="preserve">8. Waste</w:t>
            </w:r>
          </w:p>
        </w:tc>
        <w:tc>
          <w:tcPr/>
          <w:p>
            <w:pPr>
              <w:pStyle w:val="Compact"/>
              <w:jc w:val="left"/>
            </w:pPr>
            <w:r>
              <w:rPr>
                <w:bCs/>
                <w:b/>
              </w:rPr>
              <w:t xml:space="preserve">C$26 bn</w:t>
            </w:r>
            <w:r>
              <w:t xml:space="preserve"> </w:t>
            </w:r>
            <w:r>
              <w:t xml:space="preserve">lifecycle cost of Canada’s used-fuel repository, paid by the producers through statutory trust funds; Australia has no disposal route, and its one siting attempt was set aside for apprehended bias (Nuclear Waste Management Organization [NWMO], n.d.;</w:t>
            </w:r>
            <w:r>
              <w:t xml:space="preserve"> </w:t>
            </w:r>
            <w:r>
              <w:rPr>
                <w:iCs/>
                <w:i/>
              </w:rPr>
              <w:t xml:space="preserve">Barngarla</w:t>
            </w:r>
            <w:r>
              <w:t xml:space="preserve"> </w:t>
            </w:r>
            <w:r>
              <w:t xml:space="preserve">[2023] FCA 809; §8.4) [TO VERIFY]</w:t>
            </w:r>
          </w:p>
        </w:tc>
        <w:tc>
          <w:tcPr/>
          <w:p>
            <w:pPr>
              <w:pStyle w:val="Compact"/>
              <w:jc w:val="left"/>
            </w:pPr>
            <w:r>
              <w:t xml:space="preserve">Waste is a hard gate for Liddell only: no spent fuel can be licensed without a disposal route, and a siting process took Canada 14 years</w:t>
            </w:r>
          </w:p>
        </w:tc>
        <w:tc>
          <w:tcPr/>
          <w:p>
            <w:pPr>
              <w:pStyle w:val="Compact"/>
              <w:jc w:val="left"/>
            </w:pPr>
            <w:r>
              <w:rPr>
                <w:bCs/>
                <w:b/>
              </w:rPr>
              <w:t xml:space="preserve">No.</w:t>
            </w:r>
            <w:r>
              <w:t xml:space="preserve"> </w:t>
            </w:r>
            <w:r>
              <w:t xml:space="preserve">C1 adds no waste</w:t>
            </w:r>
          </w:p>
        </w:tc>
      </w:tr>
    </w:tbl>
    <w:p>
      <w:pPr>
        <w:pStyle w:val="BodyText"/>
      </w:pPr>
      <w:r>
        <w:rPr>
          <w:bCs/>
          <w:b/>
        </w:rPr>
        <w:t xml:space="preserve">Reading the table.</w:t>
      </w:r>
      <w:r>
        <w:t xml:space="preserve"> </w:t>
      </w:r>
      <w:r>
        <w:t xml:space="preserve">The barriers that dominate (1 to 4) are ones C1 cannot move. What C1 can do is small, so we treat it as a low-cost addition to a plant built for other reasons, and §7 and §8.6 test whether it is worth the schedule risk.</w:t>
      </w:r>
    </w:p>
    <w:p>
      <w:r>
        <w:pict>
          <v:rect style="width:0;height:1.5pt" o:hralign="center" o:hrstd="t" o:hr="t"/>
        </w:pict>
      </w:r>
    </w:p>
    <w:bookmarkEnd w:id="23"/>
    <w:bookmarkStart w:id="24" w:name="technology-projects-and-patents-leroy"/>
    <w:p>
      <w:pPr>
        <w:pStyle w:val="Heading2"/>
      </w:pPr>
      <w:r>
        <w:t xml:space="preserve">4.1 Technology, projects and patents (Leroy)</w:t>
      </w:r>
    </w:p>
    <w:p>
      <w:pPr>
        <w:pStyle w:val="FirstParagraph"/>
      </w:pPr>
      <w:r>
        <w:rPr>
          <w:bCs/>
          <w:b/>
        </w:rPr>
        <w:t xml:space="preserve">[TODO: section not yet in the repo]</w:t>
      </w:r>
    </w:p>
    <w:bookmarkEnd w:id="24"/>
    <w:bookmarkStart w:id="25" w:name="bwrx-300-at-darlington-leroy"/>
    <w:p>
      <w:pPr>
        <w:pStyle w:val="Heading2"/>
      </w:pPr>
      <w:r>
        <w:t xml:space="preserve">4.2 BWRX-300 at Darlington (Leroy)</w:t>
      </w:r>
    </w:p>
    <w:p>
      <w:pPr>
        <w:pStyle w:val="FirstParagraph"/>
      </w:pPr>
      <w:r>
        <w:rPr>
          <w:bCs/>
          <w:b/>
        </w:rPr>
        <w:t xml:space="preserve">[TODO: section not yet in the repo]</w:t>
      </w:r>
    </w:p>
    <w:bookmarkEnd w:id="25"/>
    <w:bookmarkStart w:id="26" w:name="X90098c7b12d1bfce5617586e418e3203c93a876"/>
    <w:p>
      <w:pPr>
        <w:pStyle w:val="Heading2"/>
      </w:pPr>
      <w:r>
        <w:t xml:space="preserve">4.3 The initiative: low-clinker concrete for the Darlington Units 2–4 infill</w:t>
      </w:r>
    </w:p>
    <w:p>
      <w:pPr>
        <w:pStyle w:val="FirstParagraph"/>
      </w:pPr>
      <w:r>
        <w:rPr>
          <w:bCs/>
          <w:b/>
        </w:rPr>
        <w:t xml:space="preserve">C1 targets a materials problem that modular construction creates, and it is worth doing only if it costs no schedule.</w:t>
      </w:r>
      <w:r>
        <w:t xml:space="preserve"> </w:t>
      </w:r>
      <w:r>
        <w:t xml:space="preserve">The BWRX-300’s reactor building is made of diaphragm-plate steel-composite (DPSC) modules: steel shells that are filled on site with concrete. The infill must flow between closely spaced plates, so the design calls for a self-consolidating mix (GE-Hitachi Nuclear Energy, 2024) [TO VERIFY], which is cement-rich (we assume 450 kg of binder per m³). It is safety-related, so a new binder needs qualification data that do not yet exist for calcined clay (§8.1). And a delay of only</w:t>
      </w:r>
      <w:r>
        <w:t xml:space="preserve"> </w:t>
      </w:r>
      <w:r>
        <w:rPr>
          <w:bCs/>
          <w:b/>
        </w:rPr>
        <w:t xml:space="preserve">9–15 days</w:t>
      </w:r>
      <w:r>
        <w:t xml:space="preserve"> </w:t>
      </w:r>
      <w:r>
        <w:t xml:space="preserve">to one unit on Ontario’s average grid, or</w:t>
      </w:r>
      <w:r>
        <w:t xml:space="preserve"> </w:t>
      </w:r>
      <w:r>
        <w:rPr>
          <w:bCs/>
          <w:b/>
        </w:rPr>
        <w:t xml:space="preserve">1.3–1.4 days</w:t>
      </w:r>
      <w:r>
        <w:t xml:space="preserve"> </w:t>
      </w:r>
      <w:r>
        <w:t xml:space="preserve">on its marginal grid, cancels C1’s whole saving (§7, Table T10).</w:t>
      </w:r>
    </w:p>
    <w:p>
      <w:pPr>
        <w:pStyle w:val="BodyText"/>
      </w:pPr>
      <w:r>
        <w:rPr>
          <w:bCs/>
          <w:b/>
        </w:rPr>
        <w:t xml:space="preserve">The proposal.</w:t>
      </w:r>
      <w:r>
        <w:t xml:space="preserve"> </w:t>
      </w:r>
      <w:r>
        <w:t xml:space="preserve">We propose that Ontario Power Generation (OPG) specify limestone calcined clay cement (LC3; Scrivener et al., 2018) [TO VERIFY] for the DPSC infill and the forebay shaft of BWRX-300 Units 2–4 at the Darlington New Nuclear Project, Clarington, Ontario. That is</w:t>
      </w:r>
      <w:r>
        <w:t xml:space="preserve"> </w:t>
      </w:r>
      <w:r>
        <w:rPr>
          <w:bCs/>
          <w:b/>
        </w:rPr>
        <w:t xml:space="preserve">about 13,100 m³ of concrete per unit</w:t>
      </w:r>
      <w:r>
        <w:t xml:space="preserve">. LC3 would cut</w:t>
      </w:r>
      <w:r>
        <w:t xml:space="preserve"> </w:t>
      </w:r>
      <w:r>
        <w:rPr>
          <w:bCs/>
          <w:b/>
        </w:rPr>
        <w:t xml:space="preserve">about 1,740 t CO₂e per unit (90% interval 1,390–2,150 t) and about 5,200 t across Units 2–4, avoiding about 6,900 t of clinker</w:t>
      </w:r>
      <w:r>
        <w:t xml:space="preserve">, which is about 0.3% of a unit’s life-cycle emissions (§6.3). A qualified slag blend is the fallback (about 1,640 t per unit). LC3 is adopted only if its qualification on Unit 1 mock-ups is complete before the Units 2–4 design is fixed (§8.6).</w:t>
      </w:r>
    </w:p>
    <w:p>
      <w:pPr>
        <w:pStyle w:val="BodyText"/>
      </w:pPr>
      <w:r>
        <w:rPr>
          <w:iCs/>
          <w:i/>
        </w:rPr>
        <w:t xml:space="preserve">Table T1. Initiative C1 specified: location, scale, application and technology.</w:t>
      </w:r>
      <w:r>
        <w:t xml:space="preserve"> </w:t>
      </w:r>
      <w:r>
        <w:rPr>
          <w:iCs/>
          <w:i/>
        </w:rPr>
        <w:t xml:space="preserve">Source: this study,</w:t>
      </w:r>
      <w:r>
        <w:rPr>
          <w:iCs/>
          <w:i/>
        </w:rPr>
        <w:t xml:space="preserve"> </w:t>
      </w:r>
      <w:r>
        <w:rPr>
          <w:rStyle w:val="VerbatimChar"/>
          <w:iCs/>
          <w:i/>
        </w:rPr>
        <w:t xml:space="preserve">results/lca.md</w:t>
      </w:r>
      <w:r>
        <w:rPr>
          <w:iCs/>
          <w:i/>
        </w:rPr>
        <w:t xml:space="preserve">,</w:t>
      </w:r>
      <w:r>
        <w:rPr>
          <w:iCs/>
          <w:i/>
        </w:rPr>
        <w:t xml:space="preserve"> </w:t>
      </w:r>
      <w:r>
        <w:rPr>
          <w:rStyle w:val="VerbatimChar"/>
          <w:iCs/>
          <w:i/>
        </w:rPr>
        <w:t xml:space="preserve">lca_scenarios.md</w:t>
      </w:r>
      <w:r>
        <w:rPr>
          <w:iCs/>
          <w:i/>
        </w:rPr>
        <w:t xml:space="preserve">,</w:t>
      </w:r>
      <w:r>
        <w:rPr>
          <w:iCs/>
          <w:i/>
        </w:rPr>
        <w:t xml:space="preserve"> </w:t>
      </w:r>
      <w:r>
        <w:rPr>
          <w:rStyle w:val="VerbatimChar"/>
          <w:iCs/>
          <w:i/>
        </w:rPr>
        <w:t xml:space="preserve">initiative_cost.md</w:t>
      </w:r>
      <w:r>
        <w:rPr>
          <w:iCs/>
          <w:i/>
        </w:rPr>
        <w:t xml:space="preserve">,</w:t>
      </w:r>
      <w:r>
        <w:rPr>
          <w:iCs/>
          <w:i/>
        </w:rPr>
        <w:t xml:space="preserve"> </w:t>
      </w:r>
      <w:r>
        <w:rPr>
          <w:rStyle w:val="VerbatimChar"/>
          <w:iCs/>
          <w:i/>
        </w:rPr>
        <w:t xml:space="preserve">schedule_value.md</w:t>
      </w:r>
      <w:r>
        <w:rPr>
          <w:iCs/>
          <w:i/>
        </w:rPr>
        <w:t xml:space="preserve">; Ontario Power Generation (2025); GE-Hitachi Nuclear Energy (2024). Quantities are geometric or scaled estimates [TO VERIFY].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Specification</w:t>
            </w:r>
          </w:p>
        </w:tc>
      </w:tr>
      <w:tr>
        <w:tc>
          <w:tcPr/>
          <w:p>
            <w:pPr>
              <w:pStyle w:val="Compact"/>
              <w:jc w:val="left"/>
            </w:pPr>
            <w:r>
              <w:t xml:space="preserve">Location</w:t>
            </w:r>
          </w:p>
        </w:tc>
        <w:tc>
          <w:tcPr/>
          <w:p>
            <w:pPr>
              <w:pStyle w:val="Compact"/>
              <w:jc w:val="left"/>
            </w:pPr>
            <w:r>
              <w:t xml:space="preserve">Darlington New Nuclear Project, Clarington, Ontario. Units 2–4 only; Unit 1’s basemat is placed (Canadian Nuclear Safety Commission, 2026a) [TO VERIFY]. Approval to progress Units 2–4 is expected in 2028 (American Nuclear Society, 2026) [TO VERIFY]</w:t>
            </w:r>
          </w:p>
        </w:tc>
      </w:tr>
      <w:tr>
        <w:tc>
          <w:tcPr/>
          <w:p>
            <w:pPr>
              <w:pStyle w:val="Compact"/>
              <w:jc w:val="left"/>
            </w:pPr>
            <w:r>
              <w:t xml:space="preserve">Scale</w:t>
            </w:r>
          </w:p>
        </w:tc>
        <w:tc>
          <w:tcPr/>
          <w:p>
            <w:pPr>
              <w:pStyle w:val="Compact"/>
              <w:jc w:val="left"/>
            </w:pPr>
            <w:r>
              <w:t xml:space="preserve">About 13,100 m³ per unit (12,200–15,600), 63% of the plant’s scaled concrete: DPSC infill 9,081 m³ (basemat 3,226, shaft walls 5,855) and forebay shaft 4,000 m³ (§6.2). Whole plant: about 20,700 m³</w:t>
            </w:r>
          </w:p>
        </w:tc>
      </w:tr>
      <w:tr>
        <w:tc>
          <w:tcPr/>
          <w:p>
            <w:pPr>
              <w:pStyle w:val="Compact"/>
              <w:jc w:val="left"/>
            </w:pPr>
            <w:r>
              <w:t xml:space="preserve">Application</w:t>
            </w:r>
          </w:p>
        </w:tc>
        <w:tc>
          <w:tcPr/>
          <w:p>
            <w:pPr>
              <w:pStyle w:val="Compact"/>
              <w:jc w:val="left"/>
            </w:pPr>
            <w:r>
              <w:t xml:space="preserve">Self-consolidating infill of the DPSC basemat and shaft walls, and the forebay shaft concrete</w:t>
            </w:r>
          </w:p>
        </w:tc>
      </w:tr>
      <w:tr>
        <w:tc>
          <w:tcPr/>
          <w:p>
            <w:pPr>
              <w:pStyle w:val="Compact"/>
              <w:jc w:val="left"/>
            </w:pPr>
            <w:r>
              <w:t xml:space="preserve">Technology</w:t>
            </w:r>
          </w:p>
        </w:tc>
        <w:tc>
          <w:tcPr/>
          <w:p>
            <w:pPr>
              <w:pStyle w:val="Compact"/>
              <w:jc w:val="left"/>
            </w:pPr>
            <w:r>
              <w:t xml:space="preserve">LC3 (about 37% lower binder emissions than general-use cement); slag cement at 40% of binder as fallback. CSA A3001 already allows Type IT cements with up to 15% limestone together with calcined clay, so no change to the cement standard is needed (CSA Group, 2023) [TO VERIFY]. Cement supplier: St Marys Cement, Bowmanville, Clarington [TODO: LC3 or calcined-clay capability, source needed]</w:t>
            </w:r>
          </w:p>
        </w:tc>
      </w:tr>
      <w:tr>
        <w:tc>
          <w:tcPr/>
          <w:p>
            <w:pPr>
              <w:pStyle w:val="Compact"/>
              <w:jc w:val="left"/>
            </w:pPr>
            <w:r>
              <w:t xml:space="preserve">Saving</w:t>
            </w:r>
          </w:p>
        </w:tc>
        <w:tc>
          <w:tcPr/>
          <w:p>
            <w:pPr>
              <w:pStyle w:val="Compact"/>
              <w:jc w:val="left"/>
            </w:pPr>
            <w:r>
              <w:t xml:space="preserve">1,734 t CO₂e per unit (1,387–2,153); 5,201 t for Units 2–4 (4,160–6,460); 6,913 t clinker; 0.132 t CO₂e per m³</w:t>
            </w:r>
          </w:p>
        </w:tc>
      </w:tr>
      <w:tr>
        <w:tc>
          <w:tcPr/>
          <w:p>
            <w:pPr>
              <w:pStyle w:val="Compact"/>
              <w:jc w:val="left"/>
            </w:pPr>
            <w:r>
              <w:t xml:space="preserve">Value</w:t>
            </w:r>
          </w:p>
        </w:tc>
        <w:tc>
          <w:tcPr/>
          <w:p>
            <w:pPr>
              <w:pStyle w:val="Compact"/>
              <w:jc w:val="left"/>
            </w:pPr>
            <w:r>
              <w:t xml:space="preserve">Carbon value C$0.49–0.60 m at C$95–115/t (Environment and Climate Change Canada, 2026) [TO VERIFY]. One day of delay to Units 2–4 costs C$1.8–2.9 m (§8.2)</w:t>
            </w:r>
          </w:p>
        </w:tc>
      </w:tr>
      <w:tr>
        <w:tc>
          <w:tcPr/>
          <w:p>
            <w:pPr>
              <w:pStyle w:val="Compact"/>
              <w:jc w:val="left"/>
            </w:pPr>
            <w:r>
              <w:t xml:space="preserve">Condition</w:t>
            </w:r>
          </w:p>
        </w:tc>
        <w:tc>
          <w:tcPr/>
          <w:p>
            <w:pPr>
              <w:pStyle w:val="Compact"/>
              <w:jc w:val="left"/>
            </w:pPr>
            <w:r>
              <w:t xml:space="preserve">Schedule-neutral: qualify on a full-scale mock-up during Unit 1 construction; otherwise slag, or the current mix</w:t>
            </w:r>
          </w:p>
        </w:tc>
      </w:tr>
    </w:tbl>
    <w:p>
      <w:pPr>
        <w:pStyle w:val="BodyText"/>
      </w:pPr>
      <w:r>
        <w:rPr>
          <w:bCs/>
          <w:b/>
        </w:rPr>
        <w:t xml:space="preserve">Why it is not the obvious choice (R4.1 to R4.3).</w:t>
      </w:r>
      <w:r>
        <w:t xml:space="preserve"> </w:t>
      </w:r>
      <w:r>
        <w:t xml:space="preserve">First, the infill problem is specific to modular construction: a mix that flows, stays cool in thick sections and still shields has to be developed (§10). Second, the usual low-carbon answer, blast-furnace slag, may become scarcer in Ontario as steelmakers move to electric arc furnaces [TODO: source needed: Ontario blast-furnace conversions]. Third, C1’s value depends on timing rather than on the concrete: counted from when each plant could actually run, a Darlington unit avoids about as much CO₂e to 2050 as a Liddell unit (§7), and Darlington is the site where a qualified mix can be built.</w:t>
      </w:r>
    </w:p>
    <w:p>
      <w:pPr>
        <w:pStyle w:val="BodyText"/>
      </w:pPr>
      <w:r>
        <w:rPr>
          <w:bCs/>
          <w:b/>
        </w:rPr>
        <w:t xml:space="preserve">What C1 does not address.</w:t>
      </w:r>
      <w:r>
        <w:t xml:space="preserve"> </w:t>
      </w:r>
      <w:r>
        <w:t xml:space="preserve">It does not change the plant’s cost (the target concrete is about 0.07% of Units 2–4 capital), the Australian legal bans, fuel-supply concentration, social licence or workforce (Table T15). Its target concrete is only 1.3% of the plant’s mode-case emissions, while the fuel front end is 64% of the life-cycle total (§6.2). Lower-carbon steel in the same structures saves about 570 t per unit, and up to 3,714 t if applied to all plant steel as an upper bound; we treat it as the next lever (§10), not part of C1. Nor does it apply to Unit 1.</w:t>
      </w:r>
    </w:p>
    <w:p>
      <w:r>
        <w:pict>
          <v:rect style="width:0;height:1.5pt" o:hralign="center" o:hrstd="t" o:hr="t"/>
        </w:pict>
      </w:r>
    </w:p>
    <w:bookmarkEnd w:id="26"/>
    <w:bookmarkStart w:id="27" w:name="X2df7759d5b833a30c52a6d7464f7ea753188c35"/>
    <w:p>
      <w:pPr>
        <w:pStyle w:val="Heading2"/>
      </w:pPr>
      <w:r>
        <w:t xml:space="preserve">5 Materials from extraction to end-of-life (Leroy)</w:t>
      </w:r>
    </w:p>
    <w:p>
      <w:pPr>
        <w:pStyle w:val="FirstParagraph"/>
      </w:pPr>
      <w:r>
        <w:rPr>
          <w:bCs/>
          <w:b/>
        </w:rPr>
        <w:t xml:space="preserve">[TODO: section not yet in the repo]</w:t>
      </w:r>
    </w:p>
    <w:bookmarkEnd w:id="27"/>
    <w:bookmarkStart w:id="33" w:name="life-cycle-assessment-and-eco-audit"/>
    <w:p>
      <w:pPr>
        <w:pStyle w:val="Heading2"/>
      </w:pPr>
      <w:r>
        <w:t xml:space="preserve">6 Life-cycle assessment and eco-audit</w:t>
      </w:r>
    </w:p>
    <w:p>
      <w:pPr>
        <w:pStyle w:val="FirstParagraph"/>
      </w:pPr>
      <w:r>
        <w:t xml:space="preserve">One BWRX-300 at Darlington is estimated to emit</w:t>
      </w:r>
      <w:r>
        <w:t xml:space="preserve"> </w:t>
      </w:r>
      <w:r>
        <w:rPr>
          <w:bCs/>
          <w:b/>
        </w:rPr>
        <w:t xml:space="preserve">about 4.2 g CO₂e per kWh delivered (Monte Carlo median; 90% interval 3.0–5.8; the median is 3.3 if conversion heat takes its central published value)</w:t>
      </w:r>
      <w:r>
        <w:t xml:space="preserve">: below UNECE’s 5.1–6.4 g/kWh for nuclear power on either reading and at the low end of the wider literature range. Nearly two-thirds comes from the fuel front end; construction is about 7.5%. The initiative, C1 (§4.3), specifies low-clinker concrete for targeted structures of Units 2–4, with LC3 as the target binder and slag as the fallback. LC3 would save</w:t>
      </w:r>
      <w:r>
        <w:t xml:space="preserve"> </w:t>
      </w:r>
      <w:r>
        <w:rPr>
          <w:bCs/>
          <w:b/>
        </w:rPr>
        <w:t xml:space="preserve">about 1,740 t CO₂e per unit (1,390–2,150 t) and 5,200 t across Units 2–4</w:t>
      </w:r>
      <w:r>
        <w:t xml:space="preserve">, about 0.3% of each unit’s life-cycle emissions. The saving is real but small, and</w:t>
      </w:r>
      <w:r>
        <w:t xml:space="preserve"> </w:t>
      </w:r>
      <w:r>
        <w:rPr>
          <w:bCs/>
          <w:b/>
        </w:rPr>
        <w:t xml:space="preserve">a delay of 9–15 days to one unit (Ontario’s average grid factor; 1.3–1.4 days on the marginal factor) would cancel it</w:t>
      </w:r>
      <w:r>
        <w:t xml:space="preserve">, so C1 is worth adopting only if it is schedule-neutral. No input has yet been checked in its primary source [TO VERIFY], so every number is provisional.</w:t>
      </w:r>
    </w:p>
    <w:bookmarkStart w:id="28" w:name="goal-scope-and-method"/>
    <w:p>
      <w:pPr>
        <w:pStyle w:val="Heading3"/>
      </w:pPr>
      <w:r>
        <w:t xml:space="preserve">6.1 Goal, scope and method</w:t>
      </w:r>
    </w:p>
    <w:p>
      <w:pPr>
        <w:pStyle w:val="FirstParagraph"/>
      </w:pPr>
      <w:r>
        <w:rPr>
          <w:bCs/>
          <w:b/>
        </w:rPr>
        <w:t xml:space="preserve">Goal.</w:t>
      </w:r>
      <w:r>
        <w:t xml:space="preserve"> </w:t>
      </w:r>
      <w:r>
        <w:t xml:space="preserve">Quantify the life-cycle greenhouse-gas emissions of electricity from one BWRX-300 at the Darlington New Nuclear Project (Clarington, Ontario), find the hotspots, and size what C1 would save. This is a screening LCA following the goal-and-scope principles of ISO 14040/14044 [TODO: source needed: ISO 14040:2006 and ISO 14044:2006 entries in sources.md]. It has not been critically reviewed, so it cannot support a public comparative claim.</w:t>
      </w:r>
    </w:p>
    <w:p>
      <w:pPr>
        <w:numPr>
          <w:ilvl w:val="0"/>
          <w:numId w:val="1001"/>
        </w:numPr>
        <w:pStyle w:val="Compact"/>
      </w:pPr>
      <w:r>
        <w:rPr>
          <w:bCs/>
          <w:b/>
        </w:rPr>
        <w:t xml:space="preserve">Functional unit:</w:t>
      </w:r>
      <w:r>
        <w:t xml:space="preserve"> </w:t>
      </w:r>
      <w:r>
        <w:t xml:space="preserve">1 MWh of net electricity at the plant’s grid connection. Results are in g CO₂e/kWh, which equals kg CO₂e/MWh. Grid transmission lies beyond the connection, so it is outside the boundary.</w:t>
      </w:r>
    </w:p>
    <w:p>
      <w:pPr>
        <w:numPr>
          <w:ilvl w:val="0"/>
          <w:numId w:val="1001"/>
        </w:numPr>
        <w:pStyle w:val="Compact"/>
      </w:pPr>
      <w:r>
        <w:rPr>
          <w:bCs/>
          <w:b/>
        </w:rPr>
        <w:t xml:space="preserve">Reference flow:</w:t>
      </w:r>
      <w:r>
        <w:t xml:space="preserve"> </w:t>
      </w:r>
      <w:r>
        <w:t xml:space="preserve">one unit over its design life, 300 MWe × 8,760 h × 0.90 × 60 years =</w:t>
      </w:r>
      <w:r>
        <w:t xml:space="preserve"> </w:t>
      </w:r>
      <w:r>
        <w:rPr>
          <w:bCs/>
          <w:b/>
        </w:rPr>
        <w:t xml:space="preserve">1.419 × 10⁸ MWh</w:t>
      </w:r>
      <w:r>
        <w:t xml:space="preserve">, the same denominator as §7 (inputs and their status in Table T6; Appendix A2).</w:t>
      </w:r>
    </w:p>
    <w:p>
      <w:pPr>
        <w:numPr>
          <w:ilvl w:val="0"/>
          <w:numId w:val="1001"/>
        </w:numPr>
        <w:pStyle w:val="Compact"/>
      </w:pPr>
      <w:r>
        <w:rPr>
          <w:bCs/>
          <w:b/>
        </w:rPr>
        <w:t xml:space="preserve">Baseline (S0):</w:t>
      </w:r>
      <w:r>
        <w:t xml:space="preserve"> </w:t>
      </w:r>
      <w:r>
        <w:t xml:space="preserve">the concrete OPG would pour anyway, without C1, modelled as general-use (GU) Portland cement with no supplementary cementitious materials. We have seen neither OPG’s mix nor whether the governing specification (GE-Hitachi Nuclear Energy, 2024) limits cement type [TO VERIFY]. If OPG’s mix already contains slag, S0 must include it: the §6.3 savings are then overstated, and LC3’s gain over business as usual falls to about 100–180 t per unit (finding 3).</w:t>
      </w:r>
    </w:p>
    <w:p>
      <w:pPr>
        <w:numPr>
          <w:ilvl w:val="0"/>
          <w:numId w:val="1001"/>
        </w:numPr>
        <w:pStyle w:val="Compact"/>
      </w:pPr>
      <w:r>
        <w:rPr>
          <w:bCs/>
          <w:b/>
        </w:rPr>
        <w:t xml:space="preserve">System boundary (Figure F1):</w:t>
      </w:r>
      <w:r>
        <w:t xml:space="preserve"> </w:t>
      </w:r>
      <w:r>
        <w:t xml:space="preserve">cradle to grave. Construction materials and the fuel front end (mining and milling, conversion, enrichment, fabrication) are modelled bottom-up from process data; operation and maintenance (O&amp;M), decommissioning and the back end are per-kWh values transferred from EDF’s French-fleet LCA (EDF R&amp;D, 2024) [TO VERIFY]. It is a</w:t>
      </w:r>
      <w:r>
        <w:t xml:space="preserve"> </w:t>
      </w:r>
      <w:r>
        <w:rPr>
          <w:bCs/>
          <w:b/>
        </w:rPr>
        <w:t xml:space="preserve">process-based LCA with three stages taken from secondary per-kWh data</w:t>
      </w:r>
      <w:r>
        <w:t xml:space="preserve">.</w:t>
      </w:r>
    </w:p>
    <w:p>
      <w:pPr>
        <w:numPr>
          <w:ilvl w:val="0"/>
          <w:numId w:val="1001"/>
        </w:numPr>
        <w:pStyle w:val="Compact"/>
      </w:pPr>
      <w:r>
        <w:rPr>
          <w:bCs/>
          <w:b/>
        </w:rPr>
        <w:t xml:space="preserve">Cut-offs:</w:t>
      </w:r>
      <w:r>
        <w:t xml:space="preserve"> </w:t>
      </w:r>
      <w:r>
        <w:t xml:space="preserve">fuel cladding and hardware, conversion chemicals, upstream supply of the gas burnt for conversion heat, fuel-plant capital goods and recycling credits; each biases the result low (§6.5). End of life follows the cut-off (recycled-content) approach: steel carries the burden of its scrap input, with no credit for future recycling.</w:t>
      </w:r>
    </w:p>
    <w:p>
      <w:pPr>
        <w:numPr>
          <w:ilvl w:val="0"/>
          <w:numId w:val="1001"/>
        </w:numPr>
        <w:pStyle w:val="Compact"/>
      </w:pPr>
      <w:r>
        <w:rPr>
          <w:bCs/>
          <w:b/>
        </w:rPr>
        <w:t xml:space="preserve">Impact category:</w:t>
      </w:r>
      <w:r>
        <w:t xml:space="preserve"> </w:t>
      </w:r>
      <w:r>
        <w:t xml:space="preserve">climate change, GWP100 (IPCC AR5 where stated). Construction-material factors are cradle-to-gate, EN 15804 modules A1–A3 [TODO: source needed: EN 15804 entry in sources.md]. The US grid factors are CO₂ only (US EPA, 2024) [TO VERIFY] and the basis of several others is [TO VERIFY]; for mostly fossil CO₂ this matters far less than the input ranges.</w:t>
      </w:r>
    </w:p>
    <w:p>
      <w:pPr>
        <w:pStyle w:val="FirstParagraph"/>
      </w:pPr>
      <w:r>
        <w:rPr>
          <w:bCs/>
          <w:b/>
        </w:rPr>
        <w:t xml:space="preserve">Method.</w:t>
      </w:r>
      <w:r>
        <w:t xml:space="preserve"> </w:t>
      </w:r>
      <w:r>
        <w:t xml:space="preserve">In place of an eco-audit we use an</w:t>
      </w:r>
      <w:r>
        <w:t xml:space="preserve"> </w:t>
      </w:r>
      <w:r>
        <w:rPr>
          <w:bCs/>
          <w:b/>
        </w:rPr>
        <w:t xml:space="preserve">equivalent analysis</w:t>
      </w:r>
      <w:r>
        <w:t xml:space="preserve">: a reproducible Python model multiplies material and fuel quantities by published emission factors (working in Appendices A and C).</w:t>
      </w:r>
      <w:r>
        <w:t xml:space="preserve"> </w:t>
      </w:r>
      <w:r>
        <w:rPr>
          <w:bCs/>
          <w:b/>
        </w:rPr>
        <w:t xml:space="preserve">No number here comes from Granta EduPack</w:t>
      </w:r>
      <w:r>
        <w:t xml:space="preserve">; a cross-check of the C1 target structures is set up for the team’s machines (Appendix A9) [TODO: Granta cross-check, H2 due Thu 12:00; cut if not run]. With no BWRX-300 bill of materials available, plant quantities are</w:t>
      </w:r>
      <w:r>
        <w:t xml:space="preserve"> </w:t>
      </w:r>
      <w:r>
        <w:rPr>
          <w:bCs/>
          <w:b/>
        </w:rPr>
        <w:t xml:space="preserve">scaled from per-MWe data for related reactors, not measured</w:t>
      </w:r>
      <w:r>
        <w:t xml:space="preserve"> </w:t>
      </w:r>
      <w:r>
        <w:t xml:space="preserve">(§6.2).</w:t>
      </w:r>
    </w:p>
    <w:p>
      <w:pPr>
        <w:pStyle w:val="BodyText"/>
      </w:pPr>
      <w:r>
        <w:rPr>
          <w:iCs/>
          <w:i/>
        </w:rPr>
        <w:t xml:space="preserve">Table T6. Key assumptions for one BWRX-300 at Darlington (all 40 ranged inputs in Appendix C2).</w:t>
      </w:r>
      <w:r>
        <w:t xml:space="preserve"> </w:t>
      </w:r>
      <w:r>
        <w:rPr>
          <w:iCs/>
          <w:i/>
        </w:rPr>
        <w:t xml:space="preserve">Source:</w:t>
      </w:r>
      <w:r>
        <w:rPr>
          <w:iCs/>
          <w:i/>
        </w:rPr>
        <w:t xml:space="preserve"> </w:t>
      </w:r>
      <w:r>
        <w:rPr>
          <w:rStyle w:val="VerbatimChar"/>
          <w:iCs/>
          <w:i/>
        </w:rPr>
        <w:t xml:space="preserve">03_LCA_Calculations/parameters_lca.yaml</w:t>
      </w:r>
      <w:r>
        <w:rPr>
          <w:iCs/>
          <w:i/>
        </w:rPr>
        <w:t xml:space="preserve">; references as listed. All values [TO VERIFY] unless marked as an assumption or placeholder. Ranges are model input bounds, not result intervals.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Central (input range)</w:t>
            </w:r>
          </w:p>
        </w:tc>
        <w:tc>
          <w:tcPr/>
          <w:p>
            <w:pPr>
              <w:pStyle w:val="Compact"/>
              <w:jc w:val="left"/>
            </w:pPr>
            <w:r>
              <w:t xml:space="preserve">Basis</w:t>
            </w:r>
          </w:p>
        </w:tc>
      </w:tr>
      <w:tr>
        <w:tc>
          <w:tcPr/>
          <w:p>
            <w:pPr>
              <w:pStyle w:val="Compact"/>
              <w:jc w:val="left"/>
            </w:pPr>
            <w:r>
              <w:t xml:space="preserve">Net output; capacity factor; design life</w:t>
            </w:r>
          </w:p>
        </w:tc>
        <w:tc>
          <w:tcPr/>
          <w:p>
            <w:pPr>
              <w:pStyle w:val="Compact"/>
              <w:jc w:val="left"/>
            </w:pPr>
            <w:r>
              <w:t xml:space="preserve">300 MWe (300–315); 0.90 (0.80–0.95); 60 years (40–80)</w:t>
            </w:r>
          </w:p>
        </w:tc>
        <w:tc>
          <w:tcPr/>
          <w:p>
            <w:pPr>
              <w:pStyle w:val="Compact"/>
              <w:jc w:val="left"/>
            </w:pPr>
            <w:r>
              <w:t xml:space="preserve">GE Vernova Hitachi Nuclear Energy (n.d.), with 315 MW net from an OPG filing [TO VERIFY]; placeholder; Canadian Nuclear Safety Commission (2024)</w:t>
            </w:r>
          </w:p>
        </w:tc>
      </w:tr>
      <w:tr>
        <w:tc>
          <w:tcPr/>
          <w:p>
            <w:pPr>
              <w:pStyle w:val="Compact"/>
              <w:jc w:val="left"/>
            </w:pPr>
            <w:r>
              <w:t xml:space="preserve">Baseline binder (S0)</w:t>
            </w:r>
          </w:p>
        </w:tc>
        <w:tc>
          <w:tcPr/>
          <w:p>
            <w:pPr>
              <w:pStyle w:val="Compact"/>
              <w:jc w:val="left"/>
            </w:pPr>
            <w:r>
              <w:t xml:space="preserve">General-use cement, no supplementary cementitious materials</w:t>
            </w:r>
          </w:p>
        </w:tc>
        <w:tc>
          <w:tcPr/>
          <w:p>
            <w:pPr>
              <w:pStyle w:val="Compact"/>
              <w:jc w:val="left"/>
            </w:pPr>
            <w:r>
              <w:t xml:space="preserve">Assumption: what OPG would pour anyway; OPG’s mix and any cement-type limit in GE-Hitachi Nuclear Energy (2024) [TO VERIFY]</w:t>
            </w:r>
          </w:p>
        </w:tc>
      </w:tr>
      <w:tr>
        <w:tc>
          <w:tcPr/>
          <w:p>
            <w:pPr>
              <w:pStyle w:val="Compact"/>
              <w:jc w:val="left"/>
            </w:pPr>
            <w:r>
              <w:t xml:space="preserve">Whole-plant concrete; steel</w:t>
            </w:r>
          </w:p>
        </w:tc>
        <w:tc>
          <w:tcPr/>
          <w:p>
            <w:pPr>
              <w:pStyle w:val="Compact"/>
              <w:jc w:val="left"/>
            </w:pPr>
            <w:r>
              <w:t xml:space="preserve">69 m³/MWe (34.5–138); 33 t/MWe (16.5–46)</w:t>
            </w:r>
          </w:p>
        </w:tc>
        <w:tc>
          <w:tcPr/>
          <w:p>
            <w:pPr>
              <w:pStyle w:val="Compact"/>
              <w:jc w:val="left"/>
            </w:pPr>
            <w:r>
              <w:t xml:space="preserve">ESBWR and ABWR (Peterson, Zhao and Petroski, 2005); vendor claim as low bound (GE Vernova, n.d.)</w:t>
            </w:r>
          </w:p>
        </w:tc>
      </w:tr>
      <w:tr>
        <w:tc>
          <w:tcPr/>
          <w:p>
            <w:pPr>
              <w:pStyle w:val="Compact"/>
              <w:jc w:val="left"/>
            </w:pPr>
            <w:r>
              <w:t xml:space="preserve">DPSC infill thickness: basemat; shaft wall</w:t>
            </w:r>
          </w:p>
        </w:tc>
        <w:tc>
          <w:tcPr/>
          <w:p>
            <w:pPr>
              <w:pStyle w:val="Compact"/>
              <w:jc w:val="left"/>
            </w:pPr>
            <w:r>
              <w:t xml:space="preserve">3.0 m (2–4); 1.5 m (1–2)</w:t>
            </w:r>
          </w:p>
        </w:tc>
        <w:tc>
          <w:tcPr/>
          <w:p>
            <w:pPr>
              <w:pStyle w:val="Compact"/>
              <w:jc w:val="left"/>
            </w:pPr>
            <w:r>
              <w:t xml:space="preserve">Assumption (no source found)</w:t>
            </w:r>
          </w:p>
        </w:tc>
      </w:tr>
      <w:tr>
        <w:tc>
          <w:tcPr/>
          <w:p>
            <w:pPr>
              <w:pStyle w:val="Compact"/>
              <w:jc w:val="left"/>
            </w:pPr>
            <w:r>
              <w:t xml:space="preserve">Binder: DPSC self-consolidating infill; other concrete</w:t>
            </w:r>
          </w:p>
        </w:tc>
        <w:tc>
          <w:tcPr/>
          <w:p>
            <w:pPr>
              <w:pStyle w:val="Compact"/>
              <w:jc w:val="left"/>
            </w:pPr>
            <w:r>
              <w:t xml:space="preserve">450 kg/m³ (400–550); 350 kg/m³ (300–420)</w:t>
            </w:r>
          </w:p>
        </w:tc>
        <w:tc>
          <w:tcPr/>
          <w:p>
            <w:pPr>
              <w:pStyle w:val="Compact"/>
              <w:jc w:val="left"/>
            </w:pPr>
            <w:r>
              <w:t xml:space="preserve">EFNARC (2005), read via a 2024 secondary, with central and high assumed; assumption</w:t>
            </w:r>
          </w:p>
        </w:tc>
      </w:tr>
      <w:tr>
        <w:tc>
          <w:tcPr/>
          <w:p>
            <w:pPr>
              <w:pStyle w:val="Compact"/>
              <w:jc w:val="left"/>
            </w:pPr>
            <w:r>
              <w:t xml:space="preserve">General-use cement</w:t>
            </w:r>
          </w:p>
        </w:tc>
        <w:tc>
          <w:tcPr/>
          <w:p>
            <w:pPr>
              <w:pStyle w:val="Compact"/>
              <w:jc w:val="left"/>
            </w:pPr>
            <w:r>
              <w:t xml:space="preserve">854 kg CO₂e/t (796–898, regional spread West–East)</w:t>
            </w:r>
          </w:p>
        </w:tc>
        <w:tc>
          <w:tcPr/>
          <w:p>
            <w:pPr>
              <w:pStyle w:val="Compact"/>
              <w:jc w:val="left"/>
            </w:pPr>
            <w:r>
              <w:t xml:space="preserve">Cement Association of Canada (2022), AR5 factors; which region covers Ontario [TO VERIFY]</w:t>
            </w:r>
          </w:p>
        </w:tc>
      </w:tr>
      <w:tr>
        <w:tc>
          <w:tcPr/>
          <w:p>
            <w:pPr>
              <w:pStyle w:val="Compact"/>
              <w:jc w:val="left"/>
            </w:pPr>
            <w:r>
              <w:t xml:space="preserve">LC3 binder cut vs general-use cement</w:t>
            </w:r>
          </w:p>
        </w:tc>
        <w:tc>
          <w:tcPr/>
          <w:p>
            <w:pPr>
              <w:pStyle w:val="Compact"/>
              <w:jc w:val="left"/>
            </w:pPr>
            <w:r>
              <w:t xml:space="preserve">37% (30–43%)</w:t>
            </w:r>
          </w:p>
        </w:tc>
        <w:tc>
          <w:tcPr/>
          <w:p>
            <w:pPr>
              <w:pStyle w:val="Compact"/>
              <w:jc w:val="left"/>
            </w:pPr>
            <w:r>
              <w:t xml:space="preserve">Median of five published estimates (Appendix A5)</w:t>
            </w:r>
          </w:p>
        </w:tc>
      </w:tr>
      <w:tr>
        <w:tc>
          <w:tcPr/>
          <w:p>
            <w:pPr>
              <w:pStyle w:val="Compact"/>
              <w:jc w:val="left"/>
            </w:pPr>
            <w:r>
              <w:t xml:space="preserve">Slag cement</w:t>
            </w:r>
          </w:p>
        </w:tc>
        <w:tc>
          <w:tcPr/>
          <w:p>
            <w:pPr>
              <w:pStyle w:val="Compact"/>
              <w:jc w:val="left"/>
            </w:pPr>
            <w:r>
              <w:t xml:space="preserve">146.6 kg CO₂e/t (93.4–146.6)</w:t>
            </w:r>
          </w:p>
        </w:tc>
        <w:tc>
          <w:tcPr/>
          <w:p>
            <w:pPr>
              <w:pStyle w:val="Compact"/>
              <w:jc w:val="left"/>
            </w:pPr>
            <w:r>
              <w:t xml:space="preserve">Slag Cement Association (n.d.)</w:t>
            </w:r>
          </w:p>
        </w:tc>
      </w:tr>
      <w:tr>
        <w:tc>
          <w:tcPr/>
          <w:p>
            <w:pPr>
              <w:pStyle w:val="Compact"/>
              <w:jc w:val="left"/>
            </w:pPr>
            <w:r>
              <w:t xml:space="preserve">Rebar (electric-arc furnace); plate and equipment steel</w:t>
            </w:r>
          </w:p>
        </w:tc>
        <w:tc>
          <w:tcPr/>
          <w:p>
            <w:pPr>
              <w:pStyle w:val="Compact"/>
              <w:jc w:val="left"/>
            </w:pPr>
            <w:r>
              <w:t xml:space="preserve">0.97 t/t (0.89–1.99); 1.73 t/t (1.22–2.50)</w:t>
            </w:r>
          </w:p>
        </w:tc>
        <w:tc>
          <w:tcPr/>
          <w:p>
            <w:pPr>
              <w:pStyle w:val="Compact"/>
              <w:jc w:val="left"/>
            </w:pPr>
            <w:r>
              <w:t xml:space="preserve">Concrete Reinforcing Steel Institute (2017) [superseded by a 2022 EPD, TO VERIFY]; American Institute of Steel Construction (2022) (Buy Clean California limits used as proxies; 1.22 is the hot-rolled-sections limit)</w:t>
            </w:r>
          </w:p>
        </w:tc>
      </w:tr>
      <w:tr>
        <w:tc>
          <w:tcPr/>
          <w:p>
            <w:pPr>
              <w:pStyle w:val="Compact"/>
              <w:jc w:val="left"/>
            </w:pPr>
            <w:r>
              <w:t xml:space="preserve">Other construction materials and site energy</w:t>
            </w:r>
          </w:p>
        </w:tc>
        <w:tc>
          <w:tcPr/>
          <w:p>
            <w:pPr>
              <w:pStyle w:val="Compact"/>
              <w:jc w:val="left"/>
            </w:pPr>
            <w:r>
              <w:t xml:space="preserve">+50% of bulk materials (25–150%)</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 kg CO₂e/kg U₃O₈ (24–81)</w:t>
            </w:r>
          </w:p>
        </w:tc>
        <w:tc>
          <w:tcPr/>
          <w:p>
            <w:pPr>
              <w:pStyle w:val="Compact"/>
              <w:jc w:val="left"/>
            </w:pPr>
            <w:r>
              <w:t xml:space="preserve">Parker, McNaughton and Sparrow (2016)</w:t>
            </w:r>
          </w:p>
        </w:tc>
      </w:tr>
      <w:tr>
        <w:tc>
          <w:tcPr/>
          <w:p>
            <w:pPr>
              <w:pStyle w:val="Compact"/>
              <w:jc w:val="left"/>
            </w:pPr>
            <w:r>
              <w:t xml:space="preserve">Conversion heat; centrifuge enrichment</w:t>
            </w:r>
          </w:p>
        </w:tc>
        <w:tc>
          <w:tcPr/>
          <w:p>
            <w:pPr>
              <w:pStyle w:val="Compact"/>
              <w:jc w:val="left"/>
            </w:pPr>
            <w:r>
              <w:t xml:space="preserve">26 kWh/kg U (26–665); 50 kWh/SWU (40–100)</w:t>
            </w:r>
          </w:p>
        </w:tc>
        <w:tc>
          <w:tcPr/>
          <w:p>
            <w:pPr>
              <w:pStyle w:val="Compact"/>
              <w:jc w:val="left"/>
            </w:pPr>
            <w:r>
              <w:t xml:space="preserve">Gibon and Hahn Menacho (2023)</w:t>
            </w:r>
          </w:p>
        </w:tc>
      </w:tr>
      <w:tr>
        <w:tc>
          <w:tcPr/>
          <w:p>
            <w:pPr>
              <w:pStyle w:val="Compact"/>
              <w:jc w:val="left"/>
            </w:pPr>
            <w:r>
              <w:t xml:space="preserve">Enrichment; burnup</w:t>
            </w:r>
          </w:p>
        </w:tc>
        <w:tc>
          <w:tcPr/>
          <w:p>
            <w:pPr>
              <w:pStyle w:val="Compact"/>
              <w:jc w:val="left"/>
            </w:pPr>
            <w:r>
              <w:t xml:space="preserve">3.8% U-235 (3.4–4.95); 45 GWd/t (35–55)</w:t>
            </w:r>
          </w:p>
        </w:tc>
        <w:tc>
          <w:tcPr/>
          <w:p>
            <w:pPr>
              <w:pStyle w:val="Compact"/>
              <w:jc w:val="left"/>
            </w:pPr>
            <w:r>
              <w:t xml:space="preserve">[TODO: authors] (2025), unrefereed preprint; assumption (both placeholders)</w:t>
            </w:r>
          </w:p>
        </w:tc>
      </w:tr>
      <w:tr>
        <w:tc>
          <w:tcPr/>
          <w:p>
            <w:pPr>
              <w:pStyle w:val="Compact"/>
              <w:jc w:val="left"/>
            </w:pPr>
            <w:r>
              <w:t xml:space="preserve">O&amp;M; decommissioning; back end</w:t>
            </w:r>
          </w:p>
        </w:tc>
        <w:tc>
          <w:tcPr/>
          <w:p>
            <w:pPr>
              <w:pStyle w:val="Compact"/>
              <w:jc w:val="left"/>
            </w:pPr>
            <w:r>
              <w:t xml:space="preserve">0.33; 0.11; 0.56 g/kWh (×0.5 to ×2; decommissioning ×3)</w:t>
            </w:r>
          </w:p>
        </w:tc>
        <w:tc>
          <w:tcPr/>
          <w:p>
            <w:pPr>
              <w:pStyle w:val="Compact"/>
              <w:jc w:val="left"/>
            </w:pPr>
            <w:r>
              <w:t xml:space="preserve">EDF R&amp;D (2024) stage shares as reported by secondary sources; back end by difference</w:t>
            </w:r>
          </w:p>
        </w:tc>
      </w:tr>
    </w:tbl>
    <w:p>
      <w:pPr>
        <w:pStyle w:val="BodyText"/>
      </w:pPr>
      <w:r>
        <w:t xml:space="preserve">[Figure F1. LCA system boundary for one BWRX-300 at Darlington: bottom-up fuel front end and construction materials, literature values for operation, decommissioning and the back end, and the C1 target structures. | Source: this study. | File: 03_LCA_Calculations/results/F1_system_boundary.png]</w:t>
      </w:r>
    </w:p>
    <w:bookmarkEnd w:id="28"/>
    <w:bookmarkStart w:id="29" w:name="baseline-inventory-and-hotspots"/>
    <w:p>
      <w:pPr>
        <w:pStyle w:val="Heading3"/>
      </w:pPr>
      <w:r>
        <w:t xml:space="preserve">6.2 Baseline inventory and hotspots</w:t>
      </w:r>
    </w:p>
    <w:p>
      <w:pPr>
        <w:pStyle w:val="FirstParagraph"/>
      </w:pPr>
      <w:r>
        <w:rPr>
          <w:bCs/>
          <w:b/>
        </w:rPr>
        <w:t xml:space="preserve">Quantities.</w:t>
      </w:r>
      <w:r>
        <w:t xml:space="preserve"> </w:t>
      </w:r>
      <w:r>
        <w:t xml:space="preserve">Whole-plant concrete and steel are per-MWe intensities × 300 MWe. The central case uses the ESBWR, from which the BWRX-300 is derived: 69 m³ of concrete and 33 t of steel per MWe (Peterson, Zhao and Petroski, 2005) [TO VERIFY]. The sources pull in opposite directions: the vendor claims about 50% less concrete per unit of energy (GE Vernova, n.d.) [TO VERIFY], while small plants usually lose economies of scale. We take the vendor claim as the low input bound and the ABWR (138 m³/MWe) as the high, and assume the two effects cancel. That gives</w:t>
      </w:r>
      <w:r>
        <w:t xml:space="preserve"> </w:t>
      </w:r>
      <w:r>
        <w:rPr>
          <w:bCs/>
          <w:b/>
        </w:rPr>
        <w:t xml:space="preserve">20,700 m³ of concrete and 9,900 t of steel per unit</w:t>
      </w:r>
      <w:r>
        <w:t xml:space="preserve"> </w:t>
      </w:r>
      <w:r>
        <w:t xml:space="preserve">(concrete 90% interval about 15,050–36,521 m³; Appendix C4).</w:t>
      </w:r>
    </w:p>
    <w:p>
      <w:pPr>
        <w:pStyle w:val="BodyText"/>
      </w:pPr>
      <w:r>
        <w:t xml:space="preserve">Of this,</w:t>
      </w:r>
      <w:r>
        <w:t xml:space="preserve"> </w:t>
      </w:r>
      <w:r>
        <w:rPr>
          <w:bCs/>
          <w:b/>
        </w:rPr>
        <w:t xml:space="preserve">13,100 m³ is in the C1 target structures</w:t>
      </w:r>
      <w:r>
        <w:t xml:space="preserve">: the forebay shaft (4,000 m³ placed so far, a floor; Ontario Power Generation, 2025) [TO VERIFY] and the diaphragm-plate steel-composite (DPSC) infill of the reactor-building basemat and shaft walls (9,081 m³, from a 37 m module diameter, a 35 m shaft depth and assumed thicknesses).</w:t>
      </w:r>
      <w:r>
        <w:t xml:space="preserve"> </w:t>
      </w:r>
      <w:r>
        <w:rPr>
          <w:bCs/>
          <w:b/>
        </w:rPr>
        <w:t xml:space="preserve">Those two dimensions set 69% of the target concrete, and we read them in a news report of the Unit 1 basemat-module lift (okdiario, 2026) [TODO: sources.md entry] that cites an OPG story we have not found [TO VERIFY].</w:t>
      </w:r>
      <w:r>
        <w:t xml:space="preserve"> </w:t>
      </w:r>
      <w:r>
        <w:t xml:space="preserve">The 63% share of plant concrete this implies combines a geometric and a scaled estimate, so it is unconfirmed [TODO: Leroy: OPG EIS or Clinch River quantities]; a larger plant total would lower the share, not the saving.</w:t>
      </w:r>
    </w:p>
    <w:p>
      <w:pPr>
        <w:pStyle w:val="BodyText"/>
      </w:pPr>
      <w:r>
        <w:rPr>
          <w:bCs/>
          <w:b/>
        </w:rPr>
        <w:t xml:space="preserve">Resource use.</w:t>
      </w:r>
      <w:r>
        <w:t xml:space="preserve"> </w:t>
      </w:r>
      <w:r>
        <w:t xml:space="preserve">Per unit, the plant uses 0.35 kg of concrete and 0.070 kg of steel per MWh, and the fuel 20.7 g of natural uranium and 0.0146 separative work units (SWU) per MWh at 34.5% net efficiency ([TODO: authors], 2025; Appendix A8) [TO VERIFY]. Four units need about 196 t of natural uranium and 138 tSWU a year, the demand §8.3 should use to size supply risk [TODO: §8.3].</w:t>
      </w:r>
    </w:p>
    <w:p>
      <w:pPr>
        <w:pStyle w:val="BodyText"/>
      </w:pPr>
      <w:r>
        <w:rPr>
          <w:bCs/>
          <w:b/>
        </w:rPr>
        <w:t xml:space="preserve">Hotspots (Figure F2),</w:t>
      </w:r>
      <w:r>
        <w:t xml:space="preserve"> </w:t>
      </w:r>
      <w:r>
        <w:t xml:space="preserve">on the expected (Monte Carlo mean) basis:</w:t>
      </w:r>
      <w:r>
        <w:t xml:space="preserve"> </w:t>
      </w:r>
      <w:r>
        <w:t xml:space="preserve">1.</w:t>
      </w:r>
      <w:r>
        <w:t xml:space="preserve"> </w:t>
      </w:r>
      <w:r>
        <w:rPr>
          <w:bCs/>
          <w:b/>
        </w:rPr>
        <w:t xml:space="preserve">Mining and milling: 1.26 g/kWh (29%),</w:t>
      </w:r>
      <w:r>
        <w:t xml:space="preserve"> </w:t>
      </w:r>
      <w:r>
        <w:t xml:space="preserve">already low because Saskatchewan ores are high-grade (Parker, McNaughton and Sparrow, 2016) [TO VERIFY]; that Darlington’s uranium is Canadian is [TO VERIFY].</w:t>
      </w:r>
      <w:r>
        <w:t xml:space="preserve"> </w:t>
      </w:r>
      <w:r>
        <w:t xml:space="preserve">2.</w:t>
      </w:r>
      <w:r>
        <w:t xml:space="preserve"> </w:t>
      </w:r>
      <w:r>
        <w:rPr>
          <w:bCs/>
          <w:b/>
        </w:rPr>
        <w:t xml:space="preserve">Conversion: 1.09 g/kWh (26%),</w:t>
      </w:r>
      <w:r>
        <w:t xml:space="preserve"> </w:t>
      </w:r>
      <w:r>
        <w:t xml:space="preserve">an</w:t>
      </w:r>
      <w:r>
        <w:t xml:space="preserve"> </w:t>
      </w:r>
      <w:r>
        <w:rPr>
          <w:iCs/>
          <w:i/>
        </w:rPr>
        <w:t xml:space="preserve">uncertainty</w:t>
      </w:r>
      <w:r>
        <w:t xml:space="preserve"> </w:t>
      </w:r>
      <w:r>
        <w:t xml:space="preserve">hotspot: published heat demand spans 26–665 kWh per kg of uranium (Gibon and Hahn Menacho, 2023) [TO VERIFY], and at the most likely value conversion is only 0.13 g/kWh.</w:t>
      </w:r>
      <w:r>
        <w:t xml:space="preserve"> </w:t>
      </w:r>
      <w:r>
        <w:t xml:space="preserve">3.</w:t>
      </w:r>
      <w:r>
        <w:t xml:space="preserve"> </w:t>
      </w:r>
      <w:r>
        <w:rPr>
          <w:bCs/>
          <w:b/>
        </w:rPr>
        <w:t xml:space="preserve">Back end: 0.65 g/kWh (15%),</w:t>
      </w:r>
      <w:r>
        <w:t xml:space="preserve"> </w:t>
      </w:r>
      <w:r>
        <w:t xml:space="preserve">transferred from France, which reprocesses; Canada plans direct disposal [TODO: source needed: NWMO], so this may be high.</w:t>
      </w:r>
    </w:p>
    <w:p>
      <w:pPr>
        <w:pStyle w:val="BodyText"/>
      </w:pPr>
      <w:r>
        <w:t xml:space="preserve">The fuel front end is 64% of the total and construction about 7.5%. Within construction, steel emits about twice what concrete does (14,800 vs 7,600 t CO₂e per unit with every input at its most likely value, the</w:t>
      </w:r>
      <w:r>
        <w:t xml:space="preserve"> </w:t>
      </w:r>
      <w:r>
        <w:t xml:space="preserve">“</w:t>
      </w:r>
      <w:r>
        <w:t xml:space="preserve">mode case</w:t>
      </w:r>
      <w:r>
        <w:t xml:space="preserve">”</w:t>
      </w:r>
      <w:r>
        <w:t xml:space="preserve">); Geneski, McKellar and Atkinson (n.d.) [TO VERIFY] also found that steel exceeds concrete. The C1 target concrete is 1.3% of the mode-case total, so</w:t>
      </w:r>
      <w:r>
        <w:t xml:space="preserve"> </w:t>
      </w:r>
      <w:r>
        <w:rPr>
          <w:bCs/>
          <w:b/>
        </w:rPr>
        <w:t xml:space="preserve">C1 acts on roughly one-hundredth of the footprint</w:t>
      </w:r>
      <w:r>
        <w:t xml:space="preserve">, which caps what any concrete change can achieve.</w:t>
      </w:r>
    </w:p>
    <w:p>
      <w:pPr>
        <w:pStyle w:val="BodyText"/>
      </w:pPr>
      <w:r>
        <w:t xml:space="preserve">[Figure F2. Life-cycle emissions of one BWRX-300 by stage: expected 4.3 g CO₂e/kWh (Monte Carlo mean), with the mode case (every input at its most likely value; total 2.7) marked. | Source: this study, scripts/lca_uncertainty.py; inputs in parameters_lca.yaml [TO VERIFY]. | File: 03_LCA_Calculations/results/F2_stage_breakdown.png]</w:t>
      </w:r>
    </w:p>
    <w:bookmarkEnd w:id="29"/>
    <w:bookmarkStart w:id="30" w:name="the-initiative-against-the-baseline"/>
    <w:p>
      <w:pPr>
        <w:pStyle w:val="Heading3"/>
      </w:pPr>
      <w:r>
        <w:t xml:space="preserve">6.3 The initiative against the baseline</w:t>
      </w:r>
    </w:p>
    <w:p>
      <w:pPr>
        <w:pStyle w:val="FirstParagraph"/>
      </w:pPr>
      <w:r>
        <w:rPr>
          <w:bCs/>
          <w:b/>
        </w:rPr>
        <w:t xml:space="preserve">C1 is low-clinker concrete for the DPSC infill and forebay shafts of Units 2–4: LC3 (limestone calcined clay cement) as the target binder, a qualified slag blend as the fallback, specified only if schedule-neutral.</w:t>
      </w:r>
      <w:r>
        <w:t xml:space="preserve"> </w:t>
      </w:r>
      <w:r>
        <w:t xml:space="preserve">LC3 saves</w:t>
      </w:r>
      <w:r>
        <w:t xml:space="preserve"> </w:t>
      </w:r>
      <w:r>
        <w:rPr>
          <w:bCs/>
          <w:b/>
        </w:rPr>
        <w:t xml:space="preserve">about 1,740 t CO₂e per unit (Monte Carlo median; 90% interval 1,390–2,150 t) and about 5,200 t across Units 2–4 (4,160–6,460 t), avoiding about 6,900 t of clinker</w:t>
      </w:r>
      <w:r>
        <w:t xml:space="preserve"> </w:t>
      </w:r>
      <w:r>
        <w:t xml:space="preserve">(Table T8). Most of it (1,291 t) is in the DPSC infill, because the design calls for self-consolidating concrete (GE-Hitachi Nuclear Energy, 2024) [TO VERIFY], a cement-rich mix (450 kg binder/m³ assumed). Only Units 2–4 are counted, because Unit 1’s basemat is placed and its forebay partly placed; whether Unit 1’s shaft-wall infill could still use LC3 is [TO VERIFY].</w:t>
      </w:r>
    </w:p>
    <w:p>
      <w:pPr>
        <w:pStyle w:val="BodyText"/>
      </w:pPr>
      <w:r>
        <w:rPr>
          <w:iCs/>
          <w:i/>
        </w:rPr>
        <w:t xml:space="preserve">Table T8. Savings against the baseline (S0: what OPG would pour anyway, modelled as general-use cement), per unit and for Units 2–4. Monte Carlo columns give the median (5th–95th percentile); each draw’s saving is divided by the same draw’s life-cycle total.</w:t>
      </w:r>
      <w:r>
        <w:t xml:space="preserve"> </w:t>
      </w:r>
      <w:r>
        <w:rPr>
          <w:iCs/>
          <w:i/>
        </w:rPr>
        <w:t xml:space="preserve">Source: this study,</w:t>
      </w:r>
      <w:r>
        <w:rPr>
          <w:iCs/>
          <w:i/>
        </w:rPr>
        <w:t xml:space="preserve"> </w:t>
      </w:r>
      <w:r>
        <w:rPr>
          <w:rStyle w:val="VerbatimChar"/>
          <w:iCs/>
          <w:i/>
        </w:rPr>
        <w:t xml:space="preserve">results/lca_scenarios.md</w:t>
      </w:r>
      <w:r>
        <w:rPr>
          <w:iCs/>
          <w:i/>
        </w:rPr>
        <w:t xml:space="preserve"> </w:t>
      </w:r>
      <w:r>
        <w:rPr>
          <w:iCs/>
          <w:i/>
        </w:rPr>
        <w:t xml:space="preserve">and</w:t>
      </w:r>
      <w:r>
        <w:rPr>
          <w:iCs/>
          <w:i/>
        </w:rPr>
        <w:t xml:space="preserve"> </w:t>
      </w:r>
      <w:r>
        <w:rPr>
          <w:rStyle w:val="VerbatimChar"/>
          <w:iCs/>
          <w:i/>
        </w:rPr>
        <w:t xml:space="preserve">lca_uncertainty.md</w:t>
      </w:r>
      <w:r>
        <w:rPr>
          <w:iCs/>
          <w:i/>
        </w:rPr>
        <w:t xml:space="preserve"> </w:t>
      </w:r>
      <w:r>
        <w:rPr>
          <w:iCs/>
          <w:i/>
        </w:rPr>
        <w:t xml:space="preserve">(Appendices A6, A7 and C4). Inputs [TO VERIFY].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w:t>
            </w:r>
          </w:p>
        </w:tc>
        <w:tc>
          <w:tcPr/>
          <w:p>
            <w:pPr>
              <w:pStyle w:val="Compact"/>
              <w:jc w:val="left"/>
            </w:pPr>
            <w:r>
              <w:t xml:space="preserve">Saving per unit, t CO₂e: Monte Carlo (mode case)</w:t>
            </w:r>
          </w:p>
        </w:tc>
        <w:tc>
          <w:tcPr/>
          <w:p>
            <w:pPr>
              <w:pStyle w:val="Compact"/>
              <w:jc w:val="left"/>
            </w:pPr>
            <w:r>
              <w:t xml:space="preserve">Units 2–4, t CO₂e (mode case)</w:t>
            </w:r>
          </w:p>
        </w:tc>
        <w:tc>
          <w:tcPr/>
          <w:p>
            <w:pPr>
              <w:pStyle w:val="Compact"/>
              <w:jc w:val="left"/>
            </w:pPr>
            <w:r>
              <w:t xml:space="preserve">Clinker avoided, t per unit / Units 2–4</w:t>
            </w:r>
          </w:p>
        </w:tc>
        <w:tc>
          <w:tcPr/>
          <w:p>
            <w:pPr>
              <w:pStyle w:val="Compact"/>
              <w:jc w:val="left"/>
            </w:pPr>
            <w:r>
              <w:t xml:space="preserve">Share of one unit’s life cycle: Monte Carlo (mode case)</w:t>
            </w:r>
          </w:p>
        </w:tc>
      </w:tr>
      <w:tr>
        <w:tc>
          <w:tcPr/>
          <w:p>
            <w:pPr>
              <w:pStyle w:val="Compact"/>
              <w:jc w:val="left"/>
            </w:pPr>
            <w:r>
              <w:t xml:space="preserve">S1 Slag cement, 40% of binder, in target structures (C1 fallback)</w:t>
            </w:r>
          </w:p>
        </w:tc>
        <w:tc>
          <w:tcPr/>
          <w:p>
            <w:pPr>
              <w:pStyle w:val="Compact"/>
              <w:jc w:val="left"/>
            </w:pPr>
            <w:r>
              <w:t xml:space="preserve">1,642 (1,205–2,113) (1,552)</w:t>
            </w:r>
          </w:p>
        </w:tc>
        <w:tc>
          <w:tcPr/>
          <w:p>
            <w:pPr>
              <w:pStyle w:val="Compact"/>
              <w:jc w:val="left"/>
            </w:pPr>
            <w:r>
              <w:t xml:space="preserve">4,657</w:t>
            </w:r>
          </w:p>
        </w:tc>
        <w:tc>
          <w:tcPr/>
          <w:p>
            <w:pPr>
              <w:pStyle w:val="Compact"/>
              <w:jc w:val="left"/>
            </w:pPr>
            <w:r>
              <w:t xml:space="preserve">2,019 / 6,057</w:t>
            </w:r>
          </w:p>
        </w:tc>
        <w:tc>
          <w:tcPr/>
          <w:p>
            <w:pPr>
              <w:pStyle w:val="Compact"/>
              <w:jc w:val="left"/>
            </w:pPr>
            <w:r>
              <w:t xml:space="preserve">0.28% (0.17–0.44%) (0.41%)</w:t>
            </w:r>
          </w:p>
        </w:tc>
      </w:tr>
      <w:tr>
        <w:tc>
          <w:tcPr/>
          <w:p>
            <w:pPr>
              <w:pStyle w:val="Compact"/>
              <w:jc w:val="left"/>
            </w:pPr>
            <w:r>
              <w:rPr>
                <w:bCs/>
                <w:b/>
              </w:rPr>
              <w:t xml:space="preserve">S2 LC3-50 in target structures (C1 target binder)</w:t>
            </w:r>
          </w:p>
        </w:tc>
        <w:tc>
          <w:tcPr/>
          <w:p>
            <w:pPr>
              <w:pStyle w:val="Compact"/>
              <w:jc w:val="left"/>
            </w:pPr>
            <w:r>
              <w:rPr>
                <w:bCs/>
                <w:b/>
              </w:rPr>
              <w:t xml:space="preserve">1,742 (1,387–2,153) (1,734)</w:t>
            </w:r>
          </w:p>
        </w:tc>
        <w:tc>
          <w:tcPr/>
          <w:p>
            <w:pPr>
              <w:pStyle w:val="Compact"/>
              <w:jc w:val="left"/>
            </w:pPr>
            <w:r>
              <w:rPr>
                <w:bCs/>
                <w:b/>
              </w:rPr>
              <w:t xml:space="preserve">5,201</w:t>
            </w:r>
          </w:p>
        </w:tc>
        <w:tc>
          <w:tcPr/>
          <w:p>
            <w:pPr>
              <w:pStyle w:val="Compact"/>
              <w:jc w:val="left"/>
            </w:pPr>
            <w:r>
              <w:rPr>
                <w:bCs/>
                <w:b/>
              </w:rPr>
              <w:t xml:space="preserve">2,304 / 6,913</w:t>
            </w:r>
          </w:p>
        </w:tc>
        <w:tc>
          <w:tcPr/>
          <w:p>
            <w:pPr>
              <w:pStyle w:val="Compact"/>
              <w:jc w:val="left"/>
            </w:pPr>
            <w:r>
              <w:rPr>
                <w:bCs/>
                <w:b/>
              </w:rPr>
              <w:t xml:space="preserve">0.29% (0.18–0.46%) (0.45%)</w:t>
            </w:r>
          </w:p>
        </w:tc>
      </w:tr>
      <w:tr>
        <w:tc>
          <w:tcPr/>
          <w:p>
            <w:pPr>
              <w:pStyle w:val="Compact"/>
              <w:jc w:val="left"/>
            </w:pPr>
            <w:r>
              <w:t xml:space="preserve">S2b LC3 in targets plus slag in all other concrete</w:t>
            </w:r>
          </w:p>
        </w:tc>
        <w:tc>
          <w:tcPr/>
          <w:p>
            <w:pPr>
              <w:pStyle w:val="Compact"/>
              <w:jc w:val="left"/>
            </w:pPr>
            <w:r>
              <w:t xml:space="preserve">2,746 (1,809–4,107) (2,488)</w:t>
            </w:r>
          </w:p>
        </w:tc>
        <w:tc>
          <w:tcPr/>
          <w:p>
            <w:pPr>
              <w:pStyle w:val="Compact"/>
              <w:jc w:val="left"/>
            </w:pPr>
            <w:r>
              <w:t xml:space="preserve">7,464</w:t>
            </w:r>
          </w:p>
        </w:tc>
        <w:tc>
          <w:tcPr/>
          <w:p>
            <w:pPr>
              <w:pStyle w:val="Compact"/>
              <w:jc w:val="left"/>
            </w:pPr>
            <w:r>
              <w:t xml:space="preserve">3,286 / 9,857</w:t>
            </w:r>
          </w:p>
        </w:tc>
        <w:tc>
          <w:tcPr/>
          <w:p>
            <w:pPr>
              <w:pStyle w:val="Compact"/>
              <w:jc w:val="left"/>
            </w:pPr>
            <w:r>
              <w:t xml:space="preserve">0.46% (0.26–0.80%) (0.65%)</w:t>
            </w:r>
          </w:p>
        </w:tc>
      </w:tr>
      <w:tr>
        <w:tc>
          <w:tcPr/>
          <w:p>
            <w:pPr>
              <w:pStyle w:val="Compact"/>
              <w:jc w:val="left"/>
            </w:pPr>
            <w:r>
              <w:t xml:space="preserve">S3 like-for-like: low-end steel factors, target-structure steel only</w:t>
            </w:r>
          </w:p>
        </w:tc>
        <w:tc>
          <w:tcPr/>
          <w:p>
            <w:pPr>
              <w:pStyle w:val="Compact"/>
              <w:jc w:val="left"/>
            </w:pPr>
            <w:r>
              <w:t xml:space="preserve">941 (404–1,581) (566)</w:t>
            </w:r>
          </w:p>
        </w:tc>
        <w:tc>
          <w:tcPr/>
          <w:p>
            <w:pPr>
              <w:pStyle w:val="Compact"/>
              <w:jc w:val="left"/>
            </w:pPr>
            <w:r>
              <w:t xml:space="preserve">1,698</w:t>
            </w:r>
          </w:p>
        </w:tc>
        <w:tc>
          <w:tcPr/>
          <w:p>
            <w:pPr>
              <w:pStyle w:val="Compact"/>
              <w:jc w:val="left"/>
            </w:pPr>
            <w:r>
              <w:t xml:space="preserve">—</w:t>
            </w:r>
          </w:p>
        </w:tc>
        <w:tc>
          <w:tcPr/>
          <w:p>
            <w:pPr>
              <w:pStyle w:val="Compact"/>
              <w:jc w:val="left"/>
            </w:pPr>
            <w:r>
              <w:t xml:space="preserve">0.16% (0.06–0.30%) (0.15%)</w:t>
            </w:r>
          </w:p>
        </w:tc>
      </w:tr>
      <w:tr>
        <w:tc>
          <w:tcPr/>
          <w:p>
            <w:pPr>
              <w:pStyle w:val="Compact"/>
              <w:jc w:val="left"/>
            </w:pPr>
            <w:r>
              <w:t xml:space="preserve">S3 upper bound: all plant steel at best-practice electric-arc-furnace sections factors</w:t>
            </w:r>
          </w:p>
        </w:tc>
        <w:tc>
          <w:tcPr/>
          <w:p>
            <w:pPr>
              <w:pStyle w:val="Compact"/>
              <w:jc w:val="left"/>
            </w:pPr>
            <w:r>
              <w:t xml:space="preserve">4,731 (1,713–9,084) (3,714)</w:t>
            </w:r>
          </w:p>
        </w:tc>
        <w:tc>
          <w:tcPr/>
          <w:p>
            <w:pPr>
              <w:pStyle w:val="Compact"/>
              <w:jc w:val="left"/>
            </w:pPr>
            <w:r>
              <w:t xml:space="preserve">11,142</w:t>
            </w:r>
          </w:p>
        </w:tc>
        <w:tc>
          <w:tcPr/>
          <w:p>
            <w:pPr>
              <w:pStyle w:val="Compact"/>
              <w:jc w:val="left"/>
            </w:pPr>
            <w:r>
              <w:t xml:space="preserve">—</w:t>
            </w:r>
          </w:p>
        </w:tc>
        <w:tc>
          <w:tcPr/>
          <w:p>
            <w:pPr>
              <w:pStyle w:val="Compact"/>
              <w:jc w:val="left"/>
            </w:pPr>
            <w:r>
              <w:t xml:space="preserve">0.79% (0.28–1.68%) (0.97%)</w:t>
            </w:r>
          </w:p>
        </w:tc>
      </w:tr>
      <w:tr>
        <w:tc>
          <w:tcPr/>
          <w:p>
            <w:pPr>
              <w:pStyle w:val="Compact"/>
              <w:jc w:val="left"/>
            </w:pPr>
            <w:r>
              <w:t xml:space="preserve">S3 sensitivity: all plant steel at world-average factors</w:t>
            </w:r>
          </w:p>
        </w:tc>
        <w:tc>
          <w:tcPr/>
          <w:p>
            <w:pPr>
              <w:pStyle w:val="Compact"/>
              <w:jc w:val="left"/>
            </w:pPr>
            <w:r>
              <w:t xml:space="preserve">−6,695 (−10,805 to −3,178) (−8,399; adds emissions)</w:t>
            </w:r>
          </w:p>
        </w:tc>
        <w:tc>
          <w:tcPr/>
          <w:p>
            <w:pPr>
              <w:pStyle w:val="Compact"/>
              <w:jc w:val="left"/>
            </w:pPr>
            <w:r>
              <w:t xml:space="preserve">−25,198</w:t>
            </w:r>
          </w:p>
        </w:tc>
        <w:tc>
          <w:tcPr/>
          <w:p>
            <w:pPr>
              <w:pStyle w:val="Compact"/>
              <w:jc w:val="left"/>
            </w:pPr>
            <w:r>
              <w:t xml:space="preserve">—</w:t>
            </w:r>
          </w:p>
        </w:tc>
        <w:tc>
          <w:tcPr/>
          <w:p>
            <w:pPr>
              <w:pStyle w:val="Compact"/>
              <w:jc w:val="left"/>
            </w:pPr>
            <w:r>
              <w:t xml:space="preserve">−1.11% (−2.11 to −0.49%) (−2.19%)</w:t>
            </w:r>
          </w:p>
        </w:tc>
      </w:tr>
    </w:tbl>
    <w:p>
      <w:pPr>
        <w:pStyle w:val="BodyText"/>
      </w:pPr>
      <w:r>
        <w:rPr>
          <w:iCs/>
          <w:i/>
        </w:rPr>
        <w:t xml:space="preserve">Note: the mode-case share divides each saving by the mode-case life-cycle total (383,243 t CO₂e per unit). The Monte Carlo share is lower because the total grows with the skewed inputs while the saving barely moves (§6.4). S3 rows are sensitivities on the baseline steel, not part of C1.</w:t>
      </w:r>
    </w:p>
    <w:p>
      <w:pPr>
        <w:pStyle w:val="BodyText"/>
      </w:pPr>
      <w:r>
        <w:t xml:space="preserve">Five findings follow, each with a consequence for the initiative.</w:t>
      </w:r>
      <w:r>
        <w:t xml:space="preserve"> </w:t>
      </w:r>
      <w:r>
        <w:t xml:space="preserve">1.</w:t>
      </w:r>
      <w:r>
        <w:t xml:space="preserve"> </w:t>
      </w:r>
      <w:r>
        <w:rPr>
          <w:bCs/>
          <w:b/>
        </w:rPr>
        <w:t xml:space="preserve">C1 targets the right structures.</w:t>
      </w:r>
      <w:r>
        <w:t xml:space="preserve"> </w:t>
      </w:r>
      <w:r>
        <w:t xml:space="preserve">Concrete is about 66% of their known embodied emissions (5,078 t, against 2,619 t for the forebay rebar and DPSC basemat steel), and the saving exceeds the largest geometric uncertainty in it (530 t, wall thickness).</w:t>
      </w:r>
      <w:r>
        <w:t xml:space="preserve"> </w:t>
      </w:r>
      <w:r>
        <w:t xml:space="preserve">2.</w:t>
      </w:r>
      <w:r>
        <w:t xml:space="preserve"> </w:t>
      </w:r>
      <w:r>
        <w:rPr>
          <w:bCs/>
          <w:b/>
        </w:rPr>
        <w:t xml:space="preserve">The saving is small at plant scale, and so is its economic value.</w:t>
      </w:r>
      <w:r>
        <w:t xml:space="preserve"> </w:t>
      </w:r>
      <w:r>
        <w:t xml:space="preserve">It is about 0.3% of a unit’s life cycle (0.45% in the mode case), or about 0.01 g/kWh, so C1 does not change the plant’s climate case. At the federal industrial carbon price (C$95/t in 2026, C$115/t in 2030; Environment and Climate Change Canada, 2026) [TO VERIFY] it is worth about C$0.16–0.20 m per unit and C$0.49–0.60 m for Units 2–4. That is 0.004% of the C$13.2 bn for those units (four-unit budget C$20.9 bn; Ontario Power Generation, 2025) [TO VERIFY]. One day of delay to Units 2–4 costs C$1.8–2.9 m, three to six times C1’s entire carbon value (Appendix B5.4). LC3 could carry a premium of up to about C$12.6–15.2/m³ (5.5–6.6% of the central concrete price) before it costs more per tonne than the carbon price; the abatement cost follows in §8.2.</w:t>
      </w:r>
      <w:r>
        <w:t xml:space="preserve"> </w:t>
      </w:r>
      <w:r>
        <w:t xml:space="preserve">3.</w:t>
      </w:r>
      <w:r>
        <w:t xml:space="preserve"> </w:t>
      </w:r>
      <w:r>
        <w:rPr>
          <w:bCs/>
          <w:b/>
        </w:rPr>
        <w:t xml:space="preserve">Slag nearly matches LC3, so the carbon case is for low-clinker infill, not for LC3 in particular.</w:t>
      </w:r>
      <w:r>
        <w:t xml:space="preserve"> </w:t>
      </w:r>
      <w:r>
        <w:t xml:space="preserve">LC3 saves only 97–180 t more per unit (Monte Carlo median and mode case; 90% interval −343 to +574 t), and more in only 64% of draws. If OPG’s baseline already contains slag (§6.1), LC3’s gain over business as usual is within this noise. Slag blends have precedent in nuclear concrete ([TODO: authors], 2026) [TO VERIFY], which makes a qualified slag blend the fallback if LC3 cannot be qualified in time (§8.1). Preferring LC3 rests on Ontario’s slag supply shrinking, which is unsourced [TODO: source needed: Ontario blast-furnace-to-electric-arc conversions]; until it is sourced, the specification should accept whichever binder qualifies first.</w:t>
      </w:r>
      <w:r>
        <w:t xml:space="preserve"> </w:t>
      </w:r>
      <w:r>
        <w:t xml:space="preserve">4.</w:t>
      </w:r>
      <w:r>
        <w:t xml:space="preserve"> </w:t>
      </w:r>
      <w:r>
        <w:rPr>
          <w:bCs/>
          <w:b/>
        </w:rPr>
        <w:t xml:space="preserve">Within the structures C1 targets, concrete is the bigger lever; across the whole plant, steel is.</w:t>
      </w:r>
      <w:r>
        <w:t xml:space="preserve"> </w:t>
      </w:r>
      <w:r>
        <w:t xml:space="preserve">The low-end steel factors (Table T6) applied only to the steel in the target structures (953 t of DPSC basemat plate and 1,000 t of forebay rebar) save 566 t per unit (Monte Carlo median 941 t; 404–1,581), against LC3’s 1,734 t (median 1,742): LC3 is about three times larger at the mode case and 1.9 times at the median. The shaft-wall plate is unknown and excluded, so this is a floor for the target-structure steel. Moving all 9,900 t of plant steel to those factors saves 3,714 t (median 4,731), about twice LC3, but that is an upper bound: it applies a hot-rolled-sections factor to forgings and nuclear-grade plate, for which it is not shown to be feasible. World-average steel would instead add 8,399 t. Lower-carbon steel is therefore the next lever (§10), not part of C1.</w:t>
      </w:r>
      <w:r>
        <w:t xml:space="preserve"> </w:t>
      </w:r>
      <w:r>
        <w:t xml:space="preserve">5.</w:t>
      </w:r>
      <w:r>
        <w:t xml:space="preserve"> </w:t>
      </w:r>
      <w:r>
        <w:rPr>
          <w:bCs/>
          <w:b/>
        </w:rPr>
        <w:t xml:space="preserve">Schedule dominates.</w:t>
      </w:r>
      <w:r>
        <w:t xml:space="preserve"> </w:t>
      </w:r>
      <w:r>
        <w:t xml:space="preserve">On the schedule-value results in §7 (Table T10; working in Appendix B5.3), a delay of</w:t>
      </w:r>
      <w:r>
        <w:t xml:space="preserve"> </w:t>
      </w:r>
      <w:r>
        <w:rPr>
          <w:bCs/>
          <w:b/>
        </w:rPr>
        <w:t xml:space="preserve">9.2 days (to-2050 view) to 14.6 days (whole-life view)</w:t>
      </w:r>
      <w:r>
        <w:t xml:space="preserve"> </w:t>
      </w:r>
      <w:r>
        <w:t xml:space="preserve">to one of Units 2–4 on Ontario’s average grid factor, or</w:t>
      </w:r>
      <w:r>
        <w:t xml:space="preserve"> </w:t>
      </w:r>
      <w:r>
        <w:rPr>
          <w:bCs/>
          <w:b/>
        </w:rPr>
        <w:t xml:space="preserve">1.3–1.4 days</w:t>
      </w:r>
      <w:r>
        <w:t xml:space="preserve"> </w:t>
      </w:r>
      <w:r>
        <w:t xml:space="preserve">on the marginal factor (gas), would cancel that unit’s LC3 saving (7.3–18.1 and 1.1–1.8 days across its 90% interval). C1 is therefore specified only if schedule-neutral, for example by qualifying the mix on mock-ups during Unit 1 construction (§8.6).</w:t>
      </w:r>
    </w:p>
    <w:p>
      <w:pPr>
        <w:pStyle w:val="BodyText"/>
      </w:pPr>
      <w:r>
        <w:t xml:space="preserve">For the triple-bottom-line evaluation (§9), C1 is environmentally positive but marginal, its economic value is C$0.49–0.60 m for Units 2–4, and its feasibility hinges on qualification and schedule rather than on carbon.</w:t>
      </w:r>
    </w:p>
    <w:bookmarkEnd w:id="30"/>
    <w:bookmarkStart w:id="31" w:name="uncertainty-tornado-and-monte-carlo"/>
    <w:p>
      <w:pPr>
        <w:pStyle w:val="Heading3"/>
      </w:pPr>
      <w:r>
        <w:t xml:space="preserve">6.4 Uncertainty: tornado and Monte Carlo</w:t>
      </w:r>
    </w:p>
    <w:p>
      <w:pPr>
        <w:pStyle w:val="FirstParagraph"/>
      </w:pPr>
      <w:r>
        <w:t xml:space="preserve">The tornado varies each of 40 inputs alone; the Monte Carlo varies all 40 together, 20,000 times (Appendix C).</w:t>
      </w:r>
    </w:p>
    <w:p>
      <w:pPr>
        <w:pStyle w:val="BodyText"/>
      </w:pPr>
      <w:r>
        <w:rPr>
          <w:bCs/>
          <w:b/>
        </w:rPr>
        <w:t xml:space="preserve">The life-cycle total depends on the fuel inputs, not the concrete (Figure F3).</w:t>
      </w:r>
      <w:r>
        <w:t xml:space="preserve"> </w:t>
      </w:r>
      <w:r>
        <w:t xml:space="preserve">The largest swings are conversion heat (2.70 → 5.37 g/kWh), the mining factor (2.26 → 3.65) and the back end (2.42 → 3.25), followed by burnup and enrichment level. No concrete input moves the total by more than 0.07 g/kWh; steel intensity moves it by 0.17.</w:t>
      </w:r>
      <w:r>
        <w:t xml:space="preserve"> </w:t>
      </w:r>
      <w:r>
        <w:rPr>
          <w:bCs/>
          <w:b/>
        </w:rPr>
        <w:t xml:space="preserve">The LC3 saving depends on the geometry and the mix</w:t>
      </w:r>
      <w:r>
        <w:t xml:space="preserve">: the LC3 emission cut (1,406 → 2,015 t), DPSC wall thickness (1,464 → 1,995 t), infill binder content (1,590 → 2,021 t), and any extra binder LC3 needs to flow (10% more cuts the saving to 1,438 t). OPG’s drawings and mock-up trials would narrow all four.</w:t>
      </w:r>
    </w:p>
    <w:p>
      <w:pPr>
        <w:pStyle w:val="BodyText"/>
      </w:pPr>
      <w:r>
        <w:t xml:space="preserve">[Figure F3. One-at-a-time sensitivity of the life-cycle intensity (left, centred on the mode case, 2.70 g CO₂e/kWh, not the 4.2 median) and of the LC3 saving per unit (right, centred on the mode case, 1,734 t), top ten inputs each. | Source: this study, scripts/lca_uncertainty.py; ranges in parameters_lca.yaml. | File: 03_LCA_Calculations/results/F3_tornado.png]</w:t>
      </w:r>
    </w:p>
    <w:p>
      <w:pPr>
        <w:pStyle w:val="BodyText"/>
      </w:pPr>
      <w:r>
        <w:rPr>
          <w:bCs/>
          <w:b/>
        </w:rPr>
        <w:t xml:space="preserve">Monte Carlo (Figure F4): why we report 4.2, not 2.7, and why it is a range of medians.</w:t>
      </w:r>
      <w:r>
        <w:t xml:space="preserve"> </w:t>
      </w:r>
      <w:r>
        <w:t xml:space="preserve">The mode case (2.7 g/kWh) puts every input at its single most likely value. Several inputs, however, can mostly only rise: conversion heat is most likely 26 kWh/kg U but could be 665, which alone adds about 1.0 g/kWh to the average (Appendix C5). We therefore report the median of all draws (4.2 g/kWh) rather than the mode case; the same skew lowers LC3’s share from 0.45% to 0.29%, while the saving itself barely moves.</w:t>
      </w:r>
      <w:r>
        <w:t xml:space="preserve"> </w:t>
      </w:r>
      <w:r>
        <w:rPr>
          <w:bCs/>
          <w:b/>
        </w:rPr>
        <w:t xml:space="preserve">The headline does depend on how conversion heat is distributed</w:t>
      </w:r>
      <w:r>
        <w:t xml:space="preserve"> </w:t>
      </w:r>
      <w:r>
        <w:t xml:space="preserve">(Table C2). With it fixed at Gibon and Hahn Menacho’s (2023) central 26 kWh/kg U [TO VERIFY] the median is 3.3 g/kWh (90% interval 2.6–4.2); with a log-uniform 26–665 it is 3.9 (2.9–5.9). We therefore quote the</w:t>
      </w:r>
      <w:r>
        <w:t xml:space="preserve"> </w:t>
      </w:r>
      <w:r>
        <w:rPr>
          <w:bCs/>
          <w:b/>
        </w:rPr>
        <w:t xml:space="preserve">range of medians, 3.3–4.2 g/kWh</w:t>
      </w:r>
      <w:r>
        <w:t xml:space="preserve">, and LC3’s share of the life cycle ranges over 0.29–0.37%. Every value stays below UNECE’s range. A measured conversion value would settle it [TODO: source needed: Cameco Port Hope]. Other limitations (independent draws, judgement ranges) are in Appendix C6.</w:t>
      </w:r>
    </w:p>
    <w:p>
      <w:pPr>
        <w:pStyle w:val="BodyText"/>
      </w:pPr>
      <w:r>
        <w:t xml:space="preserve">[Figure F4. Monte Carlo distributions (20,000 draws, seed 20261021) of the life-cycle intensity (median 4.18, 5th–95th percentile 3.05–5.85 g CO₂e/kWh) and of the LC3 saving per unit (median 1,742, 1,387–2,153 t). | Source: this study, scripts/lca_uncertainty.py. | File: 03_LCA_Calculations/results/F4_montecarlo.png]</w:t>
      </w:r>
    </w:p>
    <w:bookmarkEnd w:id="31"/>
    <w:bookmarkStart w:id="32" w:name="comparison-with-published-values"/>
    <w:p>
      <w:pPr>
        <w:pStyle w:val="Heading3"/>
      </w:pPr>
      <w:r>
        <w:t xml:space="preserve">6.5 Comparison with published values</w:t>
      </w:r>
    </w:p>
    <w:p>
      <w:pPr>
        <w:pStyle w:val="FirstParagraph"/>
      </w:pPr>
      <w:r>
        <w:rPr>
          <w:bCs/>
          <w:b/>
        </w:rPr>
        <w:t xml:space="preserve">Our median (3.3–4.2 across conversion-heat assumptions, §6.4) is below UNECE’s 5.1–6.4 g/kWh (United Nations Economic Commission for Europe, 2021; our 90% interval overlaps it) and at the low end of the wider literature range, for reasons we can identify (Figure F5, Table T9).</w:t>
      </w:r>
      <w:r>
        <w:t xml:space="preserve"> </w:t>
      </w:r>
      <w:r>
        <w:t xml:space="preserve">It overlaps EDF’s French fleet (3.7 g/kWh; EDF R&amp;D, 2024) and is below the global average of 6.1 (Gibon and Hahn Menacho, 2023), an SMR estimate of 9.1 (Carless, Griffin and Fischbeck, 2016) and the harmonised light-water-reactor median of 12 (Warner and Heath, 2012) [TODO: add the IPCC AR5 WGIII Annex III minimum, median and maximum (Schlömer et al., 2014) once a value is confirmed]. All benchmark values are [TO VERIFY]. Our median is about 100–120 times lower than gas combined cycle (403–513 g/kWh) and 180–260 times lower than coal (751–1,095) (United Nations Economic Commission for Europe, 2021).</w:t>
      </w:r>
    </w:p>
    <w:p>
      <w:pPr>
        <w:pStyle w:val="BodyText"/>
      </w:pPr>
      <w:r>
        <w:rPr>
          <w:iCs/>
          <w:i/>
        </w:rPr>
        <w:t xml:space="preserve">Table T9. Why our result differs from the benchmarks: direction and size of each reason.</w:t>
      </w:r>
      <w:r>
        <w:t xml:space="preserve"> </w:t>
      </w:r>
      <w:r>
        <w:rPr>
          <w:iCs/>
          <w:i/>
        </w:rPr>
        <w:t xml:space="preserve">Source: this study (Appendices A and C), with the references as listed. All [TO VERIFY].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Reason</w:t>
            </w:r>
          </w:p>
        </w:tc>
        <w:tc>
          <w:tcPr/>
          <w:p>
            <w:pPr>
              <w:pStyle w:val="Compact"/>
              <w:jc w:val="left"/>
            </w:pPr>
            <w:r>
              <w:t xml:space="preserve">Effect on our value</w:t>
            </w:r>
          </w:p>
        </w:tc>
        <w:tc>
          <w:tcPr/>
          <w:p>
            <w:pPr>
              <w:pStyle w:val="Compact"/>
              <w:jc w:val="left"/>
            </w:pPr>
            <w:r>
              <w:t xml:space="preserve">Size</w:t>
            </w:r>
          </w:p>
        </w:tc>
      </w:tr>
      <w:tr>
        <w:tc>
          <w:tcPr/>
          <w:p>
            <w:pPr>
              <w:pStyle w:val="Compact"/>
              <w:jc w:val="left"/>
            </w:pPr>
            <w:r>
              <w:t xml:space="preserve">High-grade Canadian ore</w:t>
            </w:r>
          </w:p>
        </w:tc>
        <w:tc>
          <w:tcPr/>
          <w:p>
            <w:pPr>
              <w:pStyle w:val="Compact"/>
              <w:jc w:val="left"/>
            </w:pPr>
            <w:r>
              <w:t xml:space="preserve">Lower</w:t>
            </w:r>
          </w:p>
        </w:tc>
        <w:tc>
          <w:tcPr/>
          <w:p>
            <w:pPr>
              <w:pStyle w:val="Compact"/>
              <w:jc w:val="left"/>
            </w:pPr>
            <w:r>
              <w:t xml:space="preserve">Our mining is 1.0–1.3 g/kWh; at global-average grades Gibon and Hahn Menacho (2023) attribute 46% of 6.1, about 2.8 g/kWh, to it. This explains most of the gap to UNECE and Gibon</w:t>
            </w:r>
          </w:p>
        </w:tc>
      </w:tr>
      <w:tr>
        <w:tc>
          <w:tcPr/>
          <w:p>
            <w:pPr>
              <w:pStyle w:val="Compact"/>
              <w:jc w:val="left"/>
            </w:pPr>
            <w:r>
              <w:t xml:space="preserve">Centrifuge enrichment only</w:t>
            </w:r>
          </w:p>
        </w:tc>
        <w:tc>
          <w:tcPr/>
          <w:p>
            <w:pPr>
              <w:pStyle w:val="Compact"/>
              <w:jc w:val="left"/>
            </w:pPr>
            <w:r>
              <w:t xml:space="preserve">Lower than older studies</w:t>
            </w:r>
          </w:p>
        </w:tc>
        <w:tc>
          <w:tcPr/>
          <w:p>
            <w:pPr>
              <w:pStyle w:val="Compact"/>
              <w:jc w:val="left"/>
            </w:pPr>
            <w:r>
              <w:t xml:space="preserve">50 kWh/SWU against about 2,500 for the diffusion plants in older study sets (Gibon and Hahn Menacho, 2023; Warner and Heath, 2012)</w:t>
            </w:r>
          </w:p>
        </w:tc>
      </w:tr>
      <w:tr>
        <w:tc>
          <w:tcPr/>
          <w:p>
            <w:pPr>
              <w:pStyle w:val="Compact"/>
              <w:jc w:val="left"/>
            </w:pPr>
            <w:r>
              <w:t xml:space="preserve">Energy-only fuel inventory (cut-offs)</w:t>
            </w:r>
          </w:p>
        </w:tc>
        <w:tc>
          <w:tcPr/>
          <w:p>
            <w:pPr>
              <w:pStyle w:val="Compact"/>
              <w:jc w:val="left"/>
            </w:pPr>
            <w:r>
              <w:t xml:space="preserve">Lower</w:t>
            </w:r>
          </w:p>
        </w:tc>
        <w:tc>
          <w:tcPr/>
          <w:p>
            <w:pPr>
              <w:pStyle w:val="Compact"/>
              <w:jc w:val="left"/>
            </w:pPr>
            <w:r>
              <w:t xml:space="preserve">Not quantified (chemicals, cladding, upstream gas, fuel-plant capital goods excluded)</w:t>
            </w:r>
          </w:p>
        </w:tc>
      </w:tr>
      <w:tr>
        <w:tc>
          <w:tcPr/>
          <w:p>
            <w:pPr>
              <w:pStyle w:val="Compact"/>
              <w:jc w:val="left"/>
            </w:pPr>
            <w:r>
              <w:t xml:space="preserve">Construction possibly underestimated</w:t>
            </w:r>
          </w:p>
        </w:tc>
        <w:tc>
          <w:tcPr/>
          <w:p>
            <w:pPr>
              <w:pStyle w:val="Compact"/>
              <w:jc w:val="left"/>
            </w:pPr>
            <w:r>
              <w:t xml:space="preserve">Lower</w:t>
            </w:r>
          </w:p>
        </w:tc>
        <w:tc>
          <w:tcPr/>
          <w:p>
            <w:pPr>
              <w:pStyle w:val="Compact"/>
              <w:jc w:val="left"/>
            </w:pPr>
            <w:r>
              <w:t xml:space="preserve">Ours 0.24–0.32 g/kWh against about 0.59 for large reactors (16% of 3.7; EDF R&amp;D, 2024). At 0.6–1.0, the total would rise 0.3–0.8 g/kWh and LC3’s share would fall further</w:t>
            </w:r>
          </w:p>
        </w:tc>
      </w:tr>
      <w:tr>
        <w:tc>
          <w:tcPr/>
          <w:p>
            <w:pPr>
              <w:pStyle w:val="Compact"/>
              <w:jc w:val="left"/>
            </w:pPr>
            <w:r>
              <w:t xml:space="preserve">Long life and high capacity factor</w:t>
            </w:r>
          </w:p>
        </w:tc>
        <w:tc>
          <w:tcPr/>
          <w:p>
            <w:pPr>
              <w:pStyle w:val="Compact"/>
              <w:jc w:val="left"/>
            </w:pPr>
            <w:r>
              <w:t xml:space="preserve">Lower</w:t>
            </w:r>
          </w:p>
        </w:tc>
        <w:tc>
          <w:tcPr/>
          <w:p>
            <w:pPr>
              <w:pStyle w:val="Compact"/>
              <w:jc w:val="left"/>
            </w:pPr>
            <w:r>
              <w:t xml:space="preserve">At 40 years instead of 60, the mode case rises from 2.70 to 2.82 g/kWh</w:t>
            </w:r>
          </w:p>
        </w:tc>
      </w:tr>
      <w:tr>
        <w:tc>
          <w:tcPr/>
          <w:p>
            <w:pPr>
              <w:pStyle w:val="Compact"/>
              <w:jc w:val="left"/>
            </w:pPr>
            <w:r>
              <w:t xml:space="preserve">O&amp;M and back end transferred from France (reprocessing)</w:t>
            </w:r>
          </w:p>
        </w:tc>
        <w:tc>
          <w:tcPr/>
          <w:p>
            <w:pPr>
              <w:pStyle w:val="Compact"/>
              <w:jc w:val="left"/>
            </w:pPr>
            <w:r>
              <w:t xml:space="preserve">Possibly higher</w:t>
            </w:r>
          </w:p>
        </w:tc>
        <w:tc>
          <w:tcPr/>
          <w:p>
            <w:pPr>
              <w:pStyle w:val="Compact"/>
              <w:jc w:val="left"/>
            </w:pPr>
            <w:r>
              <w:t xml:space="preserve">Canada plans direct disposal; back-end range 0.28–1.11 g/kWh tested</w:t>
            </w:r>
          </w:p>
        </w:tc>
      </w:tr>
      <w:tr>
        <w:tc>
          <w:tcPr/>
          <w:p>
            <w:pPr>
              <w:pStyle w:val="Compact"/>
              <w:jc w:val="left"/>
            </w:pPr>
            <w:r>
              <w:t xml:space="preserve">SMR rather than large reactor</w:t>
            </w:r>
          </w:p>
        </w:tc>
        <w:tc>
          <w:tcPr/>
          <w:p>
            <w:pPr>
              <w:pStyle w:val="Compact"/>
              <w:jc w:val="left"/>
            </w:pPr>
            <w:r>
              <w:t xml:space="preserve">Small</w:t>
            </w:r>
          </w:p>
        </w:tc>
        <w:tc>
          <w:tcPr/>
          <w:p>
            <w:pPr>
              <w:pStyle w:val="Compact"/>
              <w:jc w:val="left"/>
            </w:pPr>
            <w:r>
              <w:t xml:space="preserve">Carless, Griffin and Fischbeck (2016) give 9.1 for an SMR against 8.4 for the AP1000, mainly through the fuel cycle; our construction share is too small for scale effects to move the total much</w:t>
            </w:r>
          </w:p>
        </w:tc>
      </w:tr>
    </w:tbl>
    <w:p>
      <w:pPr>
        <w:pStyle w:val="BodyText"/>
      </w:pPr>
      <w:r>
        <w:t xml:space="preserve">The sources disagree mainly about the fuel front end (ore grade, enrichment technology and grid), not about construction, and that is where our result departs from them. The known low bias (cut-offs, possibly construction) would raise the total and make C1’s share smaller still, so it does not weaken §6.3. If the Granta cross-check is run, its construction values will be compared here with the model’s (Appendix A9) [TODO: Granta cross-check, H2 due Thu 12:00; cut if not run].</w:t>
      </w:r>
    </w:p>
    <w:p>
      <w:pPr>
        <w:pStyle w:val="BodyText"/>
      </w:pPr>
      <w:r>
        <w:t xml:space="preserve">[Figure F5. Our BWRX-300 result against published nuclear life-cycle values (point = central or median; line = range or interval); coal about 750–1,100 and gas combined cycle 403–513 g CO₂e/kWh for scale. UNECE reports a range only (5.1–6.4), so it is drawn as a range with no midpoint; Warner and Heath are drawn as a median only (12). | Source: this study; EDF R&amp;D (2024); United Nations Economic Commission for Europe (2021); Gibon and Hahn Menacho (2023); Carless, Griffin and Fischbeck (2016); Warner and Heath (2012). Benchmarks [TO VERIFY]. | File: 03_LCA_Calculations/results/F5_benchmarks.png] [TODO: IPCC AR5 WGIII Annex III row is drawn automatically once its values are set to verified in parameters_lca.yaml]</w:t>
      </w:r>
    </w:p>
    <w:p>
      <w:r>
        <w:pict>
          <v:rect style="width:0;height:1.5pt" o:hralign="center" o:hrstd="t" o:hr="t"/>
        </w:pict>
      </w:r>
    </w:p>
    <w:bookmarkEnd w:id="32"/>
    <w:bookmarkEnd w:id="33"/>
    <w:bookmarkStart w:id="38" w:name="X6fbd7bed400e38904dc2c5d634c7832d9e25d90"/>
    <w:p>
      <w:pPr>
        <w:pStyle w:val="Heading2"/>
      </w:pPr>
      <w:r>
        <w:t xml:space="preserve">7 Carbon avoided: Ontario vs Liddell, the value of schedule, and the same money on firmed renewables</w:t>
      </w:r>
    </w:p>
    <w:p>
      <w:pPr>
        <w:pStyle w:val="FirstParagraph"/>
      </w:pPr>
      <w:r>
        <w:rPr>
          <w:bCs/>
          <w:b/>
        </w:rPr>
        <w:t xml:space="preserve">For C1, schedule matters far more than concrete.</w:t>
      </w:r>
      <w:r>
        <w:t xml:space="preserve"> </w:t>
      </w:r>
      <w:r>
        <w:t xml:space="preserve">A one-month slip of Units 2–4 costs C$33–110 m in carrying cost and defers about C$88 m of output:</w:t>
      </w:r>
      <w:r>
        <w:t xml:space="preserve"> </w:t>
      </w:r>
      <w:r>
        <w:rPr>
          <w:bCs/>
          <w:b/>
        </w:rPr>
        <w:t xml:space="preserve">30–223 times the carbon value of C1’s entire saving</w:t>
      </w:r>
      <w:r>
        <w:t xml:space="preserve">. Per unit, the LC3 saving (about 1,740 t CO₂e, §6.3) is cancelled by</w:t>
      </w:r>
      <w:r>
        <w:t xml:space="preserve"> </w:t>
      </w:r>
      <w:r>
        <w:rPr>
          <w:bCs/>
          <w:b/>
        </w:rPr>
        <w:t xml:space="preserve">9–15 days of delay on Ontario’s average grid factor, or 1.3–1.4 days on its marginal factor</w:t>
      </w:r>
      <w:r>
        <w:t xml:space="preserve">. Timing also decides where an SMR helps the climate at all. Counted from when each plant could actually run, a Darlington unit avoids about as much CO₂e to 2050 as a Liddell unit (1.0–6.8 Mt against 0.67–3.9 Mt). Liddell wins clearly only if Australia’s grid stops decarbonising. And at Liddell, the same money spent on firmed renewables avoids more CO₂e in every case we tested. Every input is provisional [TO VERIFY]; the working is in Appendices B4–B6.</w:t>
      </w:r>
    </w:p>
    <w:p>
      <w:pPr>
        <w:pStyle w:val="BodyText"/>
      </w:pPr>
      <w:r>
        <w:rPr>
          <w:bCs/>
          <w:b/>
        </w:rPr>
        <w:t xml:space="preserve">Method.</w:t>
      </w:r>
      <w:r>
        <w:t xml:space="preserve"> </w:t>
      </w:r>
      <w:r>
        <w:t xml:space="preserve">CO₂e avoided = output × (intensity of the displaced electricity − 4.2 g CO₂e/kWh, our life-cycle value from §6). The output is that of one 300 MWe unit at a 0.90 capacity factor, 2.365 TWh a year [TODO: Leroy: 300 vs 315 MWe net].</w:t>
      </w:r>
      <w:r>
        <w:t xml:space="preserve"> </w:t>
      </w:r>
      <w:r>
        <w:t xml:space="preserve">- An</w:t>
      </w:r>
      <w:r>
        <w:t xml:space="preserve"> </w:t>
      </w:r>
      <w:r>
        <w:rPr>
          <w:iCs/>
          <w:i/>
        </w:rPr>
        <w:t xml:space="preserve">average</w:t>
      </w:r>
      <w:r>
        <w:t xml:space="preserve"> </w:t>
      </w:r>
      <w:r>
        <w:t xml:space="preserve">factor is the grid’s mean intensity.</w:t>
      </w:r>
      <w:r>
        <w:t xml:space="preserve"> </w:t>
      </w:r>
      <w:r>
        <w:t xml:space="preserve">- A</w:t>
      </w:r>
      <w:r>
        <w:t xml:space="preserve"> </w:t>
      </w:r>
      <w:r>
        <w:rPr>
          <w:iCs/>
          <w:i/>
        </w:rPr>
        <w:t xml:space="preserve">marginal</w:t>
      </w:r>
      <w:r>
        <w:t xml:space="preserve"> </w:t>
      </w:r>
      <w:r>
        <w:t xml:space="preserve">factor is the intensity of the generation that actually runs less (mostly gas in Ontario). It is the factor recommended for evaluating new supply (The Atmospheric Fund, 2025) [TO VERIFY].</w:t>
      </w:r>
      <w:r>
        <w:t xml:space="preserve"> </w:t>
      </w:r>
      <w:r>
        <w:t xml:space="preserve">- The grid trajectories are our own constructions from published anchor points [TODO: replace with the 2026 ISP Step Change and IESO series].</w:t>
      </w:r>
    </w:p>
    <w:bookmarkStart w:id="34" w:name="the-value-of-schedule"/>
    <w:p>
      <w:pPr>
        <w:pStyle w:val="Heading3"/>
      </w:pPr>
      <w:r>
        <w:t xml:space="preserve">7.1 The value of schedule</w:t>
      </w:r>
    </w:p>
    <w:p>
      <w:pPr>
        <w:pStyle w:val="FirstParagraph"/>
      </w:pPr>
      <w:r>
        <w:rPr>
          <w:bCs/>
          <w:b/>
        </w:rPr>
        <w:t xml:space="preserve">A saving of kilotonnes is undone by a few days of delay.</w:t>
      </w:r>
      <w:r>
        <w:t xml:space="preserve"> </w:t>
      </w:r>
      <w:r>
        <w:t xml:space="preserve">A unit that starts late gives up each day’s displacement (Table T10). Counted to 2050 (the</w:t>
      </w:r>
      <w:r>
        <w:t xml:space="preserve"> </w:t>
      </w:r>
      <w:r>
        <w:t xml:space="preserve">“</w:t>
      </w:r>
      <w:r>
        <w:t xml:space="preserve">gross</w:t>
      </w:r>
      <w:r>
        <w:t xml:space="preserve">”</w:t>
      </w:r>
      <w:r>
        <w:t xml:space="preserve"> </w:t>
      </w:r>
      <w:r>
        <w:t xml:space="preserve">view), that loss is permanent. Over the plant’s whole life (the</w:t>
      </w:r>
      <w:r>
        <w:t xml:space="preserve"> </w:t>
      </w:r>
      <w:r>
        <w:t xml:space="preserve">“</w:t>
      </w:r>
      <w:r>
        <w:t xml:space="preserve">net</w:t>
      </w:r>
      <w:r>
        <w:t xml:space="preserve">”</w:t>
      </w:r>
      <w:r>
        <w:t xml:space="preserve"> </w:t>
      </w:r>
      <w:r>
        <w:t xml:space="preserve">view), the lost time comes back at the end of life, but on a cleaner grid.</w:t>
      </w:r>
    </w:p>
    <w:p>
      <w:pPr>
        <w:pStyle w:val="BodyText"/>
      </w:pPr>
      <w:r>
        <w:rPr>
          <w:iCs/>
          <w:i/>
        </w:rPr>
        <w:t xml:space="preserve">Table T10. Days of delay that cancel C1’s LC3 saving, Darlington Units 2–4 (start 2035).</w:t>
      </w:r>
      <w:r>
        <w:t xml:space="preserve"> </w:t>
      </w:r>
      <w:r>
        <w:rPr>
          <w:iCs/>
          <w:i/>
        </w:rPr>
        <w:t xml:space="preserve">Source: this study,</w:t>
      </w:r>
      <w:r>
        <w:rPr>
          <w:iCs/>
          <w:i/>
        </w:rPr>
        <w:t xml:space="preserve"> </w:t>
      </w:r>
      <w:r>
        <w:rPr>
          <w:rStyle w:val="VerbatimChar"/>
          <w:iCs/>
          <w:i/>
        </w:rPr>
        <w:t xml:space="preserve">scripts/schedule_value.py</w:t>
      </w:r>
      <w:r>
        <w:rPr>
          <w:iCs/>
          <w:i/>
        </w:rPr>
        <w:t xml:space="preserve"> </w:t>
      </w:r>
      <w:r>
        <w:rPr>
          <w:iCs/>
          <w:i/>
        </w:rPr>
        <w:t xml:space="preserve">(</w:t>
      </w:r>
      <w:r>
        <w:rPr>
          <w:rStyle w:val="VerbatimChar"/>
          <w:iCs/>
          <w:i/>
        </w:rPr>
        <w:t xml:space="preserve">results/schedule_value.md</w:t>
      </w:r>
      <w:r>
        <w:rPr>
          <w:iCs/>
          <w:i/>
        </w:rPr>
        <w:t xml:space="preserve"> </w:t>
      </w:r>
      <w:r>
        <w:rPr>
          <w:iCs/>
          <w:i/>
        </w:rPr>
        <w:t xml:space="preserve">§6; Appendix B5). Saving 1,734 t per unit and 5,201 t for Units 2–4 (§6.3). Brackets give the range over the saving’s 90% interval. Grid factors: The Atmospheric Fund (2025); Independent Electricity System Operator (2024) [TO VERIFY].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Ontario grid case</w:t>
            </w:r>
          </w:p>
        </w:tc>
        <w:tc>
          <w:tcPr/>
          <w:p>
            <w:pPr>
              <w:pStyle w:val="Compact"/>
              <w:jc w:val="left"/>
            </w:pPr>
            <w:r>
              <w:t xml:space="preserve">CO₂e lost per day of delay, one unit (t, gross / net)</w:t>
            </w:r>
          </w:p>
        </w:tc>
        <w:tc>
          <w:tcPr/>
          <w:p>
            <w:pPr>
              <w:pStyle w:val="Compact"/>
              <w:jc w:val="left"/>
            </w:pPr>
            <w:r>
              <w:t xml:space="preserve">Days that cancel one unit’s saving (gross / net)</w:t>
            </w:r>
          </w:p>
        </w:tc>
        <w:tc>
          <w:tcPr/>
          <w:p>
            <w:pPr>
              <w:pStyle w:val="Compact"/>
              <w:jc w:val="left"/>
            </w:pPr>
            <w:r>
              <w:t xml:space="preserve">Days of delay to one unit that cancel all of Units 2–4’s saving (gross / net)</w:t>
            </w:r>
          </w:p>
        </w:tc>
      </w:tr>
      <w:tr>
        <w:tc>
          <w:tcPr/>
          <w:p>
            <w:pPr>
              <w:pStyle w:val="Compact"/>
              <w:jc w:val="left"/>
            </w:pPr>
            <w:r>
              <w:t xml:space="preserve">Average, falling to 15 g/kWh by 2040</w:t>
            </w:r>
          </w:p>
        </w:tc>
        <w:tc>
          <w:tcPr/>
          <w:p>
            <w:pPr>
              <w:pStyle w:val="Compact"/>
              <w:jc w:val="left"/>
            </w:pPr>
            <w:r>
              <w:t xml:space="preserve">189 / 119</w:t>
            </w:r>
          </w:p>
        </w:tc>
        <w:tc>
          <w:tcPr/>
          <w:p>
            <w:pPr>
              <w:pStyle w:val="Compact"/>
              <w:jc w:val="left"/>
            </w:pPr>
            <w:r>
              <w:t xml:space="preserve">9.2 (7.3–11.4) / 14.6 (11.6–18.1)</w:t>
            </w:r>
          </w:p>
        </w:tc>
        <w:tc>
          <w:tcPr/>
          <w:p>
            <w:pPr>
              <w:pStyle w:val="Compact"/>
              <w:jc w:val="left"/>
            </w:pPr>
            <w:r>
              <w:t xml:space="preserve">28 / 44</w:t>
            </w:r>
          </w:p>
        </w:tc>
      </w:tr>
      <w:tr>
        <w:tc>
          <w:tcPr/>
          <w:p>
            <w:pPr>
              <w:pStyle w:val="Compact"/>
              <w:jc w:val="left"/>
            </w:pPr>
            <w:r>
              <w:t xml:space="preserve">Marginal (gas), leaving the margin by 2050</w:t>
            </w:r>
          </w:p>
        </w:tc>
        <w:tc>
          <w:tcPr/>
          <w:p>
            <w:pPr>
              <w:pStyle w:val="Compact"/>
              <w:jc w:val="left"/>
            </w:pPr>
            <w:r>
              <w:t xml:space="preserve">1,296 / 1,226</w:t>
            </w:r>
          </w:p>
        </w:tc>
        <w:tc>
          <w:tcPr/>
          <w:p>
            <w:pPr>
              <w:pStyle w:val="Compact"/>
              <w:jc w:val="left"/>
            </w:pPr>
            <w:r>
              <w:t xml:space="preserve">1.3 (1.1–1.7) / 1.4 (1.1–1.8)</w:t>
            </w:r>
          </w:p>
        </w:tc>
        <w:tc>
          <w:tcPr/>
          <w:p>
            <w:pPr>
              <w:pStyle w:val="Compact"/>
              <w:jc w:val="left"/>
            </w:pPr>
            <w:r>
              <w:t xml:space="preserve">4.0 / 4.2</w:t>
            </w:r>
          </w:p>
        </w:tc>
      </w:tr>
    </w:tbl>
    <w:p>
      <w:pPr>
        <w:pStyle w:val="BodyText"/>
      </w:pPr>
      <w:r>
        <w:rPr>
          <w:bCs/>
          <w:b/>
        </w:rPr>
        <w:t xml:space="preserve">In money the gap is wider.</w:t>
      </w:r>
      <w:r>
        <w:t xml:space="preserve"> </w:t>
      </w:r>
      <w:r>
        <w:t xml:space="preserve">Canada’s industrial carbon price is C$95/t in 2026, rising to C$115/t in 2030 (Environment and Climate Change Canada, 2026) [TO VERIFY]. At those prices, C1’s 5,200 t across Units 2–4 is worth</w:t>
      </w:r>
      <w:r>
        <w:t xml:space="preserve"> </w:t>
      </w:r>
      <w:r>
        <w:rPr>
          <w:bCs/>
          <w:b/>
        </w:rPr>
        <w:t xml:space="preserve">C$0.49–0.60 m</w:t>
      </w:r>
      <w:r>
        <w:t xml:space="preserve">. Even at the superseded C$170/t and the 95th-percentile saving, it is worth only C$1.10 m. A one-month slip of the three units does far more damage:</w:t>
      </w:r>
      <w:r>
        <w:t xml:space="preserve"> </w:t>
      </w:r>
      <w:r>
        <w:t xml:space="preserve">- It costs C$33–110 m in carrying cost (3–10% a year on their C$13.2 bn). This is an upper bound, because it assumes all the capital has already been spent.</w:t>
      </w:r>
      <w:r>
        <w:t xml:space="preserve"> </w:t>
      </w:r>
      <w:r>
        <w:t xml:space="preserve">- It defers about C$88 m of output at OPG’s reported C$149/MWh [TO VERIFY; TODO: merge</w:t>
      </w:r>
      <w:r>
        <w:t xml:space="preserve"> </w:t>
      </w:r>
      <w:r>
        <w:rPr>
          <w:rStyle w:val="VerbatimChar"/>
        </w:rPr>
        <w:t xml:space="preserve">opg_oeb_lcoe_lead</w:t>
      </w:r>
      <w:r>
        <w:t xml:space="preserve"> </w:t>
      </w:r>
      <w:r>
        <w:t xml:space="preserve">into sources.md].</w:t>
      </w:r>
      <w:r>
        <w:t xml:space="preserve"> </w:t>
      </w:r>
      <w:r>
        <w:t xml:space="preserve">- It loses 10.9–118 kt CO₂e, 2.1–22.7 times C1’s saving.</w:t>
      </w:r>
    </w:p>
    <w:p>
      <w:pPr>
        <w:pStyle w:val="BodyText"/>
      </w:pPr>
      <w:r>
        <w:t xml:space="preserve">The carbon value is also only a shadow price. Construction-material emissions appear to fall outside Ontario’s industrial carbon pricing [TO VERIFY: analyst inference] (§8.2), so nobody is paid for the saving.</w:t>
      </w:r>
      <w:r>
        <w:t xml:space="preserve"> </w:t>
      </w:r>
      <w:r>
        <w:rPr>
          <w:bCs/>
          <w:b/>
        </w:rPr>
        <w:t xml:space="preserve">Schedule neutrality is therefore the binding condition on C1.</w:t>
      </w:r>
      <w:r>
        <w:t xml:space="preserve"> </w:t>
      </w:r>
      <w:r>
        <w:t xml:space="preserve">The mix must be qualified on mock-ups during Unit 1, before the Units 2–4 decision expected in 2028 [TO VERIFY] (§8.6).</w:t>
      </w:r>
    </w:p>
    <w:bookmarkEnd w:id="34"/>
    <w:bookmarkStart w:id="35" w:name="Xb77cf30fc1ffb1f20fb94e7af23c490604b5f45"/>
    <w:p>
      <w:pPr>
        <w:pStyle w:val="Heading3"/>
      </w:pPr>
      <w:r>
        <w:t xml:space="preserve">7.2 What one BWRX-300 displaces: Darlington vs Liddell</w:t>
      </w:r>
    </w:p>
    <w:p>
      <w:pPr>
        <w:pStyle w:val="FirstParagraph"/>
      </w:pPr>
      <w:r>
        <w:rPr>
          <w:bCs/>
          <w:b/>
        </w:rPr>
        <w:t xml:space="preserve">At today’s grid factors, a unit at Liddell would avoid about nine times more CO₂e than one at Darlington. Timing closes most of that gap.</w:t>
      </w:r>
      <w:r>
        <w:t xml:space="preserve"> </w:t>
      </w:r>
      <w:r>
        <w:t xml:space="preserve">-</w:t>
      </w:r>
      <w:r>
        <w:t xml:space="preserve"> </w:t>
      </w:r>
      <w:r>
        <w:rPr>
          <w:bCs/>
          <w:b/>
        </w:rPr>
        <w:t xml:space="preserve">NSW:</w:t>
      </w:r>
      <w:r>
        <w:t xml:space="preserve"> </w:t>
      </w:r>
      <w:r>
        <w:t xml:space="preserve">on the NSW grid average of 640 g/kWh (Department of Climate Change, Energy, the Environment and Water, 2025) [TO VERIFY], one unit avoids</w:t>
      </w:r>
      <w:r>
        <w:t xml:space="preserve"> </w:t>
      </w:r>
      <w:r>
        <w:rPr>
          <w:bCs/>
          <w:b/>
        </w:rPr>
        <w:t xml:space="preserve">1.50 Mt a year</w:t>
      </w:r>
      <w:r>
        <w:t xml:space="preserve">.</w:t>
      </w:r>
      <w:r>
        <w:t xml:space="preserve"> </w:t>
      </w:r>
      <w:r>
        <w:t xml:space="preserve">-</w:t>
      </w:r>
      <w:r>
        <w:t xml:space="preserve"> </w:t>
      </w:r>
      <w:r>
        <w:rPr>
          <w:bCs/>
          <w:b/>
        </w:rPr>
        <w:t xml:space="preserve">Ontario, average:</w:t>
      </w:r>
      <w:r>
        <w:t xml:space="preserve"> </w:t>
      </w:r>
      <w:r>
        <w:t xml:space="preserve">on the 2024 average of 73.8 g/kWh (The Atmospheric Fund, 2025) [TO VERIFY], it avoids 0.165 Mt. NSW’s figure is</w:t>
      </w:r>
      <w:r>
        <w:t xml:space="preserve"> </w:t>
      </w:r>
      <w:r>
        <w:rPr>
          <w:bCs/>
          <w:b/>
        </w:rPr>
        <w:t xml:space="preserve">9.1×</w:t>
      </w:r>
      <w:r>
        <w:t xml:space="preserve"> </w:t>
      </w:r>
      <w:r>
        <w:t xml:space="preserve">larger, or 20.6× on Canada Energy Regulator (n.d.) data for 2022.</w:t>
      </w:r>
      <w:r>
        <w:t xml:space="preserve"> </w:t>
      </w:r>
      <w:r>
        <w:t xml:space="preserve">-</w:t>
      </w:r>
      <w:r>
        <w:t xml:space="preserve"> </w:t>
      </w:r>
      <w:r>
        <w:rPr>
          <w:bCs/>
          <w:b/>
        </w:rPr>
        <w:t xml:space="preserve">Ontario, marginal:</w:t>
      </w:r>
      <w:r>
        <w:t xml:space="preserve"> </w:t>
      </w:r>
      <w:r>
        <w:t xml:space="preserve">on the marginal factor of 343 g/kWh (The Atmospheric Fund, 2025) [TO VERIFY definition], Darlington avoids 0.80 Mt and the ratio falls to</w:t>
      </w:r>
      <w:r>
        <w:t xml:space="preserve"> </w:t>
      </w:r>
      <w:r>
        <w:rPr>
          <w:bCs/>
          <w:b/>
        </w:rPr>
        <w:t xml:space="preserve">1.9×</w:t>
      </w:r>
      <w:r>
        <w:t xml:space="preserve">.</w:t>
      </w:r>
    </w:p>
    <w:p>
      <w:pPr>
        <w:pStyle w:val="BodyText"/>
      </w:pPr>
      <w:r>
        <w:rPr>
          <w:bCs/>
          <w:b/>
        </w:rPr>
        <w:t xml:space="preserve">The two plants would not run in the same years.</w:t>
      </w:r>
      <w:r>
        <w:t xml:space="preserve"> </w:t>
      </w:r>
      <w:r>
        <w:t xml:space="preserve">- Darlington Unit 1 runs from 2030 [TODO: Leroy: in-service date].</w:t>
      </w:r>
      <w:r>
        <w:t xml:space="preserve"> </w:t>
      </w:r>
      <w:r>
        <w:t xml:space="preserve">- An Australian unit is unlikely before 2040, CSIRO’s earliest date for nuclear (Graham, Hayward and Foster, 2024) [TO VERIFY that it covers SMRs]. The Coalition claimed 2035 (ABC News, 2024) [TO VERIFY; secondary].</w:t>
      </w:r>
      <w:r>
        <w:t xml:space="preserve"> </w:t>
      </w:r>
      <w:r>
        <w:t xml:space="preserve">- If coal leaves the NEM by 2038, as in AEMO’s Step Change scenario (Australian Energy Market Operator, 2024) [TO VERIFY; secondary], a 2040 unit displaces only a residual mix (30 g/kWh, assumed).</w:t>
      </w:r>
    </w:p>
    <w:p>
      <w:pPr>
        <w:pStyle w:val="BodyText"/>
      </w:pPr>
      <w:r>
        <w:rPr>
          <w:bCs/>
          <w:b/>
        </w:rPr>
        <w:t xml:space="preserve">CO₂e avoided to 2050 (Figure F6):</w:t>
      </w:r>
      <w:r>
        <w:t xml:space="preserve"> </w:t>
      </w:r>
      <w:r>
        <w:t xml:space="preserve">-</w:t>
      </w:r>
      <w:r>
        <w:t xml:space="preserve"> </w:t>
      </w:r>
      <w:r>
        <w:rPr>
          <w:bCs/>
          <w:b/>
        </w:rPr>
        <w:t xml:space="preserve">Darlington Unit 1:</w:t>
      </w:r>
      <w:r>
        <w:t xml:space="preserve"> </w:t>
      </w:r>
      <w:r>
        <w:rPr>
          <w:bCs/>
          <w:b/>
        </w:rPr>
        <w:t xml:space="preserve">1.0–6.8 Mt</w:t>
      </w:r>
      <w:r>
        <w:t xml:space="preserve">, from the average trajectory to the declining marginal factor.</w:t>
      </w:r>
      <w:r>
        <w:t xml:space="preserve"> </w:t>
      </w:r>
      <w:r>
        <w:t xml:space="preserve">-</w:t>
      </w:r>
      <w:r>
        <w:t xml:space="preserve"> </w:t>
      </w:r>
      <w:r>
        <w:rPr>
          <w:bCs/>
          <w:b/>
        </w:rPr>
        <w:t xml:space="preserve">Liddell:</w:t>
      </w:r>
      <w:r>
        <w:t xml:space="preserve"> </w:t>
      </w:r>
      <w:r>
        <w:rPr>
          <w:bCs/>
          <w:b/>
        </w:rPr>
        <w:t xml:space="preserve">0.67–3.9 Mt</w:t>
      </w:r>
      <w:r>
        <w:t xml:space="preserve">, from the Step Change proxy to a slower transition. It reaches 16.5 Mt only if the NEM stays at 640 g/kWh.</w:t>
      </w:r>
      <w:r>
        <w:t xml:space="preserve"> </w:t>
      </w:r>
      <w:r>
        <w:t xml:space="preserve">-</w:t>
      </w:r>
      <w:r>
        <w:t xml:space="preserve"> </w:t>
      </w:r>
      <w:r>
        <w:rPr>
          <w:bCs/>
          <w:b/>
        </w:rPr>
        <w:t xml:space="preserve">Whole life:</w:t>
      </w:r>
      <w:r>
        <w:t xml:space="preserve"> </w:t>
      </w:r>
      <w:r>
        <w:t xml:space="preserve">the two sites are close, at 2.0–7.8 Mt against 3.7–6.8 Mt.</w:t>
      </w:r>
    </w:p>
    <w:p>
      <w:pPr>
        <w:pStyle w:val="BodyText"/>
      </w:pPr>
      <w:r>
        <w:rPr>
          <w:bCs/>
          <w:b/>
        </w:rPr>
        <w:t xml:space="preserve">What moves the results.</w:t>
      </w:r>
      <w:r>
        <w:t xml:space="preserve"> </w:t>
      </w:r>
      <w:r>
        <w:t xml:space="preserve">The grid trajectory, the start year and the post-coal floor move them by an order of magnitude. Capacity factor, net output and our life-cycle interval (3.0–5.8 g/kWh, which gives 630–702 kt) move them by only a few per cent (Appendix B4). Each year Australia takes to change the law, license and build costs 0.19–1.50 Mt per unit to 2050 (§8.1).</w:t>
      </w:r>
    </w:p>
    <w:p>
      <w:pPr>
        <w:pStyle w:val="BodyText"/>
      </w:pPr>
      <w:r>
        <w:rPr>
          <w:bCs/>
          <w:b/>
        </w:rPr>
        <w:t xml:space="preserve">Two caveats.</w:t>
      </w:r>
      <w:r>
        <w:t xml:space="preserve"> </w:t>
      </w:r>
      <w:r>
        <w:t xml:space="preserve">- The grid factors count combustion only, while ours is a life-cycle value, so displacement is slightly understated.</w:t>
      </w:r>
      <w:r>
        <w:t xml:space="preserve"> </w:t>
      </w:r>
      <w:r>
        <w:t xml:space="preserve">- Liddell closed in 2023 (Australian Energy Regulator, 2021) [TO VERIFY closure date]. An SMR there would reuse the site and its grid connection, but it would displace the NEM mix, not Liddell.</w:t>
      </w:r>
    </w:p>
    <w:p>
      <w:pPr>
        <w:pStyle w:val="BodyText"/>
      </w:pPr>
      <w:r>
        <w:rPr>
          <w:bCs/>
          <w:b/>
        </w:rPr>
        <w:t xml:space="preserve">So an SMR’s climate value depends on when it runs and what it displaces, not on today’s coal share.</w:t>
      </w:r>
      <w:r>
        <w:t xml:space="preserve"> </w:t>
      </w:r>
      <w:r>
        <w:t xml:space="preserve">In Ontario the case rests on displacing marginal gas. At Liddell it rests on the NEM decarbonising slowly.</w:t>
      </w:r>
    </w:p>
    <w:p>
      <w:pPr>
        <w:pStyle w:val="BodyText"/>
      </w:pPr>
      <w:r>
        <w:t xml:space="preserve">[Figure F6. CO₂e avoided by one BWRX-300 to 2050 and over its 60-year life: Darlington Unit 1 from 2030 (Ontario average trajectory; marginal, declining; marginal flat as upper bound) against Liddell from 2035 and 2040 (Step Change proxy; slow transition; frozen grid as upper bound). Inset: CO₂e lost per month of delay to one of Units 2–4, against C1’s per-unit saving (1.73 kt). Data series in Tables B17 and B20. | Source: this study, scripts/displacement.py and scripts/schedule_value.py; grid factors The Atmospheric Fund (2025), Department of Climate Change, Energy, the Environment and Water (2025), Independent Electricity System Operator (2024), Australian Energy Market Operator (2024) [TO VERIFY]. | File: TODO: plot script not yet written; draw from results/displacement.md §3 and schedule_value.md §2]</w:t>
      </w:r>
    </w:p>
    <w:bookmarkEnd w:id="35"/>
    <w:bookmarkStart w:id="36" w:name="the-same-money-on-firmed-renewables"/>
    <w:p>
      <w:pPr>
        <w:pStyle w:val="Heading3"/>
      </w:pPr>
      <w:r>
        <w:t xml:space="preserve">7.3 The same money on firmed renewables</w:t>
      </w:r>
    </w:p>
    <w:p>
      <w:pPr>
        <w:pStyle w:val="FirstParagraph"/>
      </w:pPr>
      <w:r>
        <w:rPr>
          <w:bCs/>
          <w:b/>
        </w:rPr>
        <w:t xml:space="preserve">At GenCost’s 2030 costs, the money for one SMR unit would buy about 2.9 times as much energy from firmed renewables, which would avoid about 11 times more CO₂e to 2050 at Liddell.</w:t>
      </w:r>
    </w:p>
    <w:p>
      <w:pPr>
        <w:pStyle w:val="BodyText"/>
      </w:pPr>
      <w:r>
        <w:rPr>
          <w:bCs/>
          <w:b/>
        </w:rPr>
        <w:t xml:space="preserve">Full cost.</w:t>
      </w:r>
      <w:r>
        <w:t xml:space="preserve"> </w:t>
      </w:r>
      <w:r>
        <w:t xml:space="preserve">GenCost 2023-24 gives A$230–382/MWh for an SMR in 2030, against A$89–125 for solar and wind with integration costs (Graham, Hayward and Foster, 2024, as reported) [TO VERIFY: GenCost table/year]. At the midpoints, the same spend buys</w:t>
      </w:r>
      <w:r>
        <w:t xml:space="preserve"> </w:t>
      </w:r>
      <w:r>
        <w:rPr>
          <w:bCs/>
          <w:b/>
        </w:rPr>
        <w:t xml:space="preserve">2.9×</w:t>
      </w:r>
      <w:r>
        <w:t xml:space="preserve"> </w:t>
      </w:r>
      <w:r>
        <w:t xml:space="preserve">the energy (Figure F7). Suppose the renewables start in 2028 [assumption] and the SMR in 2040, on the slower trajectory. The renewables then avoid</w:t>
      </w:r>
      <w:r>
        <w:t xml:space="preserve"> </w:t>
      </w:r>
      <w:r>
        <w:rPr>
          <w:bCs/>
          <w:b/>
        </w:rPr>
        <w:t xml:space="preserve">10.9×</w:t>
      </w:r>
      <w:r>
        <w:t xml:space="preserve"> </w:t>
      </w:r>
      <w:r>
        <w:t xml:space="preserve">more CO₂e to 2050, and still 5.7× more in the worst case we tested for them (SMR A$230 against renewables A$153 [assumption]), or 4.9× if the SMR also costs only A$198 (Table B28).</w:t>
      </w:r>
    </w:p>
    <w:p>
      <w:pPr>
        <w:pStyle w:val="BodyText"/>
      </w:pPr>
      <w:r>
        <w:rPr>
          <w:bCs/>
          <w:b/>
        </w:rPr>
        <w:t xml:space="preserve">Alternative reading.</w:t>
      </w:r>
      <w:r>
        <w:t xml:space="preserve"> </w:t>
      </w:r>
      <w:r>
        <w:t xml:space="preserve">We read A$387–641 as GenCost’s 2023 value. If it is the 2030 value instead, the ratios are 5.0× and 19.1× (9.3–45.8× across cases). The conclusion holds either way. GenCost 2025-26 still ranks SMRs as the highest-cost option (Graham and Hayward, 2026) [TODO: its SMR and firmed-renewables values].</w:t>
      </w:r>
    </w:p>
    <w:p>
      <w:pPr>
        <w:pStyle w:val="BodyText"/>
      </w:pPr>
      <w:r>
        <w:rPr>
          <w:bCs/>
          <w:b/>
        </w:rPr>
        <w:t xml:space="preserve">Capital cost alone.</w:t>
      </w:r>
      <w:r>
        <w:t xml:space="preserve"> </w:t>
      </w:r>
      <w:r>
        <w:t xml:space="preserve">Darlington’s C$20.9 bn (Ontario Power Generation, 2025) is about A$23.4 bn (Reserve Bank of Australia, 2025) [TO VERIFY]. At 7% over 30 years that capital alone costs A$199/MWh. That is already enough to buy 1.9–2.7× the energy from renewables at about A$107/MWh (Graham, Hayward and Foster, 2024) [TO VERIFY].</w:t>
      </w:r>
    </w:p>
    <w:p>
      <w:pPr>
        <w:pStyle w:val="BodyText"/>
      </w:pPr>
      <w:r>
        <w:rPr>
          <w:bCs/>
          <w:b/>
        </w:rPr>
        <w:t xml:space="preserve">Check against our own costing.</w:t>
      </w:r>
      <w:r>
        <w:t xml:space="preserve"> </w:t>
      </w:r>
      <w:r>
        <w:t xml:space="preserve">Our full Darlington cost of A$221/MWh at 7% real sits just below GenCost’s 2030 range, plausibly because four units share infrastructure. It matches OPG’s reported C$149/MWh at a 4.9% discount rate (§8.2).</w:t>
      </w:r>
    </w:p>
    <w:p>
      <w:pPr>
        <w:pStyle w:val="BodyText"/>
      </w:pPr>
      <w:r>
        <w:rPr>
          <w:bCs/>
          <w:b/>
        </w:rPr>
        <w:t xml:space="preserve">Why renewables come out ahead.</w:t>
      </w:r>
      <w:r>
        <w:t xml:space="preserve"> </w:t>
      </w:r>
      <w:r>
        <w:t xml:space="preserve">They are cheaper per MWh and start about a decade earlier. Two limits apply: that much new renewable output would itself shift the grid trajectory, and integration costs rise beyond the renewable shares GenCost models. The Ontario rows use Australian costs and are indicative only (Appendix B6).</w:t>
      </w:r>
      <w:r>
        <w:t xml:space="preserve"> </w:t>
      </w:r>
      <w:r>
        <w:rPr>
          <w:bCs/>
          <w:b/>
        </w:rPr>
        <w:t xml:space="preserve">On carbon per dollar, an SMR at Liddell loses.</w:t>
      </w:r>
      <w:r>
        <w:t xml:space="preserve"> </w:t>
      </w:r>
      <w:r>
        <w:t xml:space="preserve">Its case has to rest on firm supply, land use, system security and a hedge against renewables or transmission falling behind, and §9 weighs these.</w:t>
      </w:r>
    </w:p>
    <w:p>
      <w:pPr>
        <w:pStyle w:val="BodyText"/>
      </w:pPr>
      <w:r>
        <w:t xml:space="preserve">[Figure F7. Same money, Liddell: firmed renewables (from 2028) against one SMR unit (from 2040, slower transition), as the ratio of energy bought and of CO₂e avoided to 2050 under four cost cases: GenCost 2023-24 2030 midpoints (SMR A$306, renewables A$107: 2.9× / 10.9×); worst case for renewables (A$230 / A$153: 1.5× / 5.7×); the alternative reading (A$514 / A$102: 5.0× / 19.1×); the lowest SMR lead tested (A$198 / A$153: 1.3× / 4.9×). Data in Table B28. | Source: this study, scripts/same_money.py; costs Graham, Hayward and Foster (2024; 2025) and Kim and Macfarlane (2026) [TO VERIFY: GenCost table/year]. | File: TODO: plot script not yet written; draw from results/same_money.md §5]</w:t>
      </w:r>
    </w:p>
    <w:bookmarkEnd w:id="36"/>
    <w:bookmarkStart w:id="37" w:name="what-this-means-for-the-initiative"/>
    <w:p>
      <w:pPr>
        <w:pStyle w:val="Heading3"/>
      </w:pPr>
      <w:r>
        <w:t xml:space="preserve">7.4 What this means for the initiative</w:t>
      </w:r>
    </w:p>
    <w:p>
      <w:pPr>
        <w:pStyle w:val="FirstParagraph"/>
      </w:pPr>
      <w:r>
        <w:t xml:space="preserve">C1 changes neither where an SMR is worth building nor what it displaces, and its value depends entirely on not delaying the plant. It gives §9 three inputs:</w:t>
      </w:r>
      <w:r>
        <w:t xml:space="preserve"> </w:t>
      </w:r>
      <w:r>
        <w:t xml:space="preserve">-</w:t>
      </w:r>
      <w:r>
        <w:t xml:space="preserve"> </w:t>
      </w:r>
      <w:r>
        <w:rPr>
          <w:bCs/>
          <w:b/>
        </w:rPr>
        <w:t xml:space="preserve">Environment:</w:t>
      </w:r>
      <w:r>
        <w:t xml:space="preserve"> </w:t>
      </w:r>
      <w:r>
        <w:t xml:space="preserve">“</w:t>
      </w:r>
      <w:r>
        <w:t xml:space="preserve">SMR + C1</w:t>
      </w:r>
      <w:r>
        <w:t xml:space="preserve">”</w:t>
      </w:r>
      <w:r>
        <w:t xml:space="preserve"> </w:t>
      </w:r>
      <w:r>
        <w:t xml:space="preserve">differs from</w:t>
      </w:r>
      <w:r>
        <w:t xml:space="preserve"> </w:t>
      </w:r>
      <w:r>
        <w:t xml:space="preserve">“</w:t>
      </w:r>
      <w:r>
        <w:t xml:space="preserve">SMR</w:t>
      </w:r>
      <w:r>
        <w:t xml:space="preserve">”</w:t>
      </w:r>
      <w:r>
        <w:t xml:space="preserve"> </w:t>
      </w:r>
      <w:r>
        <w:t xml:space="preserve">by about 0.3%.</w:t>
      </w:r>
      <w:r>
        <w:t xml:space="preserve"> </w:t>
      </w:r>
      <w:r>
        <w:t xml:space="preserve">-</w:t>
      </w:r>
      <w:r>
        <w:t xml:space="preserve"> </w:t>
      </w:r>
      <w:r>
        <w:rPr>
          <w:bCs/>
          <w:b/>
        </w:rPr>
        <w:t xml:space="preserve">Economy:</w:t>
      </w:r>
      <w:r>
        <w:t xml:space="preserve"> </w:t>
      </w:r>
      <w:r>
        <w:t xml:space="preserve">C1 is worth C$0.49–0.60 m, against C$33–110 m for each month of delay.</w:t>
      </w:r>
      <w:r>
        <w:t xml:space="preserve"> </w:t>
      </w:r>
      <w:r>
        <w:t xml:space="preserve">-</w:t>
      </w:r>
      <w:r>
        <w:t xml:space="preserve"> </w:t>
      </w:r>
      <w:r>
        <w:rPr>
          <w:bCs/>
          <w:b/>
        </w:rPr>
        <w:t xml:space="preserve">Feasibility:</w:t>
      </w:r>
      <w:r>
        <w:t xml:space="preserve"> </w:t>
      </w:r>
      <w:r>
        <w:t xml:space="preserve">C1 stands or falls on schedule neutrality.</w:t>
      </w:r>
    </w:p>
    <w:p>
      <w:r>
        <w:pict>
          <v:rect style="width:0;height:1.5pt" o:hralign="center" o:hrstd="t" o:hr="t"/>
        </w:pict>
      </w:r>
    </w:p>
    <w:bookmarkEnd w:id="37"/>
    <w:bookmarkEnd w:id="38"/>
    <w:bookmarkStart w:id="39" w:name="law-regulation-and-licensing"/>
    <w:p>
      <w:pPr>
        <w:pStyle w:val="Heading2"/>
      </w:pPr>
      <w:r>
        <w:t xml:space="preserve">8.1 Law, regulation and licensing</w:t>
      </w:r>
    </w:p>
    <w:p>
      <w:pPr>
        <w:pStyle w:val="FirstParagraph"/>
      </w:pPr>
      <w:r>
        <w:t xml:space="preserve">Law is where Darlington and Liddell differ most. At Darlington, C1 starts with LC³ in eligible non-safety concrete, and extends to the steel-composite infill only if the mix is qualified and accepted as a design change before Units 2–4 are approved to proceed, a milestone expected in 2028 (American Nuclear Society, 2026) [TO VERIFY]. At Liddell, three laws and the site owner stand in the way, and on current party positions none of the laws will be repealed in this Parliament (Table T7).</w:t>
      </w:r>
    </w:p>
    <w:p>
      <w:pPr>
        <w:pStyle w:val="BodyText"/>
      </w:pPr>
      <w:r>
        <w:rPr>
          <w:bCs/>
          <w:b/>
        </w:rPr>
        <w:t xml:space="preserve">Australia.</w:t>
      </w:r>
      <w:r>
        <w:t xml:space="preserve"> </w:t>
      </w:r>
      <w:r>
        <w:t xml:space="preserve">Federal repeal fails in the Senate whatever the crossbench does, while Labor and the Greens oppose (36 votes at most against 39 needed; Appendix B1.2) [TO VERIFY at aph.gov.au]. The Coalition’s pledge to</w:t>
      </w:r>
      <w:r>
        <w:t xml:space="preserve"> </w:t>
      </w:r>
      <w:r>
        <w:t xml:space="preserve">“</w:t>
      </w:r>
      <w:r>
        <w:t xml:space="preserve">repeal all legislative prohibitions</w:t>
      </w:r>
      <w:r>
        <w:t xml:space="preserve">”</w:t>
      </w:r>
      <w:r>
        <w:t xml:space="preserve"> </w:t>
      </w:r>
      <w:r>
        <w:t xml:space="preserve">therefore cannot pass unless Labor or the Greens change position (ABC News, 2026; Liberal Party of Australia, 2026) [TO VERIFY]. Repeal would not be enough either. ARPANSA, the federal radiation regulator, licenses only Commonwealth-controlled bodies (ARPANS Act s 13; ARPANSA, n.d.) [TO VERIFY], so a privately owned SMR at Liddell would remain a criminal offence under NSW s 8. Only a Commonwealth-owned operator might fit the s 8(3) exemption that covers ANSTO [TO VERIFY: whether it extends to a power reactor].</w:t>
      </w:r>
    </w:p>
    <w:p>
      <w:pPr>
        <w:pStyle w:val="BodyText"/>
      </w:pPr>
      <w:r>
        <w:rPr>
          <w:bCs/>
          <w:b/>
        </w:rPr>
        <w:t xml:space="preserve">Canada.</w:t>
      </w:r>
      <w:r>
        <w:t xml:space="preserve"> </w:t>
      </w:r>
      <w:r>
        <w:t xml:space="preserve">Even at a licensed site, the licence to construct one BWRX-300 took about 29 months, 3 months under the CNSC’s expected 32 (Canadian Nuclear Safety Commission [CNSC], 2022; 2025; 2026a) [TO VERIFY: the extract also reads 24 months, which would make it 5 months slower]. It covers one unit, so Units 2–4 need a further Commission authorisation, and C1 would be reviewed inside it (our inference) [TO VERIFY with the CNSC]. The cement standard already allows calcined-clay blends with up to 15% limestone (CSA Group, 2023; Hooton, 2023) [TO VERIFY]. The infill, though, is governed by GE-Hitachi’s topical report NEDO-33926 (self-consolidating concrete, strength per draft AISC N690, not CSA N287), which the CNSC and US NRC jointly reviewed and found acceptable (GE-Hitachi Nuclear Energy, 2024; US Nuclear Regulatory Commission and CNSC, 2025) [TO VERIFY]. Whether it limits cement type is not yet known [TO VERIFY: NEDO-33926 §6.2.1], and we found no nuclear precedent for calcined-clay infill: that is C1’s real licensing risk.</w:t>
      </w:r>
    </w:p>
    <w:p>
      <w:pPr>
        <w:pStyle w:val="BodyText"/>
      </w:pPr>
      <w:r>
        <w:rPr>
          <w:bCs/>
          <w:b/>
        </w:rPr>
        <w:t xml:space="preserve">Translation to practice.</w:t>
      </w:r>
      <w:r>
        <w:t xml:space="preserve"> </w:t>
      </w:r>
      <w:r>
        <w:t xml:space="preserve">The non-safety pilot needs no new nuclear qualification, so it can start with the next procurement round (§8.6). The infill is the conditional step. Mix development, a full-scale mock-up and design-change acceptance take about 18–24 months (our planning assumption; route brief §6), so qualification must start in 2027, during Unit 1 construction, and stay off the critical path. A delay of 9–15 days (Ontario’s average grid factor) or 1.3–1.4 days (marginal factor) to one of Units 2–4 cancels that unit’s saving (§6.3; §7) [re-check after the §6 re-base]; slag (S1) is the fallback (§8.6).</w:t>
      </w:r>
    </w:p>
    <w:p>
      <w:pPr>
        <w:pStyle w:val="BodyText"/>
      </w:pPr>
      <w:r>
        <w:rPr>
          <w:iCs/>
          <w:i/>
        </w:rPr>
        <w:t xml:space="preserve">Table T7. Legal barriers to an SMR at Liddell, what would remove each, and the Darlington equivalent.</w:t>
      </w:r>
      <w:r>
        <w:t xml:space="preserve"> </w:t>
      </w:r>
      <w:r>
        <w:rPr>
          <w:iCs/>
          <w:i/>
        </w:rPr>
        <w:t xml:space="preserve">Source: legislation as named; ARPANSA (n.d.); CNSC (2021; 2022; 2025; 2026a); Government of Ontario (2025); Ontario Power Generation (2025); Parliament of Australia (2026); Parliament of New South Wales (2025–26; 2026); Minister for Defence (2025); Newcastle Herald (2024); Senate arithmetic and licensing durations in Appendix B1; routes A–C scored in Appendix B3.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Barrier</w:t>
            </w:r>
          </w:p>
        </w:tc>
        <w:tc>
          <w:tcPr/>
          <w:p>
            <w:pPr>
              <w:pStyle w:val="Compact"/>
              <w:jc w:val="left"/>
            </w:pPr>
            <w:r>
              <w:t xml:space="preserve">Liddell (NSW)</w:t>
            </w:r>
          </w:p>
        </w:tc>
        <w:tc>
          <w:tcPr/>
          <w:p>
            <w:pPr>
              <w:pStyle w:val="Compact"/>
              <w:jc w:val="left"/>
            </w:pPr>
            <w:r>
              <w:t xml:space="preserve">What removes it; who holds the veto</w:t>
            </w:r>
          </w:p>
        </w:tc>
        <w:tc>
          <w:tcPr/>
          <w:p>
            <w:pPr>
              <w:pStyle w:val="Compact"/>
              <w:jc w:val="left"/>
            </w:pPr>
            <w:r>
              <w:t xml:space="preserve">Status, October 2026</w:t>
            </w:r>
          </w:p>
        </w:tc>
        <w:tc>
          <w:tcPr/>
          <w:p>
            <w:pPr>
              <w:pStyle w:val="Compact"/>
              <w:jc w:val="left"/>
            </w:pPr>
            <w:r>
              <w:t xml:space="preserve">Darlington (Ontario)</w:t>
            </w:r>
          </w:p>
        </w:tc>
      </w:tr>
      <w:tr>
        <w:tc>
          <w:tcPr/>
          <w:p>
            <w:pPr>
              <w:pStyle w:val="Compact"/>
              <w:jc w:val="left"/>
            </w:pPr>
            <w:r>
              <w:t xml:space="preserve">Federal environmental approval</w:t>
            </w:r>
          </w:p>
        </w:tc>
        <w:tc>
          <w:tcPr/>
          <w:p>
            <w:pPr>
              <w:pStyle w:val="Compact"/>
              <w:jc w:val="left"/>
            </w:pPr>
            <w:r>
              <w:rPr>
                <w:iCs/>
                <w:i/>
              </w:rPr>
              <w:t xml:space="preserve">Environment Protection and Biodiversity Conservation Act 1999</w:t>
            </w:r>
            <w:r>
              <w:t xml:space="preserve"> </w:t>
            </w:r>
            <w:r>
              <w:t xml:space="preserve">(Cth) s 140A (also ss 37J, 146M): the Minister</w:t>
            </w:r>
            <w:r>
              <w:t xml:space="preserve"> </w:t>
            </w:r>
            <w:r>
              <w:t xml:space="preserve">“</w:t>
            </w:r>
            <w:r>
              <w:t xml:space="preserve">must not approve</w:t>
            </w:r>
            <w:r>
              <w:t xml:space="preserve">”</w:t>
            </w:r>
            <w:r>
              <w:t xml:space="preserve"> </w:t>
            </w:r>
            <w:r>
              <w:t xml:space="preserve">a nuclear power plant [TO VERIFY]</w:t>
            </w:r>
          </w:p>
        </w:tc>
        <w:tc>
          <w:tcPr/>
          <w:p>
            <w:pPr>
              <w:pStyle w:val="Compact"/>
              <w:jc w:val="left"/>
            </w:pPr>
            <w:r>
              <w:t xml:space="preserve">Amendment by the Commonwealth Parliament. Senate (as at 14 May 2026): 39 needed; at most 36 in favour; Labor and the Greens opposed (Appendix B1.2; Parliament of Australia, 2026; Bowen, 2025; Australian Greens, 2025) [TO VERIFY at aph.gov.au]</w:t>
            </w:r>
          </w:p>
        </w:tc>
        <w:tc>
          <w:tcPr/>
          <w:p>
            <w:pPr>
              <w:pStyle w:val="Compact"/>
              <w:jc w:val="left"/>
            </w:pPr>
            <w:r>
              <w:t xml:space="preserve">In force. Whether the 2025 EPBC reforms changed s 140A has not been checked (Norton Rose Fulbright, 2025) [TO VERIFY]</w:t>
            </w:r>
          </w:p>
        </w:tc>
        <w:tc>
          <w:tcPr/>
          <w:p>
            <w:pPr>
              <w:pStyle w:val="Compact"/>
              <w:jc w:val="left"/>
            </w:pPr>
            <w:r>
              <w:t xml:space="preserve">Environmental assessment from May 2007; site licence 2012, renewed to 2031; 17.9 years elapsed (not continuous review) to the licence to construct (CNSC, 2021; 2026a) [TO VERIFY]</w:t>
            </w:r>
          </w:p>
        </w:tc>
      </w:tr>
      <w:tr>
        <w:tc>
          <w:tcPr/>
          <w:p>
            <w:pPr>
              <w:pStyle w:val="Compact"/>
              <w:jc w:val="left"/>
            </w:pPr>
            <w:r>
              <w:t xml:space="preserve">Federal radiation licensing</w:t>
            </w:r>
          </w:p>
        </w:tc>
        <w:tc>
          <w:tcPr/>
          <w:p>
            <w:pPr>
              <w:pStyle w:val="Compact"/>
              <w:jc w:val="left"/>
            </w:pPr>
            <w:r>
              <w:rPr>
                <w:iCs/>
                <w:i/>
              </w:rPr>
              <w:t xml:space="preserve">Australian Radiation Protection and Nuclear Safety Act 1998</w:t>
            </w:r>
            <w:r>
              <w:t xml:space="preserve"> </w:t>
            </w:r>
            <w:r>
              <w:t xml:space="preserve">(Cth) s 10: the CEO</w:t>
            </w:r>
            <w:r>
              <w:t xml:space="preserve"> </w:t>
            </w:r>
            <w:r>
              <w:t xml:space="preserve">“</w:t>
            </w:r>
            <w:r>
              <w:t xml:space="preserve">must not issue a licence</w:t>
            </w:r>
            <w:r>
              <w:t xml:space="preserve">”</w:t>
            </w:r>
            <w:r>
              <w:t xml:space="preserve"> </w:t>
            </w:r>
            <w:r>
              <w:t xml:space="preserve">for one [TO VERIFY]</w:t>
            </w:r>
          </w:p>
        </w:tc>
        <w:tc>
          <w:tcPr/>
          <w:p>
            <w:pPr>
              <w:pStyle w:val="Compact"/>
              <w:jc w:val="left"/>
            </w:pPr>
            <w:r>
              <w:t xml:space="preserve">Repeal of s 10. Senate as above</w:t>
            </w:r>
          </w:p>
        </w:tc>
        <w:tc>
          <w:tcPr/>
          <w:p>
            <w:pPr>
              <w:pStyle w:val="Compact"/>
              <w:jc w:val="left"/>
            </w:pPr>
            <w:r>
              <w:t xml:space="preserve">In force. The committee recommended that the 2022 repeal bill not be passed (Senate Environment and Communications Legislation Committee, 2023) [TO VERIFY]; the bill lapsed at prorogation [TODO: source needed: the bill’s ParlInfo page]</w:t>
            </w:r>
          </w:p>
        </w:tc>
        <w:tc>
          <w:tcPr/>
          <w:p>
            <w:pPr>
              <w:pStyle w:val="Compact"/>
              <w:jc w:val="left"/>
            </w:pPr>
            <w:r>
              <w:t xml:space="preserve">CNSC licence to construct one unit: about 29 months (October 2022 to 4 April 2025) against the CNSC’s expected 32 months; valid to 31 March 2035 (CNSC, 2022; 2025; 2026a) [TO VERIFY: 32 months is from an ambiguous extract]</w:t>
            </w:r>
          </w:p>
        </w:tc>
      </w:tr>
      <w:tr>
        <w:tc>
          <w:tcPr/>
          <w:p>
            <w:pPr>
              <w:pStyle w:val="Compact"/>
              <w:jc w:val="left"/>
            </w:pPr>
            <w:r>
              <w:t xml:space="preserve">Regulator for a private power reactor</w:t>
            </w:r>
          </w:p>
        </w:tc>
        <w:tc>
          <w:tcPr/>
          <w:p>
            <w:pPr>
              <w:pStyle w:val="Compact"/>
              <w:jc w:val="left"/>
            </w:pPr>
            <w:r>
              <w:t xml:space="preserve">None. ARPANSA licenses only Commonwealth-controlled bodies (ARPANS Act s 13; ARPANSA, n.d.) [TO VERIFY]; NSW has no nuclear regulator</w:t>
            </w:r>
          </w:p>
        </w:tc>
        <w:tc>
          <w:tcPr/>
          <w:p>
            <w:pPr>
              <w:pStyle w:val="Compact"/>
              <w:jc w:val="left"/>
            </w:pPr>
            <w:r>
              <w:t xml:space="preserve">One of three routes (Appendix B3): a Commonwealth-owned plant under ARPANSA (the Coalition’s 2024 model; ABC News, 2024 [TODO: replace with the Coalition’s release]); a federal regulator for private operators; or a NSW regulator. An independent regulator is needed early in the programme (International Atomic Energy Agency, 2015) [TO VERIFY edition]</w:t>
            </w:r>
          </w:p>
        </w:tc>
        <w:tc>
          <w:tcPr/>
          <w:p>
            <w:pPr>
              <w:pStyle w:val="Compact"/>
              <w:jc w:val="left"/>
            </w:pPr>
            <w:r>
              <w:t xml:space="preserve">No such regulator. Precedent: the naval nuclear regulator (ANNPSR) began operating on 1 November 2025, about two years after its bill, but covers submarines only (Minister for Defence, 2025; Parliamentary Library, 2023) [TO VERIFY: bill introduction date]</w:t>
            </w:r>
          </w:p>
        </w:tc>
        <w:tc>
          <w:tcPr/>
          <w:p>
            <w:pPr>
              <w:pStyle w:val="Compact"/>
              <w:jc w:val="left"/>
            </w:pPr>
            <w:r>
              <w:t xml:space="preserve">The CNSC is an established regulator. Units 2–4 need a further Commission authorisation (our inference) [TO VERIFY]</w:t>
            </w:r>
          </w:p>
        </w:tc>
      </w:tr>
      <w:tr>
        <w:tc>
          <w:tcPr/>
          <w:p>
            <w:pPr>
              <w:pStyle w:val="Compact"/>
              <w:jc w:val="left"/>
            </w:pPr>
            <w:r>
              <w:t xml:space="preserve">State ban</w:t>
            </w:r>
          </w:p>
        </w:tc>
        <w:tc>
          <w:tcPr/>
          <w:p>
            <w:pPr>
              <w:pStyle w:val="Compact"/>
              <w:jc w:val="left"/>
            </w:pPr>
            <w:r>
              <w:rPr>
                <w:iCs/>
                <w:i/>
              </w:rPr>
              <w:t xml:space="preserve">Uranium Mining and Nuclear Facilities (Prohibitions) Act 1986</w:t>
            </w:r>
            <w:r>
              <w:t xml:space="preserve"> </w:t>
            </w:r>
            <w:r>
              <w:t xml:space="preserve">(NSW) s 8: building or operating a nuclear reactor is an offence, except for the Commonwealth’s AAEC successors (ANSTO) and the other s 8(3) exceptions; s 9: other Acts do not authorise a state authority to build or approve one [TO VERIFY]</w:t>
            </w:r>
          </w:p>
        </w:tc>
        <w:tc>
          <w:tcPr/>
          <w:p>
            <w:pPr>
              <w:pStyle w:val="Compact"/>
              <w:jc w:val="left"/>
            </w:pPr>
            <w:r>
              <w:t xml:space="preserve">NSW repeal, or a Commonwealth override under Constitution s 109 [TODO: from Q3: Constitution entry in sources.md], which Partlett warns could face a High Court challenge (Canberra Times, 2025) [TO VERIFY: date]</w:t>
            </w:r>
          </w:p>
        </w:tc>
        <w:tc>
          <w:tcPr/>
          <w:p>
            <w:pPr>
              <w:pStyle w:val="Compact"/>
              <w:jc w:val="left"/>
            </w:pPr>
            <w:r>
              <w:t xml:space="preserve">The repeal bill passed the Legislative Council on 6 May 2026, has stalled in the Assembly, and lapses on 28 November 2026 (Parliament of New South Wales, 2025–26; 2026) [TO VERIFY]</w:t>
            </w:r>
          </w:p>
        </w:tc>
        <w:tc>
          <w:tcPr/>
          <w:p>
            <w:pPr>
              <w:pStyle w:val="Compact"/>
              <w:jc w:val="left"/>
            </w:pPr>
            <w:r>
              <w:t xml:space="preserve">Ontario approved construction of Unit 1 on 8 May 2025; C$20.9 bn is the budget for all four units (Government of Ontario, 2025; Ontario Power Generation, 2025) [TO VERIFY]</w:t>
            </w:r>
          </w:p>
        </w:tc>
      </w:tr>
      <w:tr>
        <w:tc>
          <w:tcPr/>
          <w:p>
            <w:pPr>
              <w:pStyle w:val="Compact"/>
              <w:jc w:val="left"/>
            </w:pPr>
            <w:r>
              <w:t xml:space="preserve">Site</w:t>
            </w:r>
          </w:p>
        </w:tc>
        <w:tc>
          <w:tcPr/>
          <w:p>
            <w:pPr>
              <w:pStyle w:val="Compact"/>
              <w:jc w:val="left"/>
            </w:pPr>
            <w:r>
              <w:t xml:space="preserve">AGL owns Liddell, has ruled out nuclear there, and has a battery project on the site (Newcastle Herald, 2024) [TO VERIFY: battery status, October 2026; primary needed]</w:t>
            </w:r>
          </w:p>
        </w:tc>
        <w:tc>
          <w:tcPr/>
          <w:p>
            <w:pPr>
              <w:pStyle w:val="Compact"/>
              <w:jc w:val="left"/>
            </w:pPr>
            <w:r>
              <w:t xml:space="preserve">AGL’s consent, or compulsory acquisition by the Commonwealth</w:t>
            </w:r>
          </w:p>
        </w:tc>
        <w:tc>
          <w:tcPr/>
          <w:p>
            <w:pPr>
              <w:pStyle w:val="Compact"/>
              <w:jc w:val="left"/>
            </w:pPr>
            <w:r>
              <w:t xml:space="preserve">AGL opposed</w:t>
            </w:r>
          </w:p>
        </w:tc>
        <w:tc>
          <w:tcPr/>
          <w:p>
            <w:pPr>
              <w:pStyle w:val="Compact"/>
              <w:jc w:val="left"/>
            </w:pPr>
            <w:r>
              <w:t xml:space="preserve">OPG holds the site licence (CNSC, 2021) [TO VERIFY]</w:t>
            </w:r>
          </w:p>
        </w:tc>
      </w:tr>
      <w:tr>
        <w:tc>
          <w:tcPr/>
          <w:p>
            <w:pPr>
              <w:pStyle w:val="Compact"/>
              <w:jc w:val="left"/>
            </w:pPr>
            <w:r>
              <w:rPr>
                <w:bCs/>
                <w:b/>
              </w:rPr>
              <w:t xml:space="preserve">Earliest legal start</w:t>
            </w:r>
          </w:p>
        </w:tc>
        <w:tc>
          <w:tcPr/>
          <w:p>
            <w:pPr>
              <w:pStyle w:val="Compact"/>
              <w:jc w:val="left"/>
            </w:pPr>
            <w:r>
              <w:rPr>
                <w:bCs/>
                <w:b/>
              </w:rPr>
              <w:t xml:space="preserve">None in this Parliament.</w:t>
            </w:r>
            <w:r>
              <w:t xml:space="preserve"> </w:t>
            </w:r>
            <w:r>
              <w:t xml:space="preserve">Coalition 2024 target: 2035 (SMR); CSIRO: 2040 at the earliest (ABC News, 2024; Graham, Hayward and Foster, 2024) [TO VERIFY]</w:t>
            </w:r>
          </w:p>
        </w:tc>
        <w:tc>
          <w:tcPr/>
          <w:p>
            <w:pPr>
              <w:pStyle w:val="Compact"/>
              <w:jc w:val="left"/>
            </w:pPr>
            <w:r>
              <w:t xml:space="preserve">Every row above, each with a different veto holder: the Senate, the NSW Assembly, AGL</w:t>
            </w:r>
          </w:p>
        </w:tc>
        <w:tc>
          <w:tcPr/>
          <w:p>
            <w:pPr>
              <w:pStyle w:val="Compact"/>
              <w:jc w:val="left"/>
            </w:pPr>
            <w:r>
              <w:t xml:space="preserve">No row is resolved</w:t>
            </w:r>
          </w:p>
        </w:tc>
        <w:tc>
          <w:tcPr/>
          <w:p>
            <w:pPr>
              <w:pStyle w:val="Compact"/>
              <w:jc w:val="left"/>
            </w:pPr>
            <w:r>
              <w:t xml:space="preserve">Unit 1 licensed April 2025; approval to progress Units 2–4 expected in 2028 (CNSC, 2025; American Nuclear Society, 2026) [TO VERIFY]</w:t>
            </w:r>
          </w:p>
        </w:tc>
      </w:tr>
    </w:tbl>
    <w:p>
      <w:r>
        <w:pict>
          <v:rect style="width:0;height:1.5pt" o:hralign="center" o:hrstd="t" o:hr="t"/>
        </w:pict>
      </w:r>
    </w:p>
    <w:bookmarkEnd w:id="39"/>
    <w:bookmarkStart w:id="40" w:name="economics-finance-and-market-barriers"/>
    <w:p>
      <w:pPr>
        <w:pStyle w:val="Heading2"/>
      </w:pPr>
      <w:r>
        <w:t xml:space="preserve">8.2 Economics, finance and market barriers</w:t>
      </w:r>
    </w:p>
    <w:p>
      <w:pPr>
        <w:pStyle w:val="FirstParagraph"/>
      </w:pPr>
      <w:r>
        <w:t xml:space="preserve">An SMR’s cost is mostly capital, so whoever finances it sets its price and decides who can build one at all. C1 is the opposite case: it costs almost nothing, but no one is paid for the carbon it saves.</w:t>
      </w:r>
    </w:p>
    <w:p>
      <w:pPr>
        <w:pStyle w:val="BodyText"/>
      </w:pPr>
      <w:r>
        <w:rPr>
          <w:bCs/>
          <w:b/>
        </w:rPr>
        <w:t xml:space="preserve">Cost.</w:t>
      </w:r>
      <w:r>
        <w:t xml:space="preserve"> </w:t>
      </w:r>
      <w:r>
        <w:t xml:space="preserve">Darlington’s C$20.9 bn budget for four 300 MWe units (Ontario Power Generation, 2025) [TO VERIFY] gives a levelised cost of electricity (LCOE: the constant price that repays every cost over the plant’s life) of C$198/MWh at a 7% real discount rate, and C$112–280/MWh between 3% and 10% (Table T10). Capital is 65–86% of it, so finance terms matter as much as engineering. OPG’s own C$149/MWh implies a 4.9% rate, the cost of capital of a regulated Crown utility, which no merchant developer could match. Our 7% value, A$221/MWh, sits just below GenCost’s 2030 SMR range of A$230–382 (Graham, Hayward and Foster, 2024) [TO VERIFY: GenCost table/year], plausibly because Darlington’s four units share infrastructure while GenCost prices one Australian unit [TO VERIFY]. The agreement is not independent, because GenCost’s current edition bases its SMR capital cost on Darlington itself (Graham and Hayward, 2026) [TO VERIFY]. On either reading of GenCost, firmed renewables are cheaper: in 2030 an SMR costs about 2.9 times as much per MWh, or 5.0 times if A$387–641, the range we first used, is GenCost’s 2030 value rather than its 2023 one (§7).</w:t>
      </w:r>
    </w:p>
    <w:p>
      <w:pPr>
        <w:pStyle w:val="BodyText"/>
      </w:pPr>
      <w:r>
        <w:rPr>
          <w:bCs/>
          <w:b/>
        </w:rPr>
        <w:t xml:space="preserve">Risk and finance.</w:t>
      </w:r>
      <w:r>
        <w:t xml:space="preserve"> </w:t>
      </w:r>
      <w:r>
        <w:t xml:space="preserve">NuScale’s project in Idaho shows what happens when buyers carry the overrun risk: its price rose about 35% in real terms even after federal tax credits, the Utah municipal utilities meant to buy the power did not subscribe, and it was cancelled in 2023 (Table T10). Darlington avoids this with a single Crown owner and a regulated rate base. Public and First Nations finance covers about 22% of the budget, and Ontario ratepayers the rest (§8.5). The federal and provincial equity comes in two tranches, the second released for Units 2–4</w:t>
      </w:r>
      <w:r>
        <w:t xml:space="preserve"> </w:t>
      </w:r>
      <w:r>
        <w:t xml:space="preserve">“</w:t>
      </w:r>
      <w:r>
        <w:t xml:space="preserve">once project milestones are met</w:t>
      </w:r>
      <w:r>
        <w:t xml:space="preserve">”</w:t>
      </w:r>
      <w:r>
        <w:t xml:space="preserve"> </w:t>
      </w:r>
      <w:r>
        <w:t xml:space="preserve">(Canada Growth Fund and Building Ontario Fund, 2025) [TO VERIFY]. That condition is C1’s main financial lever.</w:t>
      </w:r>
    </w:p>
    <w:p>
      <w:pPr>
        <w:pStyle w:val="BodyText"/>
      </w:pPr>
      <w:r>
        <w:rPr>
          <w:bCs/>
          <w:b/>
        </w:rPr>
        <w:t xml:space="preserve">Barriers to entry.</w:t>
      </w:r>
      <w:r>
        <w:t xml:space="preserve"> </w:t>
      </w:r>
      <w:r>
        <w:t xml:space="preserve">About C$17,400/kW is at risk for years before any revenue. Equity markets value US developers on hoped-for orders (NuScale at 168 times its revenue), but first plants are financed by states and rate bases: the US Department of Energy’s US$800 m went to two designs, one of them the BWRX-300 (US Department of Energy, 2025) [TO VERIFY], out of about 70 in development worldwide (International Atomic Energy Agency, 2024) [TO VERIFY]. China removes the financing step: its State Council approves batches of reactors for state-owned builders (Caixin Global, 2026) [TO VERIFY: State Council or NDRC primary]. Australia has neither route. Even if its bans went (§8.1), Liddell belongs to AGL, a private company (Newcastle Herald, 2024) [TO VERIFY], so an SMR there would need Commonwealth ownership or underwriting, with taxpayers carrying the cost risk (our inference).</w:t>
      </w:r>
    </w:p>
    <w:p>
      <w:pPr>
        <w:pStyle w:val="BodyText"/>
      </w:pPr>
      <w:r>
        <w:rPr>
          <w:bCs/>
          <w:b/>
        </w:rPr>
        <w:t xml:space="preserve">C1.</w:t>
      </w:r>
      <w:r>
        <w:t xml:space="preserve"> </w:t>
      </w:r>
      <w:r>
        <w:t xml:space="preserve">LC3 saves 5,190 t CO₂e across Units 2–4, or 0.132 t per m³ of target concrete (§6). At the federal industrial carbon price, C$95/t in 2026 rising to C$115/t in 2030 (Environment and Climate Change Canada, 2026) [TO VERIFY], that saving is worth C$0.49–0.60 m. It justifies an LC3 price premium of up to about C$12.6–15.2/m³, or 5.5–6.6% of the central price of commodity concrete (C$229/m³) (Appendix B;</w:t>
      </w:r>
      <w:r>
        <w:t xml:space="preserve"> </w:t>
      </w:r>
      <w:r>
        <w:rPr>
          <w:rStyle w:val="VerbatimChar"/>
        </w:rPr>
        <w:t xml:space="preserve">initiative_cost.py</w:t>
      </w:r>
      <w:r>
        <w:t xml:space="preserve">) [TO VERIFY]. The target concrete costs about C$9 m in total, 0.07% of the Units 2–4 capital, so money is not the barrier. Two other things are. No one captures the carbon value, because construction materials appear to sit outside Ontario’s industrial carbon pricing [TO VERIFY]. And qualification, not concrete, sets the abatement cost: a C$1 m qualification programme alone adds about C$190/t, above any carbon price on the path, while one day of delay to Units 2–4 costs C$1.8–2.9 m, more than C1’s whole carbon value.</w:t>
      </w:r>
    </w:p>
    <w:p>
      <w:pPr>
        <w:pStyle w:val="BodyText"/>
      </w:pPr>
      <w:r>
        <w:rPr>
          <w:bCs/>
          <w:b/>
        </w:rPr>
        <w:t xml:space="preserve">Solutions compared.</w:t>
      </w:r>
      <w:r>
        <w:t xml:space="preserve"> </w:t>
      </w:r>
      <w:r>
        <w:t xml:space="preserve">Of the four responses in Table T11, public funding for qualification on Unit 1 mock-ups (C) removes both the schedule risk and the cost that dominates the abatement cost. An embodied-carbon condition on the Units 2–4 equity tranche (A) then prices the saving at no cash cost. We recommend C plus A, with an OPG contract clause (B) as the fallback; §8.6 sequences them. For Liddell, cost is the second barrier after law: no private owner could finance a first SMR without a state balance sheet behind it.</w:t>
      </w:r>
    </w:p>
    <w:p>
      <w:pPr>
        <w:pStyle w:val="BodyText"/>
      </w:pPr>
      <w:r>
        <w:rPr>
          <w:iCs/>
          <w:i/>
        </w:rPr>
        <w:t xml:space="preserve">Table T10. Cost evidence for an SMR: our Darlington estimate against published values.</w:t>
      </w:r>
      <w:r>
        <w:t xml:space="preserve"> </w:t>
      </w:r>
      <w:r>
        <w:rPr>
          <w:iCs/>
          <w:i/>
        </w:rPr>
        <w:t xml:space="preserve">Source: our calculation in</w:t>
      </w:r>
      <w:r>
        <w:rPr>
          <w:iCs/>
          <w:i/>
        </w:rPr>
        <w:t xml:space="preserve"> </w:t>
      </w:r>
      <w:r>
        <w:rPr>
          <w:rStyle w:val="VerbatimChar"/>
          <w:iCs/>
          <w:i/>
        </w:rPr>
        <w:t xml:space="preserve">03_LCA_Calculations/scripts/lcoe.py</w:t>
      </w:r>
      <w:r>
        <w:rPr>
          <w:iCs/>
          <w:i/>
        </w:rPr>
        <w:t xml:space="preserve"> </w:t>
      </w:r>
      <w:r>
        <w:rPr>
          <w:iCs/>
          <w:i/>
        </w:rPr>
        <w:t xml:space="preserve">(Appendix B) from Ontario Power Generation (2025) and Rao, Kaffine and Hodge (2026); Ontario Power Generation (2026b); Graham, Hayward and Foster (2024); Graham and Hayward (2026); NuScale Power Corporation (2023; 2026); NuScale Power Corporation and Utah Associated Municipal Power Systems (2023); Schlissel (2023); Steigerwald et al. (2023). All inputs [TO VERIFY].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Value</w:t>
            </w:r>
          </w:p>
        </w:tc>
        <w:tc>
          <w:tcPr/>
          <w:p>
            <w:pPr>
              <w:pStyle w:val="Compact"/>
              <w:jc w:val="left"/>
            </w:pPr>
            <w:r>
              <w:t xml:space="preserve">What it shows</w:t>
            </w:r>
          </w:p>
        </w:tc>
      </w:tr>
      <w:tr>
        <w:tc>
          <w:tcPr/>
          <w:p>
            <w:pPr>
              <w:pStyle w:val="Compact"/>
              <w:jc w:val="left"/>
            </w:pPr>
            <w:r>
              <w:t xml:space="preserve">Our Darlington LCOE, real, 60-year life, capacity factor 0.90</w:t>
            </w:r>
          </w:p>
        </w:tc>
        <w:tc>
          <w:tcPr/>
          <w:p>
            <w:pPr>
              <w:pStyle w:val="Compact"/>
              <w:jc w:val="left"/>
            </w:pPr>
            <w:r>
              <w:t xml:space="preserve">C$112 / 151 /</w:t>
            </w:r>
            <w:r>
              <w:t xml:space="preserve"> </w:t>
            </w:r>
            <w:r>
              <w:rPr>
                <w:bCs/>
                <w:b/>
              </w:rPr>
              <w:t xml:space="preserve">198</w:t>
            </w:r>
            <w:r>
              <w:t xml:space="preserve"> </w:t>
            </w:r>
            <w:r>
              <w:t xml:space="preserve">/ 280 per MWh at 3 / 5 / 7 / 10% (A$125 / 169 /</w:t>
            </w:r>
            <w:r>
              <w:t xml:space="preserve"> </w:t>
            </w:r>
            <w:r>
              <w:rPr>
                <w:bCs/>
                <w:b/>
              </w:rPr>
              <w:t xml:space="preserve">221</w:t>
            </w:r>
            <w:r>
              <w:t xml:space="preserve"> </w:t>
            </w:r>
            <w:r>
              <w:t xml:space="preserve">/ 313)</w:t>
            </w:r>
          </w:p>
        </w:tc>
        <w:tc>
          <w:tcPr/>
          <w:p>
            <w:pPr>
              <w:pStyle w:val="Compact"/>
              <w:jc w:val="left"/>
            </w:pPr>
            <w:r>
              <w:t xml:space="preserve">Capital is 65–86% of the cost, so finance terms move it 2.5-fold</w:t>
            </w:r>
          </w:p>
        </w:tc>
      </w:tr>
      <w:tr>
        <w:tc>
          <w:tcPr/>
          <w:p>
            <w:pPr>
              <w:pStyle w:val="Compact"/>
              <w:jc w:val="left"/>
            </w:pPr>
            <w:r>
              <w:t xml:space="preserve">Same, with a NuScale-sized capital overrun (×1.75), 7%</w:t>
            </w:r>
          </w:p>
        </w:tc>
        <w:tc>
          <w:tcPr/>
          <w:p>
            <w:pPr>
              <w:pStyle w:val="Compact"/>
              <w:jc w:val="left"/>
            </w:pPr>
            <w:r>
              <w:t xml:space="preserve">C$317/MWh</w:t>
            </w:r>
          </w:p>
        </w:tc>
        <w:tc>
          <w:tcPr/>
          <w:p>
            <w:pPr>
              <w:pStyle w:val="Compact"/>
              <w:jc w:val="left"/>
            </w:pPr>
            <w:r>
              <w:t xml:space="preserve">Overrun is the largest single input, ahead of the discount rate</w:t>
            </w:r>
          </w:p>
        </w:tc>
      </w:tr>
      <w:tr>
        <w:tc>
          <w:tcPr/>
          <w:p>
            <w:pPr>
              <w:pStyle w:val="Compact"/>
              <w:jc w:val="left"/>
            </w:pPr>
            <w:r>
              <w:t xml:space="preserve">OPG’s reported four-unit LCOE</w:t>
            </w:r>
          </w:p>
        </w:tc>
        <w:tc>
          <w:tcPr/>
          <w:p>
            <w:pPr>
              <w:pStyle w:val="Compact"/>
              <w:jc w:val="left"/>
            </w:pPr>
            <w:r>
              <w:t xml:space="preserve">C$149/MWh (2024 dollars); our model matches it at 4.9% real</w:t>
            </w:r>
          </w:p>
        </w:tc>
        <w:tc>
          <w:tcPr/>
          <w:p>
            <w:pPr>
              <w:pStyle w:val="Compact"/>
              <w:jc w:val="left"/>
            </w:pPr>
            <w:r>
              <w:t xml:space="preserve">A regulated Crown utility’s cost of capital</w:t>
            </w:r>
          </w:p>
        </w:tc>
      </w:tr>
      <w:tr>
        <w:tc>
          <w:tcPr/>
          <w:p>
            <w:pPr>
              <w:pStyle w:val="Compact"/>
              <w:jc w:val="left"/>
            </w:pPr>
            <w:r>
              <w:t xml:space="preserve">GenCost 2023-24, 2030: SMR / large nuclear / solar and wind with integration costs</w:t>
            </w:r>
          </w:p>
        </w:tc>
        <w:tc>
          <w:tcPr/>
          <w:p>
            <w:pPr>
              <w:pStyle w:val="Compact"/>
              <w:jc w:val="left"/>
            </w:pPr>
            <w:r>
              <w:t xml:space="preserve">A$230–382 / 141–233 / 89–125 per MWh [TO VERIFY: table and year]</w:t>
            </w:r>
          </w:p>
        </w:tc>
        <w:tc>
          <w:tcPr/>
          <w:p>
            <w:pPr>
              <w:pStyle w:val="Compact"/>
              <w:jc w:val="left"/>
            </w:pPr>
            <w:r>
              <w:t xml:space="preserve">Our A$221 sits just below the SMR range</w:t>
            </w:r>
          </w:p>
        </w:tc>
      </w:tr>
      <w:tr>
        <w:tc>
          <w:tcPr/>
          <w:p>
            <w:pPr>
              <w:pStyle w:val="Compact"/>
              <w:jc w:val="left"/>
            </w:pPr>
            <w:r>
              <w:t xml:space="preserve">GenCost 2025-26 (current edition)</w:t>
            </w:r>
          </w:p>
        </w:tc>
        <w:tc>
          <w:tcPr/>
          <w:p>
            <w:pPr>
              <w:pStyle w:val="Compact"/>
              <w:jc w:val="left"/>
            </w:pPr>
            <w:r>
              <w:t xml:space="preserve">SMRs still the highest cost; capital based on Darlington; range [TODO: from the 2025-26 final]</w:t>
            </w:r>
          </w:p>
        </w:tc>
        <w:tc>
          <w:tcPr/>
          <w:p>
            <w:pPr>
              <w:pStyle w:val="Compact"/>
              <w:jc w:val="left"/>
            </w:pPr>
            <w:r>
              <w:t xml:space="preserve">Not independent of our estimate</w:t>
            </w:r>
          </w:p>
        </w:tc>
      </w:tr>
      <w:tr>
        <w:tc>
          <w:tcPr/>
          <w:p>
            <w:pPr>
              <w:pStyle w:val="Compact"/>
              <w:jc w:val="left"/>
            </w:pPr>
            <w:r>
              <w:t xml:space="preserve">SMR ÷ firmed renewables, 2030</w:t>
            </w:r>
          </w:p>
        </w:tc>
        <w:tc>
          <w:tcPr/>
          <w:p>
            <w:pPr>
              <w:pStyle w:val="Compact"/>
              <w:jc w:val="left"/>
            </w:pPr>
            <w:r>
              <w:t xml:space="preserve">About 2.9× (1.8–4.3×); 5.0× if A$387–641 is the 2030 range</w:t>
            </w:r>
          </w:p>
        </w:tc>
        <w:tc>
          <w:tcPr/>
          <w:p>
            <w:pPr>
              <w:pStyle w:val="Compact"/>
              <w:jc w:val="left"/>
            </w:pPr>
            <w:r>
              <w:t xml:space="preserve">Renewables are cheaper on either reading (§7)</w:t>
            </w:r>
          </w:p>
        </w:tc>
      </w:tr>
      <w:tr>
        <w:tc>
          <w:tcPr/>
          <w:p>
            <w:pPr>
              <w:pStyle w:val="Compact"/>
              <w:jc w:val="left"/>
            </w:pPr>
            <w:r>
              <w:t xml:space="preserve">Capital cost: vendor-advertised BWRX-300 vs Darlington</w:t>
            </w:r>
          </w:p>
        </w:tc>
        <w:tc>
          <w:tcPr/>
          <w:p>
            <w:pPr>
              <w:pStyle w:val="Compact"/>
              <w:jc w:val="left"/>
            </w:pPr>
            <w:r>
              <w:t xml:space="preserve">US$2,250/kW vs about US$12,600/kW [TO VERIFY: preprint; dollar years differ]</w:t>
            </w:r>
          </w:p>
        </w:tc>
        <w:tc>
          <w:tcPr/>
          <w:p>
            <w:pPr>
              <w:pStyle w:val="Compact"/>
              <w:jc w:val="left"/>
            </w:pPr>
            <w:r>
              <w:t xml:space="preserve">Vendor figures are about a fifth of a real budget; industry estimates run low (Steigerwald et al., 2023)</w:t>
            </w:r>
          </w:p>
        </w:tc>
      </w:tr>
      <w:tr>
        <w:tc>
          <w:tcPr/>
          <w:p>
            <w:pPr>
              <w:pStyle w:val="Compact"/>
              <w:jc w:val="left"/>
            </w:pPr>
            <w:r>
              <w:t xml:space="preserve">NuScale Carbon Free Power Project, Idaho, 2020 → 2023</w:t>
            </w:r>
          </w:p>
        </w:tc>
        <w:tc>
          <w:tcPr/>
          <w:p>
            <w:pPr>
              <w:pStyle w:val="Compact"/>
              <w:jc w:val="left"/>
            </w:pPr>
            <w:r>
              <w:t xml:space="preserve">Price US$58/MWh (2020 dollars) → US$89/MWh (July 2022 dollars), +35% real, after about US$30/MWh of tax credits; cost US$5.3 bn → 9.24 bn (×1.74); cancelled November 2023 for lack of subscribers</w:t>
            </w:r>
          </w:p>
        </w:tc>
        <w:tc>
          <w:tcPr/>
          <w:p>
            <w:pPr>
              <w:pStyle w:val="Compact"/>
              <w:jc w:val="left"/>
            </w:pPr>
            <w:r>
              <w:t xml:space="preserve">When buyers carry overrun risk, they leave</w:t>
            </w:r>
          </w:p>
        </w:tc>
      </w:tr>
      <w:tr>
        <w:tc>
          <w:tcPr/>
          <w:p>
            <w:pPr>
              <w:pStyle w:val="Compact"/>
              <w:jc w:val="left"/>
            </w:pPr>
            <w:r>
              <w:t xml:space="preserve">NuScale market value vs revenue, 2025</w:t>
            </w:r>
          </w:p>
        </w:tc>
        <w:tc>
          <w:tcPr/>
          <w:p>
            <w:pPr>
              <w:pStyle w:val="Compact"/>
              <w:jc w:val="left"/>
            </w:pPr>
            <w:r>
              <w:t xml:space="preserve">US$5.3 bn public float vs US$31.5 m revenue (168×)</w:t>
            </w:r>
          </w:p>
        </w:tc>
        <w:tc>
          <w:tcPr/>
          <w:p>
            <w:pPr>
              <w:pStyle w:val="Compact"/>
              <w:jc w:val="left"/>
            </w:pPr>
            <w:r>
              <w:t xml:space="preserve">Equity prices future orders; it does not finance first plants</w:t>
            </w:r>
          </w:p>
        </w:tc>
      </w:tr>
    </w:tbl>
    <w:p>
      <w:pPr>
        <w:pStyle w:val="BodyText"/>
      </w:pPr>
      <w:r>
        <w:rPr>
          <w:iCs/>
          <w:i/>
        </w:rPr>
        <w:t xml:space="preserve">Table T11. Non-technical responses to C1’s economics, compared.</w:t>
      </w:r>
      <w:r>
        <w:t xml:space="preserve"> </w:t>
      </w:r>
      <w:r>
        <w:rPr>
          <w:iCs/>
          <w:i/>
        </w:rPr>
        <w:t xml:space="preserve">Source: our evaluation from Canada Growth Fund and Building Ontario Fund (2025); Treasury Board of Canada Secretariat (2022); break-even and abatement costs from</w:t>
      </w:r>
      <w:r>
        <w:rPr>
          <w:iCs/>
          <w:i/>
        </w:rPr>
        <w:t xml:space="preserve"> </w:t>
      </w:r>
      <w:r>
        <w:rPr>
          <w:rStyle w:val="VerbatimChar"/>
          <w:iCs/>
          <w:i/>
        </w:rPr>
        <w:t xml:space="preserve">initiative_cost.py</w:t>
      </w:r>
      <w:r>
        <w:rPr>
          <w:iCs/>
          <w:i/>
        </w:rPr>
        <w:t xml:space="preserve"> </w:t>
      </w:r>
      <w:r>
        <w:rPr>
          <w:iCs/>
          <w:i/>
        </w:rPr>
        <w:t xml:space="preserve">and</w:t>
      </w:r>
      <w:r>
        <w:rPr>
          <w:iCs/>
          <w:i/>
        </w:rPr>
        <w:t xml:space="preserve"> </w:t>
      </w:r>
      <w:r>
        <w:rPr>
          <w:rStyle w:val="VerbatimChar"/>
          <w:iCs/>
          <w:i/>
        </w:rPr>
        <w:t xml:space="preserve">schedule_value.py</w:t>
      </w:r>
      <w:r>
        <w:rPr>
          <w:iCs/>
          <w:i/>
        </w:rPr>
        <w:t xml:space="preserve"> </w:t>
      </w:r>
      <w:r>
        <w:rPr>
          <w:iCs/>
          <w:i/>
        </w:rPr>
        <w:t xml:space="preserve">(Appendix B).</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w:t>
            </w:r>
          </w:p>
        </w:tc>
        <w:tc>
          <w:tcPr/>
          <w:p>
            <w:pPr>
              <w:pStyle w:val="Compact"/>
              <w:jc w:val="left"/>
            </w:pPr>
            <w:r>
              <w:t xml:space="preserve">Who pays</w:t>
            </w:r>
          </w:p>
        </w:tc>
        <w:tc>
          <w:tcPr/>
          <w:p>
            <w:pPr>
              <w:pStyle w:val="Compact"/>
              <w:jc w:val="left"/>
            </w:pPr>
            <w:r>
              <w:t xml:space="preserve">What it fixes</w:t>
            </w:r>
          </w:p>
        </w:tc>
        <w:tc>
          <w:tcPr/>
          <w:p>
            <w:pPr>
              <w:pStyle w:val="Compact"/>
              <w:jc w:val="left"/>
            </w:pPr>
            <w:r>
              <w:t xml:space="preserve">Weakness</w:t>
            </w:r>
          </w:p>
        </w:tc>
        <w:tc>
          <w:tcPr/>
          <w:p>
            <w:pPr>
              <w:pStyle w:val="Compact"/>
              <w:jc w:val="left"/>
            </w:pPr>
            <w:r>
              <w:t xml:space="preserve">Verdict</w:t>
            </w:r>
          </w:p>
        </w:tc>
      </w:tr>
      <w:tr>
        <w:tc>
          <w:tcPr/>
          <w:p>
            <w:pPr>
              <w:pStyle w:val="Compact"/>
              <w:jc w:val="left"/>
            </w:pPr>
            <w:r>
              <w:t xml:space="preserve">A. Embodied-carbon condition on the Units 2–4 equity tranche</w:t>
            </w:r>
          </w:p>
        </w:tc>
        <w:tc>
          <w:tcPr/>
          <w:p>
            <w:pPr>
              <w:pStyle w:val="Compact"/>
              <w:jc w:val="left"/>
            </w:pPr>
            <w:r>
              <w:t xml:space="preserve">The funds; no cash cost</w:t>
            </w:r>
          </w:p>
        </w:tc>
        <w:tc>
          <w:tcPr/>
          <w:p>
            <w:pPr>
              <w:pStyle w:val="Compact"/>
              <w:jc w:val="left"/>
            </w:pPr>
            <w:r>
              <w:t xml:space="preserve">Prices a saving that no market pays for</w:t>
            </w:r>
          </w:p>
        </w:tc>
        <w:tc>
          <w:tcPr/>
          <w:p>
            <w:pPr>
              <w:pStyle w:val="Compact"/>
              <w:jc w:val="left"/>
            </w:pPr>
            <w:r>
              <w:t xml:space="preserve">Needs the funds’ agreement before the tranche terms (about 2028)</w:t>
            </w:r>
          </w:p>
        </w:tc>
        <w:tc>
          <w:tcPr/>
          <w:p>
            <w:pPr>
              <w:pStyle w:val="Compact"/>
              <w:jc w:val="left"/>
            </w:pPr>
            <w:r>
              <w:t xml:space="preserve">Recommended, second step</w:t>
            </w:r>
          </w:p>
        </w:tc>
      </w:tr>
      <w:tr>
        <w:tc>
          <w:tcPr/>
          <w:p>
            <w:pPr>
              <w:pStyle w:val="Compact"/>
              <w:jc w:val="left"/>
            </w:pPr>
            <w:r>
              <w:t xml:space="preserve">B. OPG contract clause capping concrete emissions, modelled on the federal Standard on Embodied Carbon in Construction</w:t>
            </w:r>
          </w:p>
        </w:tc>
        <w:tc>
          <w:tcPr/>
          <w:p>
            <w:pPr>
              <w:pStyle w:val="Compact"/>
              <w:jc w:val="left"/>
            </w:pPr>
            <w:r>
              <w:t xml:space="preserve">OPG, so ratepayers (up to the break-even C$12.6–15.2/m³)</w:t>
            </w:r>
          </w:p>
        </w:tc>
        <w:tc>
          <w:tcPr/>
          <w:p>
            <w:pPr>
              <w:pStyle w:val="Compact"/>
              <w:jc w:val="left"/>
            </w:pPr>
            <w:r>
              <w:t xml:space="preserve">Makes low-clinker concrete the default</w:t>
            </w:r>
          </w:p>
        </w:tc>
        <w:tc>
          <w:tcPr/>
          <w:p>
            <w:pPr>
              <w:pStyle w:val="Compact"/>
              <w:jc w:val="left"/>
            </w:pPr>
            <w:r>
              <w:t xml:space="preserve">The standard does not bind OPG (our inference) [TO VERIFY]; self-consolidating infill could count as a</w:t>
            </w:r>
            <w:r>
              <w:t xml:space="preserve"> </w:t>
            </w:r>
            <w:r>
              <w:t xml:space="preserve">“</w:t>
            </w:r>
            <w:r>
              <w:t xml:space="preserve">specialised</w:t>
            </w:r>
            <w:r>
              <w:t xml:space="preserve">”</w:t>
            </w:r>
            <w:r>
              <w:t xml:space="preserve"> </w:t>
            </w:r>
            <w:r>
              <w:t xml:space="preserve">mix allowed 130% of baseline</w:t>
            </w:r>
          </w:p>
        </w:tc>
        <w:tc>
          <w:tcPr/>
          <w:p>
            <w:pPr>
              <w:pStyle w:val="Compact"/>
              <w:jc w:val="left"/>
            </w:pPr>
            <w:r>
              <w:t xml:space="preserve">Fallback</w:t>
            </w:r>
          </w:p>
        </w:tc>
      </w:tr>
      <w:tr>
        <w:tc>
          <w:tcPr/>
          <w:p>
            <w:pPr>
              <w:pStyle w:val="Compact"/>
              <w:jc w:val="left"/>
            </w:pPr>
            <w:r>
              <w:t xml:space="preserve">C. Public research funding for qualification on Unit 1 mock-ups</w:t>
            </w:r>
          </w:p>
        </w:tc>
        <w:tc>
          <w:tcPr/>
          <w:p>
            <w:pPr>
              <w:pStyle w:val="Compact"/>
              <w:jc w:val="left"/>
            </w:pPr>
            <w:r>
              <w:t xml:space="preserve">Federal or Ontario research budget (C$1–3 m, our assumption)</w:t>
            </w:r>
          </w:p>
        </w:tc>
        <w:tc>
          <w:tcPr/>
          <w:p>
            <w:pPr>
              <w:pStyle w:val="Compact"/>
              <w:jc w:val="left"/>
            </w:pPr>
            <w:r>
              <w:t xml:space="preserve">Removes the schedule risk, the binding constraint, and the cost that dominates C$/t</w:t>
            </w:r>
          </w:p>
        </w:tc>
        <w:tc>
          <w:tcPr/>
          <w:p>
            <w:pPr>
              <w:pStyle w:val="Compact"/>
              <w:jc w:val="left"/>
            </w:pPr>
            <w:r>
              <w:t xml:space="preserve">No sourced qualification cost [TODO: source needed]</w:t>
            </w:r>
          </w:p>
        </w:tc>
        <w:tc>
          <w:tcPr/>
          <w:p>
            <w:pPr>
              <w:pStyle w:val="Compact"/>
              <w:jc w:val="left"/>
            </w:pPr>
            <w:r>
              <w:t xml:space="preserve">Recommended, first step</w:t>
            </w:r>
          </w:p>
        </w:tc>
      </w:tr>
      <w:tr>
        <w:tc>
          <w:tcPr/>
          <w:p>
            <w:pPr>
              <w:pStyle w:val="Compact"/>
              <w:jc w:val="left"/>
            </w:pPr>
            <w:r>
              <w:t xml:space="preserve">D. Do nothing</w:t>
            </w:r>
          </w:p>
        </w:tc>
        <w:tc>
          <w:tcPr/>
          <w:p>
            <w:pPr>
              <w:pStyle w:val="Compact"/>
              <w:jc w:val="left"/>
            </w:pPr>
            <w:r>
              <w:t xml:space="preserve">—</w:t>
            </w:r>
          </w:p>
        </w:tc>
        <w:tc>
          <w:tcPr/>
          <w:p>
            <w:pPr>
              <w:pStyle w:val="Compact"/>
              <w:jc w:val="left"/>
            </w:pPr>
            <w:r>
              <w:t xml:space="preserve">—</w:t>
            </w:r>
          </w:p>
        </w:tc>
        <w:tc>
          <w:tcPr/>
          <w:p>
            <w:pPr>
              <w:pStyle w:val="Compact"/>
              <w:jc w:val="left"/>
            </w:pPr>
            <w:r>
              <w:t xml:space="preserve">Forgoes 5,190 t CO₂e at near-zero cost</w:t>
            </w:r>
          </w:p>
        </w:tc>
        <w:tc>
          <w:tcPr/>
          <w:p>
            <w:pPr>
              <w:pStyle w:val="Compact"/>
              <w:jc w:val="left"/>
            </w:pPr>
            <w:r>
              <w:t xml:space="preserve">Rejected</w:t>
            </w:r>
          </w:p>
        </w:tc>
      </w:tr>
    </w:tbl>
    <w:p>
      <w:r>
        <w:pict>
          <v:rect style="width:0;height:1.5pt" o:hralign="center" o:hrstd="t" o:hr="t"/>
        </w:pict>
      </w:r>
    </w:p>
    <w:bookmarkEnd w:id="40"/>
    <w:bookmarkStart w:id="41" w:name="supply-concentration-and-geopolitics"/>
    <w:p>
      <w:pPr>
        <w:pStyle w:val="Heading2"/>
      </w:pPr>
      <w:r>
        <w:t xml:space="preserve">8.3 Supply concentration and geopolitics</w:t>
      </w:r>
    </w:p>
    <w:p>
      <w:pPr>
        <w:pStyle w:val="FirstParagraph"/>
      </w:pPr>
      <w:r>
        <w:t xml:space="preserve">Every front-end fuel stage we measured (mining by country, conversion and enrichment) is concentrated. Each stage’s Herfindahl–Hirschman index (HHI, the sum of squared market shares; §2) exceeds 1,800,</w:t>
      </w:r>
      <w:r>
        <w:t xml:space="preserve"> </w:t>
      </w:r>
      <w:r>
        <w:t xml:space="preserve">“</w:t>
      </w:r>
      <w:r>
        <w:t xml:space="preserve">highly concentrated</w:t>
      </w:r>
      <w:r>
        <w:t xml:space="preserve">”</w:t>
      </w:r>
      <w:r>
        <w:t xml:space="preserve"> </w:t>
      </w:r>
      <w:r>
        <w:t xml:space="preserve">on the 2023 US merger guidelines, which we use as a scale for supply risk, not as a legal test (US Department of Justice and Federal Trade Commission, 2023) [TO VERIFY]. On the superseded 2010 scale only enrichment is (Table T3). For Darlington this concentration is a price risk; for an Australian SMR it is a sovereign risk.</w:t>
      </w:r>
    </w:p>
    <w:p>
      <w:pPr>
        <w:pStyle w:val="BodyText"/>
      </w:pPr>
      <w:r>
        <w:rPr>
          <w:bCs/>
          <w:b/>
        </w:rPr>
        <w:t xml:space="preserve">Sanctions make it worse.</w:t>
      </w:r>
      <w:r>
        <w:t xml:space="preserve"> </w:t>
      </w:r>
      <w:r>
        <w:t xml:space="preserve">Russia holds 41.0–42.8% of enrichment capacity across the World Nuclear University and WNA data (calculated from World Nuclear Association, 2025; World Nuclear University, 2025) [TO VERIFY]. Removing Russia, as US buyers must once the waivers on their import ban end in 2028 (United States Congress, 2024) [TO VERIFY], raises every HHI. Without Russia and China, enrichment is a Urenco–Orano duopoly (HHI 5,621). Mining is concentrated by country but not by company (HHI about 850–1,400, from the top three firms only), so its risk is geopolitical rather than market power (Appendix B2).</w:t>
      </w:r>
    </w:p>
    <w:p>
      <w:pPr>
        <w:pStyle w:val="BodyText"/>
      </w:pPr>
      <w:r>
        <w:rPr>
          <w:bCs/>
          <w:b/>
        </w:rPr>
        <w:t xml:space="preserve">Darlington and Liddell compared.</w:t>
      </w:r>
      <w:r>
        <w:t xml:space="preserve"> </w:t>
      </w:r>
      <w:r>
        <w:t xml:space="preserve">OPG’s fuel chain for Unit 1 has no Russian stage (Ontario Power Generation, 2023) [TO VERIFY: primary not yet identified]. Four units would need about 196 t of natural uranium and 138 thousand separative work units (SWU) a year (§6.2; Appendix A8) [TO VERIFY: placeholder plant data], about 3.2% of Urenco USA’s output (Appendix B2.6). Australia holds 28% of the world’s identified recoverable uranium resources below USD 130/kgU, but has no conversion or enrichment (OECD NEA and IAEA, 2025; World Nuclear Association, 2026) [TO VERIFY]. An Australian SMR would therefore import enrichment and fabrication by law (EPBC s 140A; ARPANS s 10), and conversion because no plant exists (Parliamentary Library, 2024) [TO VERIFY: whether NSW law covers conversion].</w:t>
      </w:r>
    </w:p>
    <w:p>
      <w:pPr>
        <w:pStyle w:val="BodyText"/>
      </w:pPr>
      <w:r>
        <w:rPr>
          <w:bCs/>
          <w:b/>
        </w:rPr>
        <w:t xml:space="preserve">Translation to practice.</w:t>
      </w:r>
      <w:r>
        <w:t xml:space="preserve"> </w:t>
      </w:r>
      <w:r>
        <w:t xml:space="preserve">C1 does not reduce fuel risk. Contracts with allied enrichers, as OPG uses, mitigate a buyer’s exposure but leave the HHI unchanged (§8.6). One further Western option links back to Darlington: laser enrichment developed by Australia’s Silex Systems is being commercialised in the US by Global Laser Enrichment, owned 51% by Silex and 49% by Cameco, OPG’s uranium supplier. The NRC accepted its application to re-enrich depleted-uranium tails at Paducah, Kentucky, for review in August 2025 (US Nuclear Regulatory Commission, n.d.) [TO VERIFY]. EPBC s 140A would bar such a plant in Australia (§10).</w:t>
      </w:r>
    </w:p>
    <w:p>
      <w:pPr>
        <w:pStyle w:val="BodyText"/>
      </w:pPr>
      <w:r>
        <w:rPr>
          <w:iCs/>
          <w:i/>
        </w:rPr>
        <w:t xml:space="preserve">Table T3. Herfindahl–Hirschman index (HHI) of the uranium front end, by stage, with and without Russia and China.</w:t>
      </w:r>
      <w:r>
        <w:t xml:space="preserve"> </w:t>
      </w:r>
      <w:r>
        <w:rPr>
          <w:iCs/>
          <w:i/>
        </w:rPr>
        <w:t xml:space="preserve">Source: calculated in</w:t>
      </w:r>
      <w:r>
        <w:rPr>
          <w:iCs/>
          <w:i/>
        </w:rPr>
        <w:t xml:space="preserve"> </w:t>
      </w:r>
      <w:r>
        <w:rPr>
          <w:rStyle w:val="VerbatimChar"/>
          <w:iCs/>
          <w:i/>
        </w:rPr>
        <w:t xml:space="preserve">03_LCA_Calculations/scripts/hhi.py</w:t>
      </w:r>
      <w:r>
        <w:rPr>
          <w:iCs/>
          <w:i/>
        </w:rPr>
        <w:t xml:space="preserve"> </w:t>
      </w:r>
      <w:r>
        <w:rPr>
          <w:iCs/>
          <w:i/>
        </w:rPr>
        <w:t xml:space="preserve">from World Nuclear Association (2024; 2025; 2026) [TO VERIFY years]; thresholds from US Department of Justice and Federal Trade Commission (2010; 2023); working in Appendix B2.</w:t>
      </w:r>
    </w:p>
    <w:tbl>
      <w:tblPr>
        <w:tblStyle w:val="Table"/>
        <w:tblW w:type="pct" w:w="5000"/>
        <w:tblLook w:firstRow="1" w:lastRow="0" w:firstColumn="0" w:lastColumn="0" w:noHBand="0" w:noVBand="0" w:val="0020"/>
        <w:jc w:val="start"/>
      </w:tblPr>
      <w:tblGrid>
        <w:gridCol w:w="792"/>
        <w:gridCol w:w="1056"/>
        <w:gridCol w:w="792"/>
        <w:gridCol w:w="1056"/>
        <w:gridCol w:w="1056"/>
        <w:gridCol w:w="1056"/>
        <w:gridCol w:w="1056"/>
        <w:gridCol w:w="1056"/>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left"/>
            </w:pPr>
            <w:r>
              <w:t xml:space="preserve">Class (2023 / 2010)</w:t>
            </w:r>
          </w:p>
        </w:tc>
        <w:tc>
          <w:tcPr/>
          <w:p>
            <w:pPr>
              <w:pStyle w:val="Compact"/>
              <w:jc w:val="right"/>
            </w:pPr>
            <w:r>
              <w:t xml:space="preserve">Russia’s share</w:t>
            </w:r>
          </w:p>
        </w:tc>
        <w:tc>
          <w:tcPr/>
          <w:p>
            <w:pPr>
              <w:pStyle w:val="Compact"/>
              <w:jc w:val="right"/>
            </w:pPr>
            <w:r>
              <w:t xml:space="preserve">HHI without Russia</w:t>
            </w:r>
          </w:p>
        </w:tc>
        <w:tc>
          <w:tcPr/>
          <w:p>
            <w:pPr>
              <w:pStyle w:val="Compact"/>
              <w:jc w:val="right"/>
            </w:pPr>
            <w:r>
              <w:t xml:space="preserve">HHI without Russia and China</w:t>
            </w:r>
          </w:p>
        </w:tc>
        <w:tc>
          <w:tcPr/>
          <w:p>
            <w:pPr>
              <w:pStyle w:val="Compact"/>
              <w:jc w:val="right"/>
            </w:pPr>
            <w:r>
              <w:t xml:space="preserve">Australia’s share</w:t>
            </w:r>
          </w:p>
        </w:tc>
        <w:tc>
          <w:tcPr/>
          <w:p>
            <w:pPr>
              <w:pStyle w:val="Compact"/>
              <w:jc w:val="right"/>
            </w:pPr>
            <w:r>
              <w:t xml:space="preserve">Canada’s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left"/>
            </w:pPr>
            <w:r>
              <w:t xml:space="preserve">High / Moderate</w:t>
            </w:r>
          </w:p>
        </w:tc>
        <w:tc>
          <w:tcPr/>
          <w:p>
            <w:pPr>
              <w:pStyle w:val="Compact"/>
              <w:jc w:val="right"/>
            </w:pPr>
            <w:r>
              <w:t xml:space="preserve">4.5%</w:t>
            </w:r>
          </w:p>
        </w:tc>
        <w:tc>
          <w:tcPr/>
          <w:p>
            <w:pPr>
              <w:pStyle w:val="Compact"/>
              <w:jc w:val="right"/>
            </w:pPr>
            <w:r>
              <w:t xml:space="preserve">2,546</w:t>
            </w:r>
          </w:p>
        </w:tc>
        <w:tc>
          <w:tcPr/>
          <w:p>
            <w:pPr>
              <w:pStyle w:val="Compact"/>
              <w:jc w:val="right"/>
            </w:pPr>
            <w:r>
              <w:t xml:space="preserve">2,686</w:t>
            </w:r>
          </w:p>
        </w:tc>
        <w:tc>
          <w:tcPr/>
          <w:p>
            <w:pPr>
              <w:pStyle w:val="Compact"/>
              <w:jc w:val="right"/>
            </w:pPr>
            <w:r>
              <w:t xml:space="preserve">7.6%</w:t>
            </w:r>
          </w:p>
        </w:tc>
        <w:tc>
          <w:tcPr/>
          <w:p>
            <w:pPr>
              <w:pStyle w:val="Compact"/>
              <w:jc w:val="right"/>
            </w:pPr>
            <w:r>
              <w:t xml:space="preserve">23.8%</w:t>
            </w:r>
          </w:p>
        </w:tc>
      </w:tr>
      <w:tr>
        <w:tc>
          <w:tcPr/>
          <w:p>
            <w:pPr>
              <w:pStyle w:val="Compact"/>
              <w:jc w:val="left"/>
            </w:pPr>
            <w:r>
              <w:t xml:space="preserve">Conversion (capacity by company, [year TO VERIFY])</w:t>
            </w:r>
          </w:p>
        </w:tc>
        <w:tc>
          <w:tcPr/>
          <w:p>
            <w:pPr>
              <w:pStyle w:val="Compact"/>
              <w:jc w:val="right"/>
            </w:pPr>
            <w:r>
              <w:t xml:space="preserve">2,111</w:t>
            </w:r>
          </w:p>
        </w:tc>
        <w:tc>
          <w:tcPr/>
          <w:p>
            <w:pPr>
              <w:pStyle w:val="Compact"/>
              <w:jc w:val="left"/>
            </w:pPr>
            <w:r>
              <w:t xml:space="preserve">High / Moderate</w:t>
            </w:r>
          </w:p>
        </w:tc>
        <w:tc>
          <w:tcPr/>
          <w:p>
            <w:pPr>
              <w:pStyle w:val="Compact"/>
              <w:jc w:val="right"/>
            </w:pPr>
            <w:r>
              <w:t xml:space="preserve">20.2%</w:t>
            </w:r>
          </w:p>
        </w:tc>
        <w:tc>
          <w:tcPr/>
          <w:p>
            <w:pPr>
              <w:pStyle w:val="Compact"/>
              <w:jc w:val="right"/>
            </w:pPr>
            <w:r>
              <w:t xml:space="preserve">2,674</w:t>
            </w:r>
          </w:p>
        </w:tc>
        <w:tc>
          <w:tcPr/>
          <w:p>
            <w:pPr>
              <w:pStyle w:val="Compact"/>
              <w:jc w:val="right"/>
            </w:pPr>
            <w:r>
              <w:t xml:space="preserve">3,615</w:t>
            </w:r>
          </w:p>
        </w:tc>
        <w:tc>
          <w:tcPr/>
          <w:p>
            <w:pPr>
              <w:pStyle w:val="Compact"/>
              <w:jc w:val="right"/>
            </w:pPr>
            <w:r>
              <w:t xml:space="preserve">0%</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left"/>
            </w:pPr>
            <w:r>
              <w:rPr>
                <w:bCs/>
                <w:b/>
              </w:rPr>
              <w:t xml:space="preserve">High / High</w:t>
            </w:r>
          </w:p>
        </w:tc>
        <w:tc>
          <w:tcPr/>
          <w:p>
            <w:pPr>
              <w:pStyle w:val="Compact"/>
              <w:jc w:val="right"/>
            </w:pPr>
            <w:r>
              <w:rPr>
                <w:bCs/>
                <w:b/>
              </w:rPr>
              <w:t xml:space="preserve">42.8%</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t xml:space="preserve">0%</w:t>
            </w:r>
          </w:p>
        </w:tc>
        <w:tc>
          <w:tcPr/>
          <w:p>
            <w:pPr>
              <w:pStyle w:val="Compact"/>
              <w:jc w:val="right"/>
            </w:pPr>
            <w:r>
              <w:t xml:space="preserve">0%</w:t>
            </w:r>
          </w:p>
        </w:tc>
      </w:tr>
    </w:tbl>
    <w:p>
      <w:pPr>
        <w:pStyle w:val="BodyText"/>
      </w:pPr>
      <w:r>
        <w:rPr>
          <w:iCs/>
          <w:i/>
        </w:rPr>
        <w:t xml:space="preserve">Note:</w:t>
      </w:r>
      <w:r>
        <w:rPr>
          <w:iCs/>
          <w:i/>
        </w:rPr>
        <w:t xml:space="preserve"> </w:t>
      </w:r>
      <w:r>
        <w:rPr>
          <w:iCs/>
          <w:i/>
        </w:rPr>
        <w:t xml:space="preserve">“</w:t>
      </w:r>
      <w:r>
        <w:rPr>
          <w:iCs/>
          <w:i/>
        </w:rPr>
        <w:t xml:space="preserve">High</w:t>
      </w:r>
      <w:r>
        <w:rPr>
          <w:iCs/>
          <w:i/>
        </w:rPr>
        <w:t xml:space="preserve">”</w:t>
      </w:r>
      <w:r>
        <w:rPr>
          <w:iCs/>
          <w:i/>
        </w:rPr>
        <w:t xml:space="preserve"> </w:t>
      </w:r>
      <w:r>
        <w:rPr>
          <w:iCs/>
          <w:i/>
        </w:rPr>
        <w:t xml:space="preserve">is above 1,800 on the 2023 guidelines and above 2,500 on the 2010 guidelines;</w:t>
      </w:r>
      <w:r>
        <w:rPr>
          <w:iCs/>
          <w:i/>
        </w:rPr>
        <w:t xml:space="preserve"> </w:t>
      </w:r>
      <w:r>
        <w:rPr>
          <w:iCs/>
          <w:i/>
        </w:rPr>
        <w:t xml:space="preserve">“</w:t>
      </w:r>
      <w:r>
        <w:rPr>
          <w:iCs/>
          <w:i/>
        </w:rPr>
        <w:t xml:space="preserve">Moderate</w:t>
      </w:r>
      <w:r>
        <w:rPr>
          <w:iCs/>
          <w:i/>
        </w:rPr>
        <w:t xml:space="preserve">”</w:t>
      </w:r>
      <w:r>
        <w:rPr>
          <w:iCs/>
          <w:i/>
        </w:rPr>
        <w:t xml:space="preserve"> </w:t>
      </w:r>
      <w:r>
        <w:rPr>
          <w:iCs/>
          <w:i/>
        </w:rPr>
        <w:t xml:space="preserve">is 1,500–2,500 (2010). Without Russia, all three stages are high on both scales. Sensitivity: enrichment 2,724–3,065 (2030 plans to 2022); mining by country 2,246–2,370 (2022–2024); conversion 2,015 with the higher ConverDyn capacity; all country-level and capacity-based cases stay above 1,800. Mining by company is about 850–1,400 (midpoint 1,118; top three firms only), mostly below the threshold. Russia’s enrichment share is 42.8% on WNA capacity and 41.0% on World Nuclear University’s. Australia’s resource share is 28% in the 2024 Red Book edition we use; two tabulations of the 2026 edition give 29% and 27% (team decision pending). Limits: capacity is not supply; secondary supply (inventories, down-blending, re-enriched tails) is excluded; country shares ignore ownership, so Russia’s 4.5% of mining understates its reach through Rosatom’s stakes in Kazakh mines and Kazakh export routes, which were not assessed; fuel fabrication, where BWR fuel is thought to have few suppliers, was not assessed either (§11). All inputs [TO VERIFY].</w:t>
      </w:r>
    </w:p>
    <w:p>
      <w:r>
        <w:pict>
          <v:rect style="width:0;height:1.5pt" o:hralign="center" o:hrstd="t" o:hr="t"/>
        </w:pict>
      </w:r>
    </w:p>
    <w:bookmarkEnd w:id="41"/>
    <w:bookmarkStart w:id="42" w:name="social-licence"/>
    <w:p>
      <w:pPr>
        <w:pStyle w:val="Heading2"/>
      </w:pPr>
      <w:r>
        <w:t xml:space="preserve">8.4 Social licence</w:t>
      </w:r>
    </w:p>
    <w:p>
      <w:pPr>
        <w:pStyle w:val="FirstParagraph"/>
      </w:pPr>
      <w:r>
        <w:t xml:space="preserve">The same reactor has a social licence at Darlington and none at Liddell. Safety data do not explain the difference; consent, benefit and trust do (Table T12).</w:t>
      </w:r>
    </w:p>
    <w:p>
      <w:pPr>
        <w:pStyle w:val="BodyText"/>
      </w:pPr>
      <w:r>
        <w:rPr>
          <w:bCs/>
          <w:b/>
        </w:rPr>
        <w:t xml:space="preserve">Perceived and actual safety.</w:t>
      </w:r>
      <w:r>
        <w:t xml:space="preserve"> </w:t>
      </w:r>
      <w:r>
        <w:t xml:space="preserve">Australian support is real but soft. In 2024, 61% supported</w:t>
      </w:r>
      <w:r>
        <w:t xml:space="preserve"> </w:t>
      </w:r>
      <w:r>
        <w:t xml:space="preserve">“</w:t>
      </w:r>
      <w:r>
        <w:t xml:space="preserve">using nuclear power to generate electricity</w:t>
      </w:r>
      <w:r>
        <w:t xml:space="preserve">”</w:t>
      </w:r>
      <w:r>
        <w:t xml:space="preserve"> </w:t>
      </w:r>
      <w:r>
        <w:t xml:space="preserve">(Neelam, 2024), yet 59% wanted to keep the legal ban, up from 51% a year earlier (Griffith University Climate Action Beacon and Monash Climate Change Communication Research Hub, 2025) [TO VERIFY]. The two polls do not conflict: one asks about a technology, the other about the law, so support depends on framing, and older polls (2007, 2019) found support 16–20 points lower for a plant nearby (Newspoll, 2007; Essential Research, 2019) [TO VERIFY]. Safety data favour nuclear but do not settle opinion (Table T12). The health benefit, like the carbon benefit (§7), depends on what the reactor displaces, and coal leaves the National Electricity Market by 2038 in AEMO’s central scenario, before a Liddell SMR could run (Australian Energy Market Operator, 2024) [TO VERIFY].</w:t>
      </w:r>
    </w:p>
    <w:p>
      <w:pPr>
        <w:pStyle w:val="BodyText"/>
      </w:pPr>
      <w:r>
        <w:rPr>
          <w:bCs/>
          <w:b/>
        </w:rPr>
        <w:t xml:space="preserve">Consent: equity in Canada, failed top-down siting in Australia.</w:t>
      </w:r>
      <w:r>
        <w:t xml:space="preserve"> </w:t>
      </w:r>
      <w:r>
        <w:t xml:space="preserve">At Darlington the CNSC found the duty to consult met (Canadian Nuclear Safety Commission [CNSC], 2025) [TO VERIFY], and in June 2026 the seven Williams Treaties First Nations agreed to lend C$700 m to the project, converting to equity once all four units are complete, with the loan guaranteed half each by federal and Ontario programmes (Williams Treaties First Nations et al., 2026) [TO VERIFY]. In 2023–24 two of the seven (Scugog Island and Curve Lake) told the CNSC their concerns had not been addressed; their view of the 2026 deal is not recorded (T12) [TO VERIFY], so equity is a means of consent, not a substitute for it. Australia’s precedent is a waste site chosen top-down and set aside by the Federal Court for apprehended bias after a ballot that excluded native title holders (</w:t>
      </w:r>
      <w:r>
        <w:rPr>
          <w:iCs/>
          <w:i/>
        </w:rPr>
        <w:t xml:space="preserve">Barngarla Determination Aboriginal Corporation RNTBC v Minister for Resources</w:t>
      </w:r>
      <w:r>
        <w:t xml:space="preserve"> </w:t>
      </w:r>
      <w:r>
        <w:t xml:space="preserve">[2023] FCA 809) [TO VERIFY]. Canada’s waste agency instead used volunteer siting with a separate First Nation decision and a priced hosting agreement (Nuclear Waste Management Organization [NWMO], 2024a; 2024c) [TO VERIFY]. Scored on legitimacy, legal risk, speed, public cost and fairness, consent-based routes beat top-down siting under every weighting we tested (Table T13). Not building an SMR at Liddell scores higher still, because it needs no change in law or consent.</w:t>
      </w:r>
    </w:p>
    <w:p>
      <w:pPr>
        <w:pStyle w:val="BodyText"/>
      </w:pPr>
      <w:r>
        <w:rPr>
          <w:bCs/>
          <w:b/>
        </w:rPr>
        <w:t xml:space="preserve">Translation to practice.</w:t>
      </w:r>
      <w:r>
        <w:t xml:space="preserve"> </w:t>
      </w:r>
      <w:r>
        <w:t xml:space="preserve">C1 changes no land use, emissions or waste, so it raises no new consent issue; its social value is indirect, as a lower-carbon build that OPG can report to its new First Nations and public equity partners (our inference). For Liddell, the low-regret steps can come before any repeal: a producer-funded waste body, and a two-key willingness test in which both the host community and the Traditional Owners must agree. A priced hosting agreement and First Nations equity backed by a federal loan guarantee, which Australia does not yet have [TO VERIFY], would follow, along with a skills plan coordinated with the AUKUS submarine programme (§8.6).</w:t>
      </w:r>
    </w:p>
    <w:p>
      <w:pPr>
        <w:pStyle w:val="BodyText"/>
      </w:pPr>
      <w:r>
        <w:rPr>
          <w:iCs/>
          <w:i/>
        </w:rPr>
        <w:t xml:space="preserve">Table T12. Social licence at Darlington and at Liddell.</w:t>
      </w:r>
      <w:r>
        <w:t xml:space="preserve"> </w:t>
      </w:r>
      <w:r>
        <w:rPr>
          <w:iCs/>
          <w:i/>
        </w:rPr>
        <w:t xml:space="preserve">Source: Neelam (2024); Griffith University Climate Action Beacon and Monash Climate Change Communication Research Hub (2025); Newspoll (2007); Essential Research (2019); Ritchie (2020); Markandya and Wilkinson (2007); Australian Energy Market Operator (2024); CNSC (2025); Williams Treaties First Nations et al. (2026); Mississaugas of Scugog Island First Nation (2023); Curve Lake First Nation (2024); Municipality of Clarington (2024); Australian Electoral Commission (2019); Barngarla [2023] FCA 809; NWMO (2024a; 2024b; 2024c; n.d.); Department of Industry, Science, Energy and Resources (2020); Power Workers’ Union (2021); Conference Board of Canada (2021); Defence Connect (n.d.); Joint Standing Committee on Treaties (2024); Australian Council of Trade Unions (2024); Slovic (1987). Deaths avoided calculated in</w:t>
      </w:r>
      <w:r>
        <w:rPr>
          <w:iCs/>
          <w:i/>
        </w:rPr>
        <w:t xml:space="preserve"> </w:t>
      </w:r>
      <w:r>
        <w:rPr>
          <w:rStyle w:val="VerbatimChar"/>
          <w:iCs/>
          <w:i/>
        </w:rPr>
        <w:t xml:space="preserve">social_licence.py</w:t>
      </w:r>
      <w:r>
        <w:rPr>
          <w:iCs/>
          <w:i/>
        </w:rPr>
        <w:t xml:space="preserve"> </w:t>
      </w:r>
      <w:r>
        <w:rPr>
          <w:iCs/>
          <w:i/>
        </w:rPr>
        <w:t xml:space="preserve">(Appendix B8.1). All [TO VERIFY].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Factor</w:t>
            </w:r>
          </w:p>
        </w:tc>
        <w:tc>
          <w:tcPr/>
          <w:p>
            <w:pPr>
              <w:pStyle w:val="Compact"/>
              <w:jc w:val="left"/>
            </w:pPr>
            <w:r>
              <w:t xml:space="preserve">Darlington, Ontario</w:t>
            </w:r>
          </w:p>
        </w:tc>
        <w:tc>
          <w:tcPr/>
          <w:p>
            <w:pPr>
              <w:pStyle w:val="Compact"/>
              <w:jc w:val="left"/>
            </w:pPr>
            <w:r>
              <w:t xml:space="preserve">Liddell, NSW (hypothetical)</w:t>
            </w:r>
          </w:p>
        </w:tc>
        <w:tc>
          <w:tcPr/>
          <w:p>
            <w:pPr>
              <w:pStyle w:val="Compact"/>
              <w:jc w:val="left"/>
            </w:pPr>
            <w:r>
              <w:t xml:space="preserve">Effect on translation to practice</w:t>
            </w:r>
          </w:p>
        </w:tc>
      </w:tr>
      <w:tr>
        <w:tc>
          <w:tcPr/>
          <w:p>
            <w:pPr>
              <w:pStyle w:val="Compact"/>
              <w:jc w:val="left"/>
            </w:pPr>
            <w:r>
              <w:t xml:space="preserve">Public view</w:t>
            </w:r>
          </w:p>
        </w:tc>
        <w:tc>
          <w:tcPr/>
          <w:p>
            <w:pPr>
              <w:pStyle w:val="Compact"/>
              <w:jc w:val="left"/>
            </w:pPr>
            <w:r>
              <w:t xml:space="preserve">Host municipality</w:t>
            </w:r>
            <w:r>
              <w:t xml:space="preserve"> </w:t>
            </w:r>
            <w:r>
              <w:t xml:space="preserve">“</w:t>
            </w:r>
            <w:r>
              <w:t xml:space="preserve">very supportive</w:t>
            </w:r>
            <w:r>
              <w:t xml:space="preserve">”</w:t>
            </w:r>
          </w:p>
        </w:tc>
        <w:tc>
          <w:tcPr/>
          <w:p>
            <w:pPr>
              <w:pStyle w:val="Compact"/>
              <w:jc w:val="left"/>
            </w:pPr>
            <w:r>
              <w:t xml:space="preserve">National: 61% support nuclear electricity (2024, latest), but 59% keep the ban; older polls (2007, 2019) found local support 16–20 points lower</w:t>
            </w:r>
          </w:p>
        </w:tc>
        <w:tc>
          <w:tcPr/>
          <w:p>
            <w:pPr>
              <w:pStyle w:val="Compact"/>
              <w:jc w:val="left"/>
            </w:pPr>
            <w:r>
              <w:t xml:space="preserve">Support is conditional; a local poll is needed before any siting</w:t>
            </w:r>
          </w:p>
        </w:tc>
      </w:tr>
      <w:tr>
        <w:tc>
          <w:tcPr/>
          <w:p>
            <w:pPr>
              <w:pStyle w:val="Compact"/>
              <w:jc w:val="left"/>
            </w:pPr>
            <w:r>
              <w:t xml:space="preserve">Deaths per TWh; deaths avoided per unit-year</w:t>
            </w:r>
          </w:p>
        </w:tc>
        <w:tc>
          <w:tcPr/>
          <w:p>
            <w:pPr>
              <w:pStyle w:val="Compact"/>
              <w:jc w:val="left"/>
            </w:pPr>
            <w:r>
              <w:t xml:space="preserve">Nuclear 0.03 vs gas 2.82: about 6.6 if it displaces gas (Ontario has no coal)</w:t>
            </w:r>
          </w:p>
        </w:tc>
        <w:tc>
          <w:tcPr/>
          <w:p>
            <w:pPr>
              <w:pStyle w:val="Compact"/>
              <w:jc w:val="left"/>
            </w:pPr>
            <w:r>
              <w:t xml:space="preserve">Coal 24.62: about 58, an upper bound because coal exits by 2038; about zero against wind or solar</w:t>
            </w:r>
          </w:p>
        </w:tc>
        <w:tc>
          <w:tcPr/>
          <w:p>
            <w:pPr>
              <w:pStyle w:val="Compact"/>
              <w:jc w:val="left"/>
            </w:pPr>
            <w:r>
              <w:t xml:space="preserve">Nuclear’s death rate is about 820 times below coal’s, yet it sits at the extreme of the</w:t>
            </w:r>
            <w:r>
              <w:t xml:space="preserve"> </w:t>
            </w:r>
            <w:r>
              <w:t xml:space="preserve">“</w:t>
            </w:r>
            <w:r>
              <w:t xml:space="preserve">dread</w:t>
            </w:r>
            <w:r>
              <w:t xml:space="preserve">”</w:t>
            </w:r>
            <w:r>
              <w:t xml:space="preserve"> </w:t>
            </w:r>
            <w:r>
              <w:t xml:space="preserve">and</w:t>
            </w:r>
            <w:r>
              <w:t xml:space="preserve"> </w:t>
            </w:r>
            <w:r>
              <w:t xml:space="preserve">“</w:t>
            </w:r>
            <w:r>
              <w:t xml:space="preserve">unknown</w:t>
            </w:r>
            <w:r>
              <w:t xml:space="preserve">”</w:t>
            </w:r>
            <w:r>
              <w:t xml:space="preserve"> </w:t>
            </w:r>
            <w:r>
              <w:t xml:space="preserve">risk factors (Slovic, 1987) [TO VERIFY], so safety data do not build acceptance (working: Appendix B8.1)</w:t>
            </w:r>
          </w:p>
        </w:tc>
      </w:tr>
      <w:tr>
        <w:tc>
          <w:tcPr/>
          <w:p>
            <w:pPr>
              <w:pStyle w:val="Compact"/>
              <w:jc w:val="left"/>
            </w:pPr>
            <w:r>
              <w:t xml:space="preserve">Traditional Owners and consent mechanism</w:t>
            </w:r>
          </w:p>
        </w:tc>
        <w:tc>
          <w:tcPr/>
          <w:p>
            <w:pPr>
              <w:pStyle w:val="Compact"/>
              <w:jc w:val="left"/>
            </w:pPr>
            <w:r>
              <w:t xml:space="preserve">Williams Treaties First Nations; duty to consult met; C$700 m loan converting to equity, guaranteed 50/50 by federal and Ontario programmes</w:t>
            </w:r>
          </w:p>
        </w:tc>
        <w:tc>
          <w:tcPr/>
          <w:p>
            <w:pPr>
              <w:pStyle w:val="Compact"/>
              <w:jc w:val="left"/>
            </w:pPr>
            <w:r>
              <w:t xml:space="preserve">Wonnarua people; no public position located in our searches (October 2026), which is itself a finding; no process</w:t>
            </w:r>
          </w:p>
        </w:tc>
        <w:tc>
          <w:tcPr/>
          <w:p>
            <w:pPr>
              <w:pStyle w:val="Compact"/>
              <w:jc w:val="left"/>
            </w:pPr>
            <w:r>
              <w:t xml:space="preserve">Canada has a funded way to say yes; Australia has none</w:t>
            </w:r>
          </w:p>
        </w:tc>
      </w:tr>
      <w:tr>
        <w:tc>
          <w:tcPr/>
          <w:p>
            <w:pPr>
              <w:pStyle w:val="Compact"/>
              <w:jc w:val="left"/>
            </w:pPr>
            <w:r>
              <w:t xml:space="preserve">Residual dissent and litigation</w:t>
            </w:r>
          </w:p>
        </w:tc>
        <w:tc>
          <w:tcPr/>
          <w:p>
            <w:pPr>
              <w:pStyle w:val="Compact"/>
              <w:jc w:val="left"/>
            </w:pPr>
            <w:r>
              <w:t xml:space="preserve">In 2023–24 Mississaugas of Scugog Island sought</w:t>
            </w:r>
            <w:r>
              <w:t xml:space="preserve"> </w:t>
            </w:r>
            <w:r>
              <w:t xml:space="preserve">“</w:t>
            </w:r>
            <w:r>
              <w:t xml:space="preserve">conditions for consent</w:t>
            </w:r>
            <w:r>
              <w:t xml:space="preserve">”</w:t>
            </w:r>
            <w:r>
              <w:t xml:space="preserve"> </w:t>
            </w:r>
            <w:r>
              <w:t xml:space="preserve">and Curve Lake said treaty rights were not shown to be considered; their view of the 2026 deal is not recorded</w:t>
            </w:r>
          </w:p>
        </w:tc>
        <w:tc>
          <w:tcPr/>
          <w:p>
            <w:pPr>
              <w:pStyle w:val="Compact"/>
              <w:jc w:val="left"/>
            </w:pPr>
            <w:r>
              <w:t xml:space="preserve">Kimba waste ballot: 61.6% yes, below the reported 65% benchmark, Barngarla excluded (their own poll 100% no); the 2023 Federal Court set aside the ministerial declaration for apprehended bias</w:t>
            </w:r>
          </w:p>
        </w:tc>
        <w:tc>
          <w:tcPr/>
          <w:p>
            <w:pPr>
              <w:pStyle w:val="Compact"/>
              <w:jc w:val="left"/>
            </w:pPr>
            <w:r>
              <w:t xml:space="preserve">Excluding Traditional Owners left the declaration open to challenge in court</w:t>
            </w:r>
          </w:p>
        </w:tc>
      </w:tr>
      <w:tr>
        <w:tc>
          <w:tcPr/>
          <w:p>
            <w:pPr>
              <w:pStyle w:val="Compact"/>
              <w:jc w:val="left"/>
            </w:pPr>
            <w:r>
              <w:t xml:space="preserve">Waste route</w:t>
            </w:r>
          </w:p>
        </w:tc>
        <w:tc>
          <w:tcPr/>
          <w:p>
            <w:pPr>
              <w:pStyle w:val="Compact"/>
              <w:jc w:val="left"/>
            </w:pPr>
            <w:r>
              <w:t xml:space="preserve">Volunteer siting from 2010: 22 communities to 1 in 14 years; Ignace vote 77%; C$170 m over 81 years to the host; C$26 bn lifecycle cost paid by producers</w:t>
            </w:r>
          </w:p>
        </w:tc>
        <w:tc>
          <w:tcPr/>
          <w:p>
            <w:pPr>
              <w:pStyle w:val="Compact"/>
              <w:jc w:val="left"/>
            </w:pPr>
            <w:r>
              <w:t xml:space="preserve">No disposal route even for research-reactor waste</w:t>
            </w:r>
          </w:p>
        </w:tc>
        <w:tc>
          <w:tcPr/>
          <w:p>
            <w:pPr>
              <w:pStyle w:val="Compact"/>
              <w:jc w:val="left"/>
            </w:pPr>
            <w:r>
              <w:t xml:space="preserve">Waste is a hard gate for Liddell</w:t>
            </w:r>
          </w:p>
        </w:tc>
      </w:tr>
      <w:tr>
        <w:tc>
          <w:tcPr/>
          <w:p>
            <w:pPr>
              <w:pStyle w:val="Compact"/>
              <w:jc w:val="left"/>
            </w:pPr>
            <w:r>
              <w:t xml:space="preserve">Workforce and unions</w:t>
            </w:r>
          </w:p>
        </w:tc>
        <w:tc>
          <w:tcPr/>
          <w:p>
            <w:pPr>
              <w:pStyle w:val="Compact"/>
              <w:jc w:val="left"/>
            </w:pPr>
            <w:r>
              <w:t xml:space="preserve">About 1,900 union members at the site; about 1,600 manufacturing and construction and 200 operating jobs per SMR (average annual, direct and related, gross); unions support</w:t>
            </w:r>
          </w:p>
        </w:tc>
        <w:tc>
          <w:tcPr/>
          <w:p>
            <w:pPr>
              <w:pStyle w:val="Compact"/>
              <w:jc w:val="left"/>
            </w:pPr>
            <w:r>
              <w:t xml:space="preserve">“</w:t>
            </w:r>
            <w:r>
              <w:t xml:space="preserve">No current Australian talent pool</w:t>
            </w:r>
            <w:r>
              <w:t xml:space="preserve">”</w:t>
            </w:r>
            <w:r>
              <w:t xml:space="preserve"> </w:t>
            </w:r>
            <w:r>
              <w:t xml:space="preserve">for civil nuclear roles; 76,950-worker shortfall in four trades by 2030–31 (before submarine demand [TO VERIFY]); AUKUS needs about 20,000 jobs over 30 years; ACTU and ETU oppose</w:t>
            </w:r>
          </w:p>
        </w:tc>
        <w:tc>
          <w:tcPr/>
          <w:p>
            <w:pPr>
              <w:pStyle w:val="Compact"/>
              <w:jc w:val="left"/>
            </w:pPr>
            <w:r>
              <w:t xml:space="preserve">A civil SMR would compete with AUKUS for scarce trades</w:t>
            </w:r>
          </w:p>
        </w:tc>
      </w:tr>
    </w:tbl>
    <w:p>
      <w:pPr>
        <w:pStyle w:val="BodyText"/>
      </w:pPr>
      <w:r>
        <w:rPr>
          <w:iCs/>
          <w:i/>
        </w:rPr>
        <w:t xml:space="preserve">Table T13. Social-licence routes for an SMR at Liddell: total score (criteria scored 1–3 on legitimacy, legal risk, speed, public cost and fairness; one criterion doubled in each weighted column).</w:t>
      </w:r>
      <w:r>
        <w:t xml:space="preserve"> </w:t>
      </w:r>
      <w:r>
        <w:rPr>
          <w:iCs/>
          <w:i/>
        </w:rPr>
        <w:t xml:space="preserve">Source: our judgement from the evidence in T12, calculated in</w:t>
      </w:r>
      <w:r>
        <w:rPr>
          <w:iCs/>
          <w:i/>
        </w:rPr>
        <w:t xml:space="preserve"> </w:t>
      </w:r>
      <w:r>
        <w:rPr>
          <w:rStyle w:val="VerbatimChar"/>
          <w:iCs/>
          <w:i/>
        </w:rPr>
        <w:t xml:space="preserve">social_licence.py</w:t>
      </w:r>
      <w:r>
        <w:rPr>
          <w:iCs/>
          <w:i/>
        </w:rPr>
        <w:t xml:space="preserve"> </w:t>
      </w:r>
      <w:r>
        <w:rPr>
          <w:iCs/>
          <w:i/>
        </w:rPr>
        <w:t xml:space="preserve">(Appendix B8.3); route models from Newcastle Herald (2024b), NWMO (2024a; 2024c) and Williams Treaties First Nations et al. (2026). Scores [TO VERIFY] as their evidence is verified.</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Route</w:t>
            </w:r>
          </w:p>
        </w:tc>
        <w:tc>
          <w:tcPr/>
          <w:p>
            <w:pPr>
              <w:pStyle w:val="Compact"/>
              <w:jc w:val="right"/>
            </w:pPr>
            <w:r>
              <w:t xml:space="preserve">Equal weights</w:t>
            </w:r>
          </w:p>
        </w:tc>
        <w:tc>
          <w:tcPr/>
          <w:p>
            <w:pPr>
              <w:pStyle w:val="Compact"/>
              <w:jc w:val="right"/>
            </w:pPr>
            <w:r>
              <w:t xml:space="preserve">Legitimacy ×2</w:t>
            </w:r>
          </w:p>
        </w:tc>
        <w:tc>
          <w:tcPr/>
          <w:p>
            <w:pPr>
              <w:pStyle w:val="Compact"/>
              <w:jc w:val="right"/>
            </w:pPr>
            <w:r>
              <w:t xml:space="preserve">Speed ×2</w:t>
            </w:r>
          </w:p>
        </w:tc>
        <w:tc>
          <w:tcPr/>
          <w:p>
            <w:pPr>
              <w:pStyle w:val="Compact"/>
              <w:jc w:val="right"/>
            </w:pPr>
            <w:r>
              <w:t xml:space="preserve">Fairness ×2</w:t>
            </w:r>
          </w:p>
        </w:tc>
        <w:tc>
          <w:tcPr/>
          <w:p>
            <w:pPr>
              <w:pStyle w:val="Compact"/>
              <w:jc w:val="right"/>
            </w:pPr>
            <w:r>
              <w:t xml:space="preserve">Public cost ×2</w:t>
            </w:r>
          </w:p>
        </w:tc>
      </w:tr>
      <w:tr>
        <w:tc>
          <w:tcPr/>
          <w:p>
            <w:pPr>
              <w:pStyle w:val="Compact"/>
              <w:jc w:val="left"/>
            </w:pPr>
            <w:r>
              <w:t xml:space="preserve">R1. Commonwealth-led siting, with compulsory acquisition if needed (2024 Coalition model)</w:t>
            </w:r>
          </w:p>
        </w:tc>
        <w:tc>
          <w:tcPr/>
          <w:p>
            <w:pPr>
              <w:pStyle w:val="Compact"/>
              <w:jc w:val="right"/>
            </w:pPr>
            <w:r>
              <w:t xml:space="preserve">7</w:t>
            </w:r>
          </w:p>
        </w:tc>
        <w:tc>
          <w:tcPr/>
          <w:p>
            <w:pPr>
              <w:pStyle w:val="Compact"/>
              <w:jc w:val="right"/>
            </w:pPr>
            <w:r>
              <w:t xml:space="preserve">8</w:t>
            </w:r>
          </w:p>
        </w:tc>
        <w:tc>
          <w:tcPr/>
          <w:p>
            <w:pPr>
              <w:pStyle w:val="Compact"/>
              <w:jc w:val="right"/>
            </w:pPr>
            <w:r>
              <w:t xml:space="preserve">9</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R2. Volunteer host with a willingness test that includes Traditional Owners, plus a hosting agreement (NWMO model)</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13</w:t>
            </w:r>
          </w:p>
        </w:tc>
        <w:tc>
          <w:tcPr/>
          <w:p>
            <w:pPr>
              <w:pStyle w:val="Compact"/>
              <w:jc w:val="right"/>
            </w:pPr>
            <w:r>
              <w:rPr>
                <w:bCs/>
                <w:b/>
              </w:rPr>
              <w:t xml:space="preserve">13</w:t>
            </w:r>
          </w:p>
        </w:tc>
      </w:tr>
      <w:tr>
        <w:tc>
          <w:tcPr/>
          <w:p>
            <w:pPr>
              <w:pStyle w:val="Compact"/>
              <w:jc w:val="left"/>
            </w:pPr>
            <w:r>
              <w:t xml:space="preserve">R3. R2 plus First Nations equity with a government loan guarantee (Williams Treaties model)</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rPr>
                <w:bCs/>
                <w:b/>
              </w:rPr>
              <w:t xml:space="preserve">14</w:t>
            </w:r>
          </w:p>
        </w:tc>
        <w:tc>
          <w:tcPr/>
          <w:p>
            <w:pPr>
              <w:pStyle w:val="Compact"/>
              <w:jc w:val="right"/>
            </w:pPr>
            <w:r>
              <w:t xml:space="preserve">12</w:t>
            </w:r>
          </w:p>
        </w:tc>
      </w:tr>
      <w:tr>
        <w:tc>
          <w:tcPr/>
          <w:p>
            <w:pPr>
              <w:pStyle w:val="Compact"/>
              <w:jc w:val="left"/>
            </w:pPr>
            <w:r>
              <w:t xml:space="preserve">R4. No SMR: firmed renewables at Liddell (AGL’s plan)</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16</w:t>
            </w:r>
          </w:p>
        </w:tc>
        <w:tc>
          <w:tcPr/>
          <w:p>
            <w:pPr>
              <w:pStyle w:val="Compact"/>
              <w:jc w:val="right"/>
            </w:pPr>
            <w:r>
              <w:t xml:space="preserve">17</w:t>
            </w:r>
          </w:p>
        </w:tc>
      </w:tr>
    </w:tbl>
    <w:p>
      <w:pPr>
        <w:pStyle w:val="BodyText"/>
      </w:pPr>
      <w:r>
        <w:rPr>
          <w:iCs/>
          <w:i/>
        </w:rPr>
        <w:t xml:space="preserve">Reading: consent-based routes (R2, R3) beat top-down siting (R1) by 3–6 points under every weighting, even with R1’s advantages (speed, and public cost against R3) doubled. R4 scores highest throughout, so on social licence alone the Australian SMR case is weaker than the alternative; §9 weighs this against carbon and cost.</w:t>
      </w:r>
    </w:p>
    <w:p>
      <w:r>
        <w:pict>
          <v:rect style="width:0;height:1.5pt" o:hralign="center" o:hrstd="t" o:hr="t"/>
        </w:pict>
      </w:r>
    </w:p>
    <w:bookmarkEnd w:id="42"/>
    <w:bookmarkStart w:id="43" w:name="stakeholders-and-money-flows"/>
    <w:p>
      <w:pPr>
        <w:pStyle w:val="Heading2"/>
      </w:pPr>
      <w:r>
        <w:t xml:space="preserve">8.5 Stakeholders and money flows</w:t>
      </w:r>
    </w:p>
    <w:p>
      <w:pPr>
        <w:pStyle w:val="FirstParagraph"/>
      </w:pPr>
      <w:r>
        <w:t xml:space="preserve">At Darlington none of the seven high-power actors opposes the project; at Liddell three of the four do (the Commonwealth, NSW and AGL), and the only strong supporter, the federal Coalition, is in opposition. Our power-weighted stance scores (−2 to +2; our judgement, not survey data; Figure 8; Appendix B8.2) are +1.07 and −1.03.</w:t>
      </w:r>
    </w:p>
    <w:p>
      <w:pPr>
        <w:pStyle w:val="BodyText"/>
      </w:pPr>
      <w:r>
        <w:t xml:space="preserve">Money follows the same pattern (Table T14). OPG carries about 78% of Darlington on its balance sheet (by subtraction; our calculation), recovered through rates the Ontario Energy Board approves, while federal, provincial and First Nations finance lowers the cost of capital and spreads ownership. That model needs a publicly owned utility with a regulated rate base. Liddell has a private owner, so an SMR there would need Commonwealth ownership, as in the Coalition’s 2024 model, with taxpayers carrying the cost risk (ABC News, 2024) [TO VERIFY: news source; replace with the Coalition’s 19 June 2024 release, or state the limit in §11].</w:t>
      </w:r>
    </w:p>
    <w:p>
      <w:pPr>
        <w:pStyle w:val="BodyText"/>
      </w:pPr>
      <w:r>
        <w:t xml:space="preserve">For C1, the decisive actors are OPG as buyer, GE Vernova Hitachi as owner of the infill specification, and the two equity funds at the Units 2–4 tranche (§8.2). None is opposed, but none yet has a reason to act; the tranche condition supplies one (§8.6).</w:t>
      </w:r>
    </w:p>
    <w:p>
      <w:pPr>
        <w:pStyle w:val="BodyText"/>
      </w:pPr>
      <w:r>
        <w:t xml:space="preserve">[Figure 8: Stakeholder power/interest maps for Darlington Units 2–4 with C1 (left) and a hypothetical BWRX-300 at Liddell (right). Numbered markers identify actors; colour shows stance from strongly for to strongly against. Positions are our judgement from the evidence in §8.1–8.4. Insert</w:t>
      </w:r>
      <w:r>
        <w:t xml:space="preserve"> </w:t>
      </w:r>
      <w:r>
        <w:rPr>
          <w:rStyle w:val="VerbatimChar"/>
        </w:rPr>
        <w:t xml:space="preserve">03_LCA_Calculations/results/F8_stakeholder_map.png</w:t>
      </w:r>
      <w:r>
        <w:t xml:space="preserve"> </w:t>
      </w:r>
      <w:r>
        <w:t xml:space="preserve">here (re-export first: its footnote must read</w:t>
      </w:r>
      <w:r>
        <w:t xml:space="preserve"> </w:t>
      </w:r>
      <w:r>
        <w:t xml:space="preserve">“</w:t>
      </w:r>
      <w:r>
        <w:t xml:space="preserve">our judgement</w:t>
      </w:r>
      <w:r>
        <w:t xml:space="preserve">”</w:t>
      </w:r>
      <w:r>
        <w:t xml:space="preserve">, not</w:t>
      </w:r>
      <w:r>
        <w:t xml:space="preserve"> </w:t>
      </w:r>
      <w:r>
        <w:t xml:space="preserve">“</w:t>
      </w:r>
      <w:r>
        <w:t xml:space="preserve">analyst’s judgement</w:t>
      </w:r>
      <w:r>
        <w:t xml:space="preserve">”</w:t>
      </w:r>
      <w:r>
        <w:t xml:space="preserve">) | Source: our analysis (</w:t>
      </w:r>
      <w:r>
        <w:rPr>
          <w:rStyle w:val="VerbatimChar"/>
        </w:rPr>
        <w:t xml:space="preserve">social_licence.py</w:t>
      </w:r>
      <w:r>
        <w:t xml:space="preserve">, Appendix B8.2), from the sources cited in §8.1–8.4]</w:t>
      </w:r>
    </w:p>
    <w:p>
      <w:pPr>
        <w:pStyle w:val="BodyText"/>
      </w:pPr>
      <w:r>
        <w:rPr>
          <w:iCs/>
          <w:i/>
        </w:rPr>
        <w:t xml:space="preserve">Table T14. Who pays and who earns: the C$20.9 bn Darlington New Nuclear Project, and the Liddell alternative.</w:t>
      </w:r>
      <w:r>
        <w:t xml:space="preserve"> </w:t>
      </w:r>
      <w:r>
        <w:rPr>
          <w:iCs/>
          <w:i/>
        </w:rPr>
        <w:t xml:space="preserve">Source: Government of Ontario (2025); Canada Infrastructure Bank (2022); Canada Growth Fund and Building Ontario Fund (2025); Ontario Power Generation (2025b; 2026a); Williams Treaties First Nations et al. (2026); NWMO (2024c; n.d.); ABC News (2024); shares calculated in</w:t>
      </w:r>
      <w:r>
        <w:rPr>
          <w:iCs/>
          <w:i/>
        </w:rPr>
        <w:t xml:space="preserve"> </w:t>
      </w:r>
      <w:r>
        <w:rPr>
          <w:rStyle w:val="VerbatimChar"/>
          <w:iCs/>
          <w:i/>
        </w:rPr>
        <w:t xml:space="preserve">social_licence.py</w:t>
      </w:r>
      <w:r>
        <w:rPr>
          <w:iCs/>
          <w:i/>
        </w:rPr>
        <w:t xml:space="preserve"> </w:t>
      </w:r>
      <w:r>
        <w:rPr>
          <w:iCs/>
          <w:i/>
        </w:rPr>
        <w:t xml:space="preserve">(Appendix B8.4). Debt and equity are added only to show scale. All [TO VERIFY].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Flow</w:t>
            </w:r>
          </w:p>
        </w:tc>
        <w:tc>
          <w:tcPr/>
          <w:p>
            <w:pPr>
              <w:pStyle w:val="Compact"/>
              <w:jc w:val="left"/>
            </w:pPr>
            <w:r>
              <w:t xml:space="preserve">Who pays</w:t>
            </w:r>
          </w:p>
        </w:tc>
        <w:tc>
          <w:tcPr/>
          <w:p>
            <w:pPr>
              <w:pStyle w:val="Compact"/>
              <w:jc w:val="left"/>
            </w:pPr>
            <w:r>
              <w:t xml:space="preserve">Who earns</w:t>
            </w:r>
          </w:p>
        </w:tc>
        <w:tc>
          <w:tcPr/>
          <w:p>
            <w:pPr>
              <w:pStyle w:val="Compact"/>
              <w:jc w:val="left"/>
            </w:pPr>
            <w:r>
              <w:t xml:space="preserve">Amount (share of C$20.9 bn)</w:t>
            </w:r>
          </w:p>
        </w:tc>
      </w:tr>
      <w:tr>
        <w:tc>
          <w:tcPr/>
          <w:p>
            <w:pPr>
              <w:pStyle w:val="Compact"/>
              <w:jc w:val="left"/>
            </w:pPr>
            <w:r>
              <w:t xml:space="preserve">OPG’s share, recovered through Ontario Energy Board-approved payment amounts</w:t>
            </w:r>
          </w:p>
        </w:tc>
        <w:tc>
          <w:tcPr/>
          <w:p>
            <w:pPr>
              <w:pStyle w:val="Compact"/>
              <w:jc w:val="left"/>
            </w:pPr>
            <w:r>
              <w:t xml:space="preserve">OPG’s balance sheet, repaid by Ontario ratepayers</w:t>
            </w:r>
          </w:p>
        </w:tc>
        <w:tc>
          <w:tcPr/>
          <w:p>
            <w:pPr>
              <w:pStyle w:val="Compact"/>
              <w:jc w:val="left"/>
            </w:pPr>
            <w:r>
              <w:t xml:space="preserve">GE Vernova Hitachi, its construction partners, suppliers (80% of spending claimed to go to Ontario firms)</w:t>
            </w:r>
          </w:p>
        </w:tc>
        <w:tc>
          <w:tcPr/>
          <w:p>
            <w:pPr>
              <w:pStyle w:val="Compact"/>
              <w:jc w:val="left"/>
            </w:pPr>
            <w:r>
              <w:t xml:space="preserve">C$16.2 bn (78%, by subtraction; our calculation)</w:t>
            </w:r>
          </w:p>
        </w:tc>
      </w:tr>
      <w:tr>
        <w:tc>
          <w:tcPr/>
          <w:p>
            <w:pPr>
              <w:pStyle w:val="Compact"/>
              <w:jc w:val="left"/>
            </w:pPr>
            <w:r>
              <w:t xml:space="preserve">Phase 1 loan</w:t>
            </w:r>
          </w:p>
        </w:tc>
        <w:tc>
          <w:tcPr/>
          <w:p>
            <w:pPr>
              <w:pStyle w:val="Compact"/>
              <w:jc w:val="left"/>
            </w:pPr>
            <w:r>
              <w:t xml:space="preserve">Canada Infrastructure Bank (federal)</w:t>
            </w:r>
          </w:p>
        </w:tc>
        <w:tc>
          <w:tcPr/>
          <w:p>
            <w:pPr>
              <w:pStyle w:val="Compact"/>
              <w:jc w:val="left"/>
            </w:pPr>
            <w:r>
              <w:t xml:space="preserve">The project; the bank earns interest</w:t>
            </w:r>
          </w:p>
        </w:tc>
        <w:tc>
          <w:tcPr/>
          <w:p>
            <w:pPr>
              <w:pStyle w:val="Compact"/>
              <w:jc w:val="left"/>
            </w:pPr>
            <w:r>
              <w:t xml:space="preserve">C$0.97 bn (4.6%)</w:t>
            </w:r>
          </w:p>
        </w:tc>
      </w:tr>
      <w:tr>
        <w:tc>
          <w:tcPr/>
          <w:p>
            <w:pPr>
              <w:pStyle w:val="Compact"/>
              <w:jc w:val="left"/>
            </w:pPr>
            <w:r>
              <w:t xml:space="preserve">Equity in two tranches; the second tied to Units 2–4 milestones</w:t>
            </w:r>
          </w:p>
        </w:tc>
        <w:tc>
          <w:tcPr/>
          <w:p>
            <w:pPr>
              <w:pStyle w:val="Compact"/>
              <w:jc w:val="left"/>
            </w:pPr>
            <w:r>
              <w:t xml:space="preserve">Canada Growth Fund (federal) and Building Ontario Fund (Ontario)</w:t>
            </w:r>
          </w:p>
        </w:tc>
        <w:tc>
          <w:tcPr/>
          <w:p>
            <w:pPr>
              <w:pStyle w:val="Compact"/>
              <w:jc w:val="left"/>
            </w:pPr>
            <w:r>
              <w:t xml:space="preserve">Returns on stakes of up to 15% and up to 7.5%</w:t>
            </w:r>
          </w:p>
        </w:tc>
        <w:tc>
          <w:tcPr/>
          <w:p>
            <w:pPr>
              <w:pStyle w:val="Compact"/>
              <w:jc w:val="left"/>
            </w:pPr>
            <w:r>
              <w:t xml:space="preserve">C$2.0 bn and C$1.0 bn (14.4%); C$0.585 bn received April 2026</w:t>
            </w:r>
          </w:p>
        </w:tc>
      </w:tr>
      <w:tr>
        <w:tc>
          <w:tcPr/>
          <w:p>
            <w:pPr>
              <w:pStyle w:val="Compact"/>
              <w:jc w:val="left"/>
            </w:pPr>
            <w:r>
              <w:t xml:space="preserve">Loan converting to equity after all four units</w:t>
            </w:r>
          </w:p>
        </w:tc>
        <w:tc>
          <w:tcPr/>
          <w:p>
            <w:pPr>
              <w:pStyle w:val="Compact"/>
              <w:jc w:val="left"/>
            </w:pPr>
            <w:r>
              <w:t xml:space="preserve">Williams Treaties First Nations; federal and Ontario guarantors carry the default risk</w:t>
            </w:r>
          </w:p>
        </w:tc>
        <w:tc>
          <w:tcPr/>
          <w:p>
            <w:pPr>
              <w:pStyle w:val="Compact"/>
              <w:jc w:val="left"/>
            </w:pPr>
            <w:r>
              <w:t xml:space="preserve">First Nations equity returns</w:t>
            </w:r>
          </w:p>
        </w:tc>
        <w:tc>
          <w:tcPr/>
          <w:p>
            <w:pPr>
              <w:pStyle w:val="Compact"/>
              <w:jc w:val="left"/>
            </w:pPr>
            <w:r>
              <w:t xml:space="preserve">C$0.70 bn (3.3%)</w:t>
            </w:r>
          </w:p>
        </w:tc>
      </w:tr>
      <w:tr>
        <w:tc>
          <w:tcPr/>
          <w:p>
            <w:pPr>
              <w:pStyle w:val="Compact"/>
              <w:jc w:val="left"/>
            </w:pPr>
            <w:r>
              <w:t xml:space="preserve">Spent-fuel disposal (all Canadian used fuel)</w:t>
            </w:r>
          </w:p>
        </w:tc>
        <w:tc>
          <w:tcPr/>
          <w:p>
            <w:pPr>
              <w:pStyle w:val="Compact"/>
              <w:jc w:val="left"/>
            </w:pPr>
            <w:r>
              <w:t xml:space="preserve">OPG and other producers, so ratepayers, through statutory trust funds</w:t>
            </w:r>
          </w:p>
        </w:tc>
        <w:tc>
          <w:tcPr/>
          <w:p>
            <w:pPr>
              <w:pStyle w:val="Compact"/>
              <w:jc w:val="left"/>
            </w:pPr>
            <w:r>
              <w:t xml:space="preserve">Waste agency; host communities (Ignace: C$170 m over 81 years)</w:t>
            </w:r>
          </w:p>
        </w:tc>
        <w:tc>
          <w:tcPr/>
          <w:p>
            <w:pPr>
              <w:pStyle w:val="Compact"/>
              <w:jc w:val="left"/>
            </w:pPr>
            <w:r>
              <w:t xml:space="preserve">C$26 bn lifecycle (outside the C$20.9 bn)</w:t>
            </w:r>
          </w:p>
        </w:tc>
      </w:tr>
      <w:tr>
        <w:tc>
          <w:tcPr/>
          <w:p>
            <w:pPr>
              <w:pStyle w:val="Compact"/>
              <w:jc w:val="left"/>
            </w:pPr>
            <w:r>
              <w:rPr>
                <w:bCs/>
                <w:b/>
              </w:rPr>
              <w:t xml:space="preserve">Liddell (hypothetical)</w:t>
            </w:r>
          </w:p>
        </w:tc>
        <w:tc>
          <w:tcPr/>
          <w:p>
            <w:pPr>
              <w:pStyle w:val="Compact"/>
              <w:jc w:val="left"/>
            </w:pPr>
            <w:r>
              <w:t xml:space="preserve">Commonwealth taxpayers, under the 2024 Coalition model</w:t>
            </w:r>
          </w:p>
        </w:tc>
        <w:tc>
          <w:tcPr/>
          <w:p>
            <w:pPr>
              <w:pStyle w:val="Compact"/>
              <w:jc w:val="left"/>
            </w:pPr>
            <w:r>
              <w:t xml:space="preserve">Vendor and construction workforce; AGL, if paid for the site</w:t>
            </w:r>
          </w:p>
        </w:tc>
        <w:tc>
          <w:tcPr/>
          <w:p>
            <w:pPr>
              <w:pStyle w:val="Compact"/>
              <w:jc w:val="left"/>
            </w:pPr>
            <w:r>
              <w:t xml:space="preserve">Not costed (§8.2)</w:t>
            </w:r>
          </w:p>
        </w:tc>
      </w:tr>
    </w:tbl>
    <w:p>
      <w:r>
        <w:pict>
          <v:rect style="width:0;height:1.5pt" o:hralign="center" o:hrstd="t" o:hr="t"/>
        </w:pict>
      </w:r>
    </w:p>
    <w:bookmarkEnd w:id="43"/>
    <w:bookmarkStart w:id="44" w:name="implementation-pathway"/>
    <w:p>
      <w:pPr>
        <w:pStyle w:val="Heading2"/>
      </w:pPr>
      <w:r>
        <w:t xml:space="preserve">8.6 Implementation pathway</w:t>
      </w:r>
    </w:p>
    <w:p>
      <w:pPr>
        <w:pStyle w:val="FirstParagraph"/>
      </w:pPr>
      <w:r>
        <w:rPr>
          <w:bCs/>
          <w:b/>
        </w:rPr>
        <w:t xml:space="preserve">C1 can be built with no added delay on the evidence available (delay of about 9 to 15 days per unit would cancel its saving, §7) if OPG applies a carbon specification to eligible non-safety concrete now (the LC³ pilot), qualifies the steel-composite infill mix on a Unit 1 mock-up, and ties a milestone to the Units 2–4 equity tranche.</w:t>
      </w:r>
      <w:r>
        <w:t xml:space="preserve"> </w:t>
      </w:r>
      <w:r>
        <w:t xml:space="preserve">The levers in Table T16 are scored on enforceability, speed and low schedule risk (1 to 3 each, our judgement from the evidence, not sourced scores). L1 and L2 score best, at 8 each. If enforceability counts double, L2 leads with 11; if speed counts double, L1 leads with 11; the recommendation (L1 now, L2 at tranche 2) is the same under both. L1 is C1’s pilot step, not an add-on. It sets a 10% floor and invites LC³, which cuts 29% (380 to 270 kg CO₂e/m³; team deck, from Pillai et al., 2019 [TO VERIFY: not yet in sources.md]). The floor alone would save about 380, 760 or 1,140 t per unit; the full LC³ swap, if 20%, 40% or 60% of each unit’s 50,000 m³ of concrete is eligible, saves 1,100, 2,200 or 3,300 t CO₂e per unit (40% central) [C1 saving: per final §6; the 2,200 t central case is provisional, from the team deck].</w:t>
      </w:r>
    </w:p>
    <w:p>
      <w:pPr>
        <w:pStyle w:val="BodyText"/>
      </w:pPr>
      <w:r>
        <w:rPr>
          <w:iCs/>
          <w:i/>
        </w:rPr>
        <w:t xml:space="preserve">Table T16. Levers for putting C1 into practice, compared.</w:t>
      </w:r>
      <w:r>
        <w:t xml:space="preserve"> </w:t>
      </w:r>
      <w:r>
        <w:rPr>
          <w:iCs/>
          <w:i/>
        </w:rPr>
        <w:t xml:space="preserve">Source: our evaluation from Treasury Board of Canada Secretariat (2022; 2025); Canada Growth Fund and Building Ontario Fund (2025); Ontario Power Generation (2025b); Canadian Nuclear Safety Commission (2025). Scores are our judgement. [TO VERIFY]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Lever</w:t>
            </w:r>
          </w:p>
        </w:tc>
        <w:tc>
          <w:tcPr/>
          <w:p>
            <w:pPr>
              <w:pStyle w:val="Compact"/>
              <w:jc w:val="left"/>
            </w:pPr>
            <w:r>
              <w:t xml:space="preserve">Binding on OPG?</w:t>
            </w:r>
          </w:p>
        </w:tc>
        <w:tc>
          <w:tcPr/>
          <w:p>
            <w:pPr>
              <w:pStyle w:val="Compact"/>
              <w:jc w:val="left"/>
            </w:pPr>
            <w:r>
              <w:t xml:space="preserve">Time to take effect</w:t>
            </w:r>
          </w:p>
        </w:tc>
        <w:tc>
          <w:tcPr/>
          <w:p>
            <w:pPr>
              <w:pStyle w:val="Compact"/>
              <w:jc w:val="left"/>
            </w:pPr>
            <w:r>
              <w:t xml:space="preserve">Schedule risk</w:t>
            </w:r>
          </w:p>
        </w:tc>
        <w:tc>
          <w:tcPr/>
          <w:p>
            <w:pPr>
              <w:pStyle w:val="Compact"/>
              <w:jc w:val="left"/>
            </w:pPr>
            <w:r>
              <w:t xml:space="preserve">Score (enforceability / speed / low risk)</w:t>
            </w:r>
          </w:p>
        </w:tc>
      </w:tr>
      <w:tr>
        <w:tc>
          <w:tcPr/>
          <w:p>
            <w:pPr>
              <w:pStyle w:val="Compact"/>
              <w:jc w:val="left"/>
            </w:pPr>
            <w:r>
              <w:t xml:space="preserve">L1. OPG specification: environmental product declarations (EPDs) and concrete at least 10% below the regional baseline, for non-safety concrete first</w:t>
            </w:r>
          </w:p>
        </w:tc>
        <w:tc>
          <w:tcPr/>
          <w:p>
            <w:pPr>
              <w:pStyle w:val="Compact"/>
              <w:jc w:val="left"/>
            </w:pPr>
            <w:r>
              <w:t xml:space="preserve">Yes (own contracts)</w:t>
            </w:r>
          </w:p>
        </w:tc>
        <w:tc>
          <w:tcPr/>
          <w:p>
            <w:pPr>
              <w:pStyle w:val="Compact"/>
              <w:jc w:val="left"/>
            </w:pPr>
            <w:r>
              <w:t xml:space="preserve">Next procurement round (2027)</w:t>
            </w:r>
          </w:p>
        </w:tc>
        <w:tc>
          <w:tcPr/>
          <w:p>
            <w:pPr>
              <w:pStyle w:val="Compact"/>
              <w:jc w:val="left"/>
            </w:pPr>
            <w:r>
              <w:t xml:space="preserve">Low</w:t>
            </w:r>
          </w:p>
        </w:tc>
        <w:tc>
          <w:tcPr/>
          <w:p>
            <w:pPr>
              <w:pStyle w:val="Compact"/>
              <w:jc w:val="left"/>
            </w:pPr>
            <w:r>
              <w:t xml:space="preserve">2 / 3 / 3 =</w:t>
            </w:r>
            <w:r>
              <w:t xml:space="preserve"> </w:t>
            </w:r>
            <w:r>
              <w:rPr>
                <w:bCs/>
                <w:b/>
              </w:rPr>
              <w:t xml:space="preserve">8</w:t>
            </w:r>
          </w:p>
        </w:tc>
      </w:tr>
      <w:tr>
        <w:tc>
          <w:tcPr/>
          <w:p>
            <w:pPr>
              <w:pStyle w:val="Compact"/>
              <w:jc w:val="left"/>
            </w:pPr>
            <w:r>
              <w:t xml:space="preserve">L2. Milestone on the Units 2–4 equity tranche: EPD disclosure plus a reduction target, with a schedule-neutral exemption</w:t>
            </w:r>
          </w:p>
        </w:tc>
        <w:tc>
          <w:tcPr/>
          <w:p>
            <w:pPr>
              <w:pStyle w:val="Compact"/>
              <w:jc w:val="left"/>
            </w:pPr>
            <w:r>
              <w:t xml:space="preserve">Yes, if the funds agree</w:t>
            </w:r>
          </w:p>
        </w:tc>
        <w:tc>
          <w:tcPr/>
          <w:p>
            <w:pPr>
              <w:pStyle w:val="Compact"/>
              <w:jc w:val="left"/>
            </w:pPr>
            <w:r>
              <w:t xml:space="preserve">With tranche 2 terms (around 2028)</w:t>
            </w:r>
          </w:p>
        </w:tc>
        <w:tc>
          <w:tcPr/>
          <w:p>
            <w:pPr>
              <w:pStyle w:val="Compact"/>
              <w:jc w:val="left"/>
            </w:pPr>
            <w:r>
              <w:t xml:space="preserve">Low, if the exemption is written in</w:t>
            </w:r>
          </w:p>
        </w:tc>
        <w:tc>
          <w:tcPr/>
          <w:p>
            <w:pPr>
              <w:pStyle w:val="Compact"/>
              <w:jc w:val="left"/>
            </w:pPr>
            <w:r>
              <w:t xml:space="preserve">3 / 2 / 3 =</w:t>
            </w:r>
            <w:r>
              <w:t xml:space="preserve"> </w:t>
            </w:r>
            <w:r>
              <w:rPr>
                <w:bCs/>
                <w:b/>
              </w:rPr>
              <w:t xml:space="preserve">8</w:t>
            </w:r>
          </w:p>
        </w:tc>
      </w:tr>
      <w:tr>
        <w:tc>
          <w:tcPr/>
          <w:p>
            <w:pPr>
              <w:pStyle w:val="Compact"/>
              <w:jc w:val="left"/>
            </w:pPr>
            <w:r>
              <w:t xml:space="preserve">L3. Ontario shareholder direction to OPG</w:t>
            </w:r>
          </w:p>
        </w:tc>
        <w:tc>
          <w:tcPr/>
          <w:p>
            <w:pPr>
              <w:pStyle w:val="Compact"/>
              <w:jc w:val="left"/>
            </w:pPr>
            <w:r>
              <w:t xml:space="preserve">Yes</w:t>
            </w:r>
          </w:p>
        </w:tc>
        <w:tc>
          <w:tcPr/>
          <w:p>
            <w:pPr>
              <w:pStyle w:val="Compact"/>
              <w:jc w:val="left"/>
            </w:pPr>
            <w:r>
              <w:t xml:space="preserve">Months</w:t>
            </w:r>
          </w:p>
        </w:tc>
        <w:tc>
          <w:tcPr/>
          <w:p>
            <w:pPr>
              <w:pStyle w:val="Compact"/>
              <w:jc w:val="left"/>
            </w:pPr>
            <w:r>
              <w:t xml:space="preserve">Depends on wording; costs go through Ontario Energy Board review</w:t>
            </w:r>
          </w:p>
        </w:tc>
        <w:tc>
          <w:tcPr/>
          <w:p>
            <w:pPr>
              <w:pStyle w:val="Compact"/>
              <w:jc w:val="left"/>
            </w:pPr>
            <w:r>
              <w:t xml:space="preserve">3 / 2 / 2 = 7</w:t>
            </w:r>
          </w:p>
        </w:tc>
      </w:tr>
    </w:tbl>
    <w:p>
      <w:pPr>
        <w:pStyle w:val="BodyText"/>
      </w:pPr>
      <w:r>
        <w:rPr>
          <w:bCs/>
          <w:b/>
        </w:rPr>
        <w:t xml:space="preserve">Qualification and sequencing.</w:t>
      </w:r>
      <w:r>
        <w:t xml:space="preserve"> </w:t>
      </w:r>
      <w:r>
        <w:t xml:space="preserve">A CNSC licence condition is not a lever, because the CNSC does not set climate conditions; it only has to accept the change is safe (our inference). Step 1, in 2027, is to develop slag and LC3 self-consolidating mixes (about 6 to 9 months). Step 2 is a full-scale DPSC mock-up trial off Unit 1’s critical path (about 6 months), the public-funding option C in §8.2. Step 3 is the design-change evaluation, submitted with the Units 2–4 licensing package ahead of the reported 2028 approval (about 6 to 9 months to prepare; assumption) [TO VERIFY]. Steps 1 to 3 then total about 18 to 24 months (6 to 9 + 6 + 6 to 9; our planning assumption [assumption], matching route brief §6), so they fit only if they start in 2027. We have not costed the programme; §9 tests an assumed C$1 m [TO VERIFY: assumption]. If the evidence is not ready, Units 2–4 proceed with the current mix, the pilot continues in non-safety concrete, and the infill enters at a later unit or project.</w:t>
      </w:r>
    </w:p>
    <w:p>
      <w:pPr>
        <w:pStyle w:val="BodyText"/>
      </w:pPr>
      <w:r>
        <w:rPr>
          <w:bCs/>
          <w:b/>
        </w:rPr>
        <w:t xml:space="preserve">The federal standard is a template, not an obligation.</w:t>
      </w:r>
      <w:r>
        <w:t xml:space="preserve"> </w:t>
      </w:r>
      <w:r>
        <w:t xml:space="preserve">The Standard on Embodied Carbon in Construction binds federal departments (Treasury Board of Canada Secretariat, 2022), and OPG is an Ontario Crown corporation (our inference from the scope clause) [TO VERIFY]. Its allowance of 130% of baseline for specialised mixes could let self-consolidating infill pass while emitting 30% more than the baseline. Any OPG or fund clause must therefore benchmark DPSC infill against a cement-rich self-consolidating reference mix.</w:t>
      </w:r>
    </w:p>
    <w:p>
      <w:pPr>
        <w:pStyle w:val="BodyText"/>
      </w:pPr>
      <w:r>
        <w:rPr>
          <w:bCs/>
          <w:b/>
        </w:rPr>
        <w:t xml:space="preserve">Fuel supply (§8.3).</w:t>
      </w:r>
      <w:r>
        <w:t xml:space="preserve"> </w:t>
      </w:r>
      <w:r>
        <w:t xml:space="preserve">Of five options for reducing supply risk, dual-source contracts with allied enrichers are legal at once and already used by OPG, but they cut exposure, not concentration. A strategic inventory of two to three reloads would take one to three years and a licence for storing fuel [TO VERIFY]. Domestic enrichment in Australia needs the federal bans repealed (§8.1) and 15 or more years (our evaluation from the supply-concentration brief; World Nuclear Association, 2025; Ontario Power Generation, 2023) [TO VERIFY].</w:t>
      </w:r>
    </w:p>
    <w:p>
      <w:r>
        <w:pict>
          <v:rect style="width:0;height:1.5pt" o:hralign="center" o:hrstd="t" o:hr="t"/>
        </w:pict>
      </w:r>
    </w:p>
    <w:bookmarkEnd w:id="44"/>
    <w:bookmarkStart w:id="48" w:name="X5539a185355627e6c3e07c8c8240218227305a6"/>
    <w:p>
      <w:pPr>
        <w:pStyle w:val="Heading2"/>
      </w:pPr>
      <w:r>
        <w:t xml:space="preserve">9 Triple-bottom-line evaluation and multi-criteria analysis</w:t>
      </w:r>
    </w:p>
    <w:p>
      <w:pPr>
        <w:pStyle w:val="FirstParagraph"/>
      </w:pPr>
      <w:r>
        <w:rPr>
          <w:bCs/>
          <w:b/>
        </w:rPr>
        <w:t xml:space="preserve">Adopt C1 only as a schedule-neutral specification. For Australia, the same money on firmed renewables ranks first, ahead of the status quo and of an SMR at Liddell.</w:t>
      </w:r>
      <w:r>
        <w:t xml:space="preserve"> </w:t>
      </w:r>
      <w:r>
        <w:t xml:space="preserve">C1 is a real but marginal gain: SMR + C1 and a plain SMR differ by about 0.3–0.4% on life-cycle emissions. No predefined weight set, input change or ±50% weight test puts an SMR first. It happens in about 0.2% of random weight draws, and when life-cycle CO₂e carries 94% or more of the weight.</w:t>
      </w:r>
    </w:p>
    <w:bookmarkStart w:id="45" w:name="triple-bottom-line"/>
    <w:p>
      <w:pPr>
        <w:pStyle w:val="Heading3"/>
      </w:pPr>
      <w:r>
        <w:t xml:space="preserve">9.1 Triple bottom line</w:t>
      </w:r>
    </w:p>
    <w:p>
      <w:pPr>
        <w:pStyle w:val="FirstParagraph"/>
      </w:pPr>
      <w:r>
        <w:t xml:space="preserve">The triple bottom line judges an option on its environmental, economic and social effects together. Table T4 applies it to the initiative at Darlington (C1 on Units 2–4) and to the Australian comparison at Liddell. Each cell is traced to the section that holds the evidence.</w:t>
      </w:r>
    </w:p>
    <w:p>
      <w:pPr>
        <w:pStyle w:val="BodyText"/>
      </w:pPr>
      <w:r>
        <w:rPr>
          <w:iCs/>
          <w:i/>
        </w:rPr>
        <w:t xml:space="preserve">Table T4. Triple-bottom-line summary: C1 at Darlington Units 2–4 and one BWRX-300 at Liddell.</w:t>
      </w:r>
      <w:r>
        <w:t xml:space="preserve"> </w:t>
      </w:r>
      <w:r>
        <w:rPr>
          <w:iCs/>
          <w:i/>
        </w:rPr>
        <w:t xml:space="preserve">Source: this study, from the sections cited in the last column. All inputs [TO VERIFY] as in those sections.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Darlington, with C1</w:t>
            </w:r>
          </w:p>
        </w:tc>
        <w:tc>
          <w:tcPr/>
          <w:p>
            <w:pPr>
              <w:pStyle w:val="Compact"/>
              <w:jc w:val="left"/>
            </w:pPr>
            <w:r>
              <w:t xml:space="preserve">Liddell (one unit)</w:t>
            </w:r>
          </w:p>
        </w:tc>
        <w:tc>
          <w:tcPr/>
          <w:p>
            <w:pPr>
              <w:pStyle w:val="Compact"/>
              <w:jc w:val="left"/>
            </w:pPr>
            <w:r>
              <w:t xml:space="preserve">Traced to</w:t>
            </w:r>
          </w:p>
        </w:tc>
      </w:tr>
      <w:tr>
        <w:tc>
          <w:tcPr/>
          <w:p>
            <w:pPr>
              <w:pStyle w:val="Compact"/>
              <w:jc w:val="left"/>
            </w:pPr>
            <w:r>
              <w:rPr>
                <w:bCs/>
                <w:b/>
              </w:rPr>
              <w:t xml:space="preserve">Environment</w:t>
            </w:r>
          </w:p>
        </w:tc>
        <w:tc>
          <w:tcPr/>
          <w:p>
            <w:pPr>
              <w:pStyle w:val="Compact"/>
              <w:jc w:val="left"/>
            </w:pPr>
            <w:r>
              <w:t xml:space="preserve">Plant 4.2 g CO₂e/kWh (90% interval 3.0–5.8). C1 saves 1,734 t (central) to 2,200 t per unit, 0.29–0.37% of a unit’s life cycle [C1 saving: per final §6]. Unit 1 avoids 1.0–6.8 Mt CO₂e to 2050 (declining-grid cases)</w:t>
            </w:r>
          </w:p>
        </w:tc>
        <w:tc>
          <w:tcPr/>
          <w:p>
            <w:pPr>
              <w:pStyle w:val="Compact"/>
              <w:jc w:val="left"/>
            </w:pPr>
            <w:r>
              <w:t xml:space="preserve">Same plant intensity. Avoids 0.67–3.9 Mt to 2050 (declining-grid cases) from about 2040. The same money on firmed renewables avoids 10.9× more</w:t>
            </w:r>
          </w:p>
        </w:tc>
        <w:tc>
          <w:tcPr/>
          <w:p>
            <w:pPr>
              <w:pStyle w:val="Compact"/>
              <w:jc w:val="left"/>
            </w:pPr>
            <w:r>
              <w:t xml:space="preserve">§6.3, §7.2–7.3</w:t>
            </w:r>
          </w:p>
        </w:tc>
      </w:tr>
      <w:tr>
        <w:tc>
          <w:tcPr/>
          <w:p>
            <w:pPr>
              <w:pStyle w:val="Compact"/>
              <w:jc w:val="left"/>
            </w:pPr>
            <w:r>
              <w:rPr>
                <w:bCs/>
                <w:b/>
              </w:rPr>
              <w:t xml:space="preserve">Economy</w:t>
            </w:r>
          </w:p>
        </w:tc>
        <w:tc>
          <w:tcPr/>
          <w:p>
            <w:pPr>
              <w:pStyle w:val="Compact"/>
              <w:jc w:val="left"/>
            </w:pPr>
            <w:r>
              <w:t xml:space="preserve">LCOE C$198/MWh at 7% (C$112–280 at 3–10%). C1’s carbon value is C$0.49–0.60 m for Units 2–4 at 1,734 t per unit [C1 saving: per final §6], against C$1.8–2.9 m for each day of delay</w:t>
            </w:r>
          </w:p>
        </w:tc>
        <w:tc>
          <w:tcPr/>
          <w:p>
            <w:pPr>
              <w:pStyle w:val="Compact"/>
              <w:jc w:val="left"/>
            </w:pPr>
            <w:r>
              <w:t xml:space="preserve">SMR A$230–382/MWh in 2030 against A$89–125 for firmed renewables (2.9× at midpoints). No private owner could finance a first unit</w:t>
            </w:r>
          </w:p>
        </w:tc>
        <w:tc>
          <w:tcPr/>
          <w:p>
            <w:pPr>
              <w:pStyle w:val="Compact"/>
              <w:jc w:val="left"/>
            </w:pPr>
            <w:r>
              <w:t xml:space="preserve">§7.1, §7.3, §8.2</w:t>
            </w:r>
          </w:p>
        </w:tc>
      </w:tr>
      <w:tr>
        <w:tc>
          <w:tcPr/>
          <w:p>
            <w:pPr>
              <w:pStyle w:val="Compact"/>
              <w:jc w:val="left"/>
            </w:pPr>
            <w:r>
              <w:rPr>
                <w:bCs/>
                <w:b/>
              </w:rPr>
              <w:t xml:space="preserve">Society</w:t>
            </w:r>
          </w:p>
        </w:tc>
        <w:tc>
          <w:tcPr/>
          <w:p>
            <w:pPr>
              <w:pStyle w:val="Compact"/>
              <w:jc w:val="left"/>
            </w:pPr>
            <w:r>
              <w:t xml:space="preserve">Power-weighted stance +1.07; no high-power actor opposed. The Williams Treaties First Nations lend C$700 m, converting to equity. C1 adds no new consent issue. Unit 1’s fuel chain has no Russian stage</w:t>
            </w:r>
          </w:p>
        </w:tc>
        <w:tc>
          <w:tcPr/>
          <w:p>
            <w:pPr>
              <w:pStyle w:val="Compact"/>
              <w:jc w:val="left"/>
            </w:pPr>
            <w:r>
              <w:t xml:space="preserve">Stance −1.03. 61% support nuclear power, but 59% want the ban kept. No legal route is open (three routes score 5–8 of 12). Enrichment and conversion would be imported</w:t>
            </w:r>
          </w:p>
        </w:tc>
        <w:tc>
          <w:tcPr/>
          <w:p>
            <w:pPr>
              <w:pStyle w:val="Compact"/>
              <w:jc w:val="left"/>
            </w:pPr>
            <w:r>
              <w:t xml:space="preserve">§8.1, §8.3–8.5</w:t>
            </w:r>
          </w:p>
        </w:tc>
      </w:tr>
      <w:tr>
        <w:tc>
          <w:tcPr/>
          <w:p>
            <w:pPr>
              <w:pStyle w:val="Compact"/>
              <w:jc w:val="left"/>
            </w:pPr>
            <w:r>
              <w:rPr>
                <w:bCs/>
                <w:b/>
              </w:rPr>
              <w:t xml:space="preserve">Net</w:t>
            </w:r>
          </w:p>
        </w:tc>
        <w:tc>
          <w:tcPr/>
          <w:p>
            <w:pPr>
              <w:pStyle w:val="Compact"/>
              <w:jc w:val="left"/>
            </w:pPr>
            <w:r>
              <w:t xml:space="preserve">Environment positive but marginal; economy small; society neutral. Feasible if schedule-neutral</w:t>
            </w:r>
          </w:p>
        </w:tc>
        <w:tc>
          <w:tcPr/>
          <w:p>
            <w:pPr>
              <w:pStyle w:val="Compact"/>
              <w:jc w:val="left"/>
            </w:pPr>
            <w:r>
              <w:t xml:space="preserve">Not feasible before 2040 on current law, cost and consent</w:t>
            </w:r>
          </w:p>
        </w:tc>
        <w:tc>
          <w:tcPr/>
          <w:p>
            <w:pPr>
              <w:pStyle w:val="Compact"/>
              <w:jc w:val="left"/>
            </w:pPr>
            <w:r>
              <w:t xml:space="preserve">§6–§8</w:t>
            </w:r>
          </w:p>
        </w:tc>
      </w:tr>
    </w:tbl>
    <w:bookmarkEnd w:id="45"/>
    <w:bookmarkStart w:id="46" w:name="multi-criteria-analysis"/>
    <w:p>
      <w:pPr>
        <w:pStyle w:val="Heading3"/>
      </w:pPr>
      <w:r>
        <w:t xml:space="preserve">9.2 Multi-criteria analysis</w:t>
      </w:r>
    </w:p>
    <w:p>
      <w:pPr>
        <w:pStyle w:val="FirstParagraph"/>
      </w:pPr>
      <w:r>
        <w:rPr>
          <w:bCs/>
          <w:b/>
        </w:rPr>
        <w:t xml:space="preserve">Method.</w:t>
      </w:r>
      <w:r>
        <w:t xml:space="preserve"> </w:t>
      </w:r>
      <w:r>
        <w:t xml:space="preserve">We compared four options on seven criteria with a weighted sum, the standard compensatory method (Dodgson et al., 2009) [TO VERIFY]: the status quo (coal-heavy NSW grid), one SMR at Liddell, SMR + C1, and the same annual spend on firmed renewables. Each criterion is rescaled so the best option scores 1 and the worst 0. The criteria are life-cycle CO₂e, CO₂e avoided to 2050 per dollar, cost, first full year of new supply, supply concentration (HHI), social licence (Table T13) and legal feasibility (Appendix B3). Four weight sets reflect each group’s stated priorities: equal; climate and cost (federal government); firm supply and sovereignty (Coalition, the most SMR-favourable set we could justify); and host community. Technology readiness level (TRL) is not scored (see limits below). Full working is in Appendix B7.</w:t>
      </w:r>
    </w:p>
    <w:p>
      <w:pPr>
        <w:pStyle w:val="BodyText"/>
      </w:pPr>
      <w:r>
        <w:rPr>
          <w:iCs/>
          <w:i/>
        </w:rPr>
        <w:t xml:space="preserve">Table T5. MCDA total scores (0–100) by weight set, and rank-reversal tests.</w:t>
      </w:r>
      <w:r>
        <w:t xml:space="preserve"> </w:t>
      </w:r>
      <w:r>
        <w:rPr>
          <w:iCs/>
          <w:i/>
        </w:rPr>
        <w:t xml:space="preserve">Source: this study,</w:t>
      </w:r>
      <w:r>
        <w:rPr>
          <w:iCs/>
          <w:i/>
        </w:rPr>
        <w:t xml:space="preserve"> </w:t>
      </w:r>
      <w:r>
        <w:rPr>
          <w:rStyle w:val="VerbatimChar"/>
          <w:iCs/>
          <w:i/>
        </w:rPr>
        <w:t xml:space="preserve">scripts/mcda.py</w:t>
      </w:r>
      <w:r>
        <w:rPr>
          <w:iCs/>
          <w:i/>
        </w:rPr>
        <w:t xml:space="preserve"> </w:t>
      </w:r>
      <w:r>
        <w:rPr>
          <w:iCs/>
          <w:i/>
        </w:rPr>
        <w:t xml:space="preserve">(</w:t>
      </w:r>
      <w:r>
        <w:rPr>
          <w:rStyle w:val="VerbatimChar"/>
          <w:iCs/>
          <w:i/>
        </w:rPr>
        <w:t xml:space="preserve">results/mcda.md</w:t>
      </w:r>
      <w:r>
        <w:rPr>
          <w:iCs/>
          <w:i/>
        </w:rPr>
        <w:t xml:space="preserve">; Appendix B7). SMR + C1 shown for the 2,200 t case; the 1,734 t case differs by under 0.005 point. Scores for social licence, legal feasibility and the weights are our judgement. [TO VERIFY]</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Option</w:t>
            </w:r>
          </w:p>
        </w:tc>
        <w:tc>
          <w:tcPr/>
          <w:p>
            <w:pPr>
              <w:pStyle w:val="Compact"/>
              <w:jc w:val="right"/>
            </w:pPr>
            <w:r>
              <w:t xml:space="preserve">Equal</w:t>
            </w:r>
          </w:p>
        </w:tc>
        <w:tc>
          <w:tcPr/>
          <w:p>
            <w:pPr>
              <w:pStyle w:val="Compact"/>
              <w:jc w:val="right"/>
            </w:pPr>
            <w:r>
              <w:t xml:space="preserve">Climate and cost</w:t>
            </w:r>
          </w:p>
        </w:tc>
        <w:tc>
          <w:tcPr/>
          <w:p>
            <w:pPr>
              <w:pStyle w:val="Compact"/>
              <w:jc w:val="right"/>
            </w:pPr>
            <w:r>
              <w:t xml:space="preserve">Firm and sovereign</w:t>
            </w:r>
          </w:p>
        </w:tc>
        <w:tc>
          <w:tcPr/>
          <w:p>
            <w:pPr>
              <w:pStyle w:val="Compact"/>
              <w:jc w:val="right"/>
            </w:pPr>
            <w:r>
              <w:t xml:space="preserve">Host community</w:t>
            </w:r>
          </w:p>
        </w:tc>
      </w:tr>
      <w:tr>
        <w:tc>
          <w:tcPr/>
          <w:p>
            <w:pPr>
              <w:pStyle w:val="Compact"/>
              <w:jc w:val="left"/>
            </w:pPr>
            <w:r>
              <w:t xml:space="preserve">Firmed renewables, same money</w:t>
            </w:r>
          </w:p>
        </w:tc>
        <w:tc>
          <w:tcPr/>
          <w:p>
            <w:pPr>
              <w:pStyle w:val="Compact"/>
              <w:jc w:val="right"/>
            </w:pPr>
            <w:r>
              <w:rPr>
                <w:bCs/>
                <w:b/>
              </w:rPr>
              <w:t xml:space="preserve">80.1</w:t>
            </w:r>
          </w:p>
        </w:tc>
        <w:tc>
          <w:tcPr/>
          <w:p>
            <w:pPr>
              <w:pStyle w:val="Compact"/>
              <w:jc w:val="right"/>
            </w:pPr>
            <w:r>
              <w:rPr>
                <w:bCs/>
                <w:b/>
              </w:rPr>
              <w:t xml:space="preserve">85.9</w:t>
            </w:r>
          </w:p>
        </w:tc>
        <w:tc>
          <w:tcPr/>
          <w:p>
            <w:pPr>
              <w:pStyle w:val="Compact"/>
              <w:jc w:val="right"/>
            </w:pPr>
            <w:r>
              <w:rPr>
                <w:bCs/>
                <w:b/>
              </w:rPr>
              <w:t xml:space="preserve">63.7</w:t>
            </w:r>
          </w:p>
        </w:tc>
        <w:tc>
          <w:tcPr/>
          <w:p>
            <w:pPr>
              <w:pStyle w:val="Compact"/>
              <w:jc w:val="right"/>
            </w:pPr>
            <w:r>
              <w:rPr>
                <w:bCs/>
                <w:b/>
              </w:rPr>
              <w:t xml:space="preserve">89.3</w:t>
            </w:r>
          </w:p>
        </w:tc>
      </w:tr>
      <w:tr>
        <w:tc>
          <w:tcPr/>
          <w:p>
            <w:pPr>
              <w:pStyle w:val="Compact"/>
              <w:jc w:val="left"/>
            </w:pPr>
            <w:r>
              <w:t xml:space="preserve">Status quo</w:t>
            </w:r>
          </w:p>
        </w:tc>
        <w:tc>
          <w:tcPr/>
          <w:p>
            <w:pPr>
              <w:pStyle w:val="Compact"/>
              <w:jc w:val="right"/>
            </w:pPr>
            <w:r>
              <w:t xml:space="preserve">52.4</w:t>
            </w:r>
          </w:p>
        </w:tc>
        <w:tc>
          <w:tcPr/>
          <w:p>
            <w:pPr>
              <w:pStyle w:val="Compact"/>
              <w:jc w:val="right"/>
            </w:pPr>
            <w:r>
              <w:t xml:space="preserve">41.7</w:t>
            </w:r>
          </w:p>
        </w:tc>
        <w:tc>
          <w:tcPr/>
          <w:p>
            <w:pPr>
              <w:pStyle w:val="Compact"/>
              <w:jc w:val="right"/>
            </w:pPr>
            <w:r>
              <w:t xml:space="preserve">60.0</w:t>
            </w:r>
          </w:p>
        </w:tc>
        <w:tc>
          <w:tcPr/>
          <w:p>
            <w:pPr>
              <w:pStyle w:val="Compact"/>
              <w:jc w:val="right"/>
            </w:pPr>
            <w:r>
              <w:t xml:space="preserve">55.0</w:t>
            </w:r>
          </w:p>
        </w:tc>
      </w:tr>
      <w:tr>
        <w:tc>
          <w:tcPr/>
          <w:p>
            <w:pPr>
              <w:pStyle w:val="Compact"/>
              <w:jc w:val="left"/>
            </w:pPr>
            <w:r>
              <w:t xml:space="preserve">One SMR at Liddell</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SMR + C1</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First place changed by a ±50% change in one weight (of 14 tests)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r>
    </w:tbl>
    <w:p>
      <w:pPr>
        <w:pStyle w:val="BodyText"/>
      </w:pPr>
      <w:r>
        <w:rPr>
          <w:bCs/>
          <w:b/>
        </w:rPr>
        <w:t xml:space="preserve">Renewables rank first under every weight set.</w:t>
      </w:r>
      <w:r>
        <w:t xml:space="preserve"> </w:t>
      </w:r>
      <w:r>
        <w:t xml:space="preserve">The SMR beats them only on life-cycle CO₂e (4.2 against 30 g/kWh) and on supply concentration (enrichment HHI 3,009 against at least 6,400 for solar PV). It loses on CO₂e avoided per dollar (10.9×), cost (2.9×), time (about 12 years later), social licence and legal feasibility.</w:t>
      </w:r>
    </w:p>
    <w:p>
      <w:pPr>
        <w:pStyle w:val="BodyText"/>
      </w:pPr>
      <w:r>
        <w:rPr>
          <w:bCs/>
          <w:b/>
        </w:rPr>
        <w:t xml:space="preserve">Rank reversal.</w:t>
      </w:r>
      <w:r>
        <w:t xml:space="preserve"> </w:t>
      </w:r>
      <w:r>
        <w:t xml:space="preserve">Of 56 weight changes of ±50%, two change first place. Both are under the firm-and-sovereign weights (life-cycle weight halved; supply weight × 1.5), and both hand first place to the status quo, not to the SMR. An SMR option ranks first only if life-cycle CO₂e carries at least 94% of the weight. In 20,000 random weight sets, renewables rank first in 85.4%, the status quo in 14.5% and an SMR option in 0.2% (SMR 0.0%, SMR + C1 0.1%). Of 68 input tests (GenCost reading, first power in 2035 or 2045, grid path, C1 premium and delay), renewables stay first in 66; the other two go to the status quo.</w:t>
      </w:r>
    </w:p>
    <w:p>
      <w:pPr>
        <w:pStyle w:val="BodyText"/>
      </w:pPr>
      <w:r>
        <w:rPr>
          <w:bCs/>
          <w:b/>
        </w:rPr>
        <w:t xml:space="preserve">The status quo’s second place over the SMR is a scaling artefact.</w:t>
      </w:r>
      <w:r>
        <w:t xml:space="preserve"> </w:t>
      </w:r>
      <w:r>
        <w:t xml:space="preserve">The status quo scores full marks on cost, supply and legal feasibility because it changes nothing. On fixed global scales instead of the four-option scale, the SMR moves above it under every weight set. Renewables stay first on both scales.</w:t>
      </w:r>
    </w:p>
    <w:p>
      <w:pPr>
        <w:pStyle w:val="BodyText"/>
      </w:pPr>
      <w:r>
        <w:rPr>
          <w:bCs/>
          <w:b/>
        </w:rPr>
        <w:t xml:space="preserve">SMR + C1 and SMR are indistinguishable.</w:t>
      </w:r>
      <w:r>
        <w:t xml:space="preserve"> </w:t>
      </w:r>
      <w:r>
        <w:t xml:space="preserve">C1 lowers life-cycle intensity from 4.200 to 4.188 g/kWh (1,734 t per unit, 0.29%) or 4.185 g/kWh (2,200 t, 0.37%) [C1 saving: per final §6]. That moves the weighted score by under 0.005 point, and its sign depends on the assumed C$1 m qualification cost. If C1 delays a unit, the CO₂e left unavoided outweighs the saving many times over (Appendix B7.5), so schedule neutrality decides whether C1 helps at all.</w:t>
      </w:r>
    </w:p>
    <w:bookmarkEnd w:id="46"/>
    <w:bookmarkStart w:id="47" w:name="verdict-and-limits"/>
    <w:p>
      <w:pPr>
        <w:pStyle w:val="Heading3"/>
      </w:pPr>
      <w:r>
        <w:t xml:space="preserve">9.3 Verdict and limits</w:t>
      </w:r>
    </w:p>
    <w:p>
      <w:pPr>
        <w:pStyle w:val="FirstParagraph"/>
      </w:pPr>
      <w:r>
        <w:rPr>
          <w:bCs/>
          <w:b/>
        </w:rPr>
        <w:t xml:space="preserve">Darlington: adopt C1 only as a schedule-neutral specification.</w:t>
      </w:r>
      <w:r>
        <w:t xml:space="preserve"> </w:t>
      </w:r>
      <w:r>
        <w:t xml:space="preserve">Pilot LC³ in eligible non-safety works first. Use steel-composite infill only if it is qualified on Unit 1 mock-ups; otherwise specify the slag blend (§8.6). The reason is the balance in Table T4: a 0.3–0.4% environmental gain, a carbon value smaller than one day of delay, and no new consent issue. Qualification must start in 2027 for the 2028 Units 2–4 decision (§8.6).</w:t>
      </w:r>
    </w:p>
    <w:p>
      <w:pPr>
        <w:pStyle w:val="BodyText"/>
      </w:pPr>
      <w:r>
        <w:rPr>
          <w:bCs/>
          <w:b/>
        </w:rPr>
        <w:t xml:space="preserve">Australia: the same money on firmed renewables.</w:t>
      </w:r>
      <w:r>
        <w:t xml:space="preserve"> </w:t>
      </w:r>
      <w:r>
        <w:t xml:space="preserve">An SMR at Liddell would need three things at once to compete in this frame: its cost gap closed to near renewables, first power well before 2040, and the legal and consent barriers removed first (Appendix B3 route C; Table T13). We would keep SMRs under review against Darlington’s outturn cost.</w:t>
      </w:r>
    </w:p>
    <w:p>
      <w:pPr>
        <w:pStyle w:val="BodyText"/>
      </w:pPr>
      <w:r>
        <w:rPr>
          <w:bCs/>
          <w:b/>
        </w:rPr>
        <w:t xml:space="preserve">Limits of the analysis.</w:t>
      </w:r>
      <w:r>
        <w:t xml:space="preserve"> </w:t>
      </w:r>
      <w:r>
        <w:t xml:space="preserve">- The social, legal and renewables-supply scores, and all four weight sets, are our judgement. The weights are our reading of each group’s priorities, not elicited from them.</w:t>
      </w:r>
      <w:r>
        <w:t xml:space="preserve"> </w:t>
      </w:r>
      <w:r>
        <w:t xml:space="preserve">- The status quo’s lead over the SMR depends on the scaling, as above. Only</w:t>
      </w:r>
      <w:r>
        <w:t xml:space="preserve"> </w:t>
      </w:r>
      <w:r>
        <w:t xml:space="preserve">“</w:t>
      </w:r>
      <w:r>
        <w:t xml:space="preserve">renewables first</w:t>
      </w:r>
      <w:r>
        <w:t xml:space="preserve">”</w:t>
      </w:r>
      <w:r>
        <w:t xml:space="preserve"> </w:t>
      </w:r>
      <w:r>
        <w:t xml:space="preserve">is robust to it.</w:t>
      </w:r>
      <w:r>
        <w:t xml:space="preserve"> </w:t>
      </w:r>
      <w:r>
        <w:t xml:space="preserve">- TRL is not scored because no TRL figure is yet in the report [TODO: Leroy §4.1]. Schedule risk enters only through first power: CSIRO’s</w:t>
      </w:r>
      <w:r>
        <w:t xml:space="preserve"> </w:t>
      </w:r>
      <w:r>
        <w:t xml:space="preserve">“</w:t>
      </w:r>
      <w:r>
        <w:t xml:space="preserve">2040 at the earliest</w:t>
      </w:r>
      <w:r>
        <w:t xml:space="preserve">”</w:t>
      </w:r>
      <w:r>
        <w:t xml:space="preserve"> </w:t>
      </w:r>
      <w:r>
        <w:t xml:space="preserve">[TO VERIFY: Leroy §4.1], with the Coalition’s 2035 and a 2045 case tested without changing the order.</w:t>
      </w:r>
      <w:r>
        <w:t xml:space="preserve"> </w:t>
      </w:r>
      <w:r>
        <w:t xml:space="preserve">- Costs come from GenCost (Graham, Hayward and Foster, 2024) and the renewables supply score from solar PV alone, standing in for batteries and wind (International Energy Agency, 2022) [TO VERIFY]. The 4.2 g/kWh base is from the earlier 20,700 m³ model, so the percentages above must be re-read from the final §6 [C1 saving: per final §6].</w:t>
      </w:r>
    </w:p>
    <w:p>
      <w:r>
        <w:pict>
          <v:rect style="width:0;height:1.5pt" o:hralign="center" o:hrstd="t" o:hr="t"/>
        </w:pict>
      </w:r>
    </w:p>
    <w:bookmarkEnd w:id="47"/>
    <w:bookmarkEnd w:id="48"/>
    <w:bookmarkStart w:id="49" w:name="X90192b1a7d5c0c11d128c22869d67841fc8ab68"/>
    <w:p>
      <w:pPr>
        <w:pStyle w:val="Heading2"/>
      </w:pPr>
      <w:r>
        <w:t xml:space="preserve">10 Future material properties and processes (Leroy)</w:t>
      </w:r>
    </w:p>
    <w:p>
      <w:pPr>
        <w:pStyle w:val="FirstParagraph"/>
      </w:pPr>
      <w:r>
        <w:rPr>
          <w:bCs/>
          <w:b/>
        </w:rPr>
        <w:t xml:space="preserve">[TODO: section not yet in the repo]</w:t>
      </w:r>
    </w:p>
    <w:bookmarkEnd w:id="49"/>
    <w:bookmarkStart w:id="50" w:name="conclusions-and-recommendations"/>
    <w:p>
      <w:pPr>
        <w:pStyle w:val="Heading2"/>
      </w:pPr>
      <w:r>
        <w:t xml:space="preserve">11 Conclusions and recommendations</w:t>
      </w:r>
    </w:p>
    <w:p>
      <w:pPr>
        <w:pStyle w:val="FirstParagraph"/>
      </w:pPr>
      <w:r>
        <w:rPr>
          <w:bCs/>
          <w:b/>
        </w:rPr>
        <w:t xml:space="preserve">Pilot LC³ in eligible non-safety works first; use it in the steel-composite infill only if it is qualified on Unit 1 mock-ups; otherwise specify the slag blend; and adopt it only if it adds no delay to Darlington Units 2–4. For Australia, law, cost and timing dominate, and the same money on firmed renewables ranks first.</w:t>
      </w:r>
    </w:p>
    <w:p>
      <w:pPr>
        <w:pStyle w:val="BodyText"/>
      </w:pPr>
      <w:r>
        <w:rPr>
          <w:bCs/>
          <w:b/>
        </w:rPr>
        <w:t xml:space="preserve">Research questions.</w:t>
      </w:r>
      <w:r>
        <w:t xml:space="preserve"> </w:t>
      </w:r>
      <w:r>
        <w:t xml:space="preserve">1.</w:t>
      </w:r>
      <w:r>
        <w:t xml:space="preserve"> </w:t>
      </w:r>
      <w:r>
        <w:rPr>
          <w:iCs/>
          <w:i/>
        </w:rPr>
        <w:t xml:space="preserve">Life-cycle emissions (§6).</w:t>
      </w:r>
      <w:r>
        <w:t xml:space="preserve"> </w:t>
      </w:r>
      <w:r>
        <w:t xml:space="preserve">One BWRX-300 emits about 4.2 g CO₂e/kWh (90% interval 3.0–5.8; range of medians 3.3–4.2). The fuel front end is 64% of it, mining and milling 29% and conversion 26%.</w:t>
      </w:r>
      <w:r>
        <w:t xml:space="preserve"> </w:t>
      </w:r>
      <w:r>
        <w:t xml:space="preserve">2.</w:t>
      </w:r>
      <w:r>
        <w:t xml:space="preserve"> </w:t>
      </w:r>
      <w:r>
        <w:rPr>
          <w:iCs/>
          <w:i/>
        </w:rPr>
        <w:t xml:space="preserve">The C1 saving (§6–7).</w:t>
      </w:r>
      <w:r>
        <w:t xml:space="preserve"> </w:t>
      </w:r>
      <w:r>
        <w:t xml:space="preserve">C1 saves [C1 saving: per final §6] per unit: 1,734 t in our model, 2,200 t in the deck’s central case (provisional). That is 0.29–0.37% of a unit’s life cycle. A delay of 9–15 days to a unit cancels its saving on Ontario’s average grid factor, and 1.3–1.4 days on the marginal factor.</w:t>
      </w:r>
      <w:r>
        <w:t xml:space="preserve"> </w:t>
      </w:r>
      <w:r>
        <w:t xml:space="preserve">3.</w:t>
      </w:r>
      <w:r>
        <w:t xml:space="preserve"> </w:t>
      </w:r>
      <w:r>
        <w:rPr>
          <w:iCs/>
          <w:i/>
        </w:rPr>
        <w:t xml:space="preserve">Displacement (§7).</w:t>
      </w:r>
      <w:r>
        <w:t xml:space="preserve"> </w:t>
      </w:r>
      <w:r>
        <w:t xml:space="preserve">A Darlington unit avoids 1.0–6.8 Mt CO₂e to 2050 and a Liddell unit 0.67–3.9 Mt, because Liddell could not start before about 2040. Firmed renewables avoid 10.9 times more per dollar.</w:t>
      </w:r>
      <w:r>
        <w:t xml:space="preserve"> </w:t>
      </w:r>
      <w:r>
        <w:t xml:space="preserve">4.</w:t>
      </w:r>
      <w:r>
        <w:t xml:space="preserve"> </w:t>
      </w:r>
      <w:r>
        <w:rPr>
          <w:iCs/>
          <w:i/>
        </w:rPr>
        <w:t xml:space="preserve">Barriers and options (§3, §8–9).</w:t>
      </w:r>
      <w:r>
        <w:t xml:space="preserve"> </w:t>
      </w:r>
      <w:r>
        <w:t xml:space="preserve">Renewables rank first under all four weight sets (equal weights: 80 against 30 for an SMR, with or without C1). An SMR ranks first only if life-cycle CO₂e carries 94% or more of the weight.</w:t>
      </w:r>
    </w:p>
    <w:p>
      <w:pPr>
        <w:pStyle w:val="BodyText"/>
      </w:pPr>
      <w:r>
        <w:rPr>
          <w:bCs/>
          <w:b/>
        </w:rPr>
        <w:t xml:space="preserve">Ranked materials levers.</w:t>
      </w:r>
      <w:r>
        <w:t xml:space="preserve"> </w:t>
      </w:r>
      <w:r>
        <w:t xml:space="preserve">1.</w:t>
      </w:r>
      <w:r>
        <w:t xml:space="preserve"> </w:t>
      </w:r>
      <w:r>
        <w:rPr>
          <w:bCs/>
          <w:b/>
        </w:rPr>
        <w:t xml:space="preserve">Schedule.</w:t>
      </w:r>
      <w:r>
        <w:t xml:space="preserve"> </w:t>
      </w:r>
      <w:r>
        <w:t xml:space="preserve">One month’s slip to Units 2–4 costs 30–223 times C1’s carbon value (§7).</w:t>
      </w:r>
      <w:r>
        <w:t xml:space="preserve"> </w:t>
      </w:r>
      <w:r>
        <w:t xml:space="preserve">2.</w:t>
      </w:r>
      <w:r>
        <w:t xml:space="preserve"> </w:t>
      </w:r>
      <w:r>
        <w:rPr>
          <w:bCs/>
          <w:b/>
        </w:rPr>
        <w:t xml:space="preserve">Fuel front end.</w:t>
      </w:r>
      <w:r>
        <w:t xml:space="preserve"> </w:t>
      </w:r>
      <w:r>
        <w:t xml:space="preserve">It is 64% of the total, and conversion heat is the largest uncertainty. A measured value would narrow the headline more than any construction change.</w:t>
      </w:r>
      <w:r>
        <w:t xml:space="preserve"> </w:t>
      </w:r>
      <w:r>
        <w:t xml:space="preserve">3.</w:t>
      </w:r>
      <w:r>
        <w:t xml:space="preserve"> </w:t>
      </w:r>
      <w:r>
        <w:rPr>
          <w:bCs/>
          <w:b/>
        </w:rPr>
        <w:t xml:space="preserve">Whole-plant steel.</w:t>
      </w:r>
      <w:r>
        <w:t xml:space="preserve"> </w:t>
      </w:r>
      <w:r>
        <w:t xml:space="preserve">Best-practice steel could save up to 3,714 t per unit, but this upper bound is not shown to be feasible for nuclear-grade plate (§10).</w:t>
      </w:r>
      <w:r>
        <w:t xml:space="preserve"> </w:t>
      </w:r>
      <w:r>
        <w:t xml:space="preserve">4.</w:t>
      </w:r>
      <w:r>
        <w:t xml:space="preserve"> </w:t>
      </w:r>
      <w:r>
        <w:rPr>
          <w:bCs/>
          <w:b/>
        </w:rPr>
        <w:t xml:space="preserve">Concrete (C1).</w:t>
      </w:r>
      <w:r>
        <w:t xml:space="preserve"> </w:t>
      </w:r>
      <w:r>
        <w:t xml:space="preserve">The saving is real and low-risk if schedule-neutral, but C1 acts on only about one-hundredth of the footprint (§6.2).</w:t>
      </w:r>
    </w:p>
    <w:p>
      <w:pPr>
        <w:pStyle w:val="BodyText"/>
      </w:pPr>
      <w:r>
        <w:rPr>
          <w:bCs/>
          <w:b/>
        </w:rPr>
        <w:t xml:space="preserve">Australia.</w:t>
      </w:r>
      <w:r>
        <w:t xml:space="preserve"> </w:t>
      </w:r>
      <w:r>
        <w:t xml:space="preserve">The Liddell options fail on three counts at once. Federal and state law bars nuclear power (§8.1); SMRs cost A$230–382/MWh against A$89–125 for firmed renewables; and first power is no earlier than 2040 [TO VERIFY]. We recommend firmed renewables, and keeping SMRs under review against Darlington’s outturn cost.</w:t>
      </w:r>
    </w:p>
    <w:p>
      <w:pPr>
        <w:pStyle w:val="BodyText"/>
      </w:pPr>
      <w:r>
        <w:rPr>
          <w:bCs/>
          <w:b/>
        </w:rPr>
        <w:t xml:space="preserve">Limitations.</w:t>
      </w:r>
      <w:r>
        <w:t xml:space="preserve"> </w:t>
      </w:r>
      <w:r>
        <w:t xml:space="preserve">This is a screening LCA, not critically reviewed, on a proxy inventory scaled from the ESBWR. The Granta EduPack Eco Audit has not yet been run, so no number here comes from it. The social, legal and weighting scores in the MCDA are our judgement, and the headline depends on conversion heat. Most inputs await primary sources [TO VERIFY].</w:t>
      </w:r>
    </w:p>
    <w:p>
      <w:r>
        <w:pict>
          <v:rect style="width:0;height:1.5pt" o:hralign="center" o:hrstd="t" o:hr="t"/>
        </w:pict>
      </w:r>
    </w:p>
    <w:bookmarkEnd w:id="50"/>
    <w:bookmarkStart w:id="111" w:name="appendices"/>
    <w:p>
      <w:pPr>
        <w:pStyle w:val="Heading1"/>
      </w:pPr>
      <w:r>
        <w:t xml:space="preserve">Appendices</w:t>
      </w:r>
    </w:p>
    <w:bookmarkStart w:id="60" w:name="Xddcc31d2d3503f687b8b233cd4a745104a63a5c"/>
    <w:p>
      <w:pPr>
        <w:pStyle w:val="Heading2"/>
      </w:pPr>
      <w:r>
        <w:t xml:space="preserve">Appendix A. LCA inventory and calculations</w:t>
      </w:r>
    </w:p>
    <w:p>
      <w:pPr>
        <w:pStyle w:val="FirstParagraph"/>
      </w:pPr>
      <w:r>
        <w:t xml:space="preserve">This appendix gives the full working behind §6. The analysis is an</w:t>
      </w:r>
      <w:r>
        <w:t xml:space="preserve"> </w:t>
      </w:r>
      <w:r>
        <w:rPr>
          <w:bCs/>
          <w:b/>
        </w:rPr>
        <w:t xml:space="preserve">equivalent analysis built from published factors</w:t>
      </w:r>
      <w:r>
        <w:t xml:space="preserve">: a screening LCA following ISO 14040/44 principles, not critically reviewed, in which a Python model multiplies quantities by emission factors.</w:t>
      </w:r>
      <w:r>
        <w:t xml:space="preserve"> </w:t>
      </w:r>
      <w:r>
        <w:rPr>
          <w:bCs/>
          <w:b/>
        </w:rPr>
        <w:t xml:space="preserve">No Granta EduPack run has been done</w:t>
      </w:r>
      <w:r>
        <w:t xml:space="preserve">; the cross-check is only set up (A9) [TODO: Granta cross-check, H2 due Thu 12:00; cut if not run].</w:t>
      </w:r>
      <w:r>
        <w:t xml:space="preserve"> </w:t>
      </w:r>
      <w:r>
        <w:rPr>
          <w:bCs/>
          <w:b/>
        </w:rPr>
        <w:t xml:space="preserve">No input has yet been checked against its primary source</w:t>
      </w:r>
      <w:r>
        <w:t xml:space="preserve"> </w:t>
      </w:r>
      <w:r>
        <w:t xml:space="preserve">(</w:t>
      </w:r>
      <w:r>
        <w:rPr>
          <w:rStyle w:val="VerbatimChar"/>
        </w:rPr>
        <w:t xml:space="preserve">status: TO VERIFY</w:t>
      </w:r>
      <w:r>
        <w:t xml:space="preserve">,</w:t>
      </w:r>
      <w:r>
        <w:t xml:space="preserve"> </w:t>
      </w:r>
      <w:r>
        <w:rPr>
          <w:rStyle w:val="VerbatimChar"/>
        </w:rPr>
        <w:t xml:space="preserve">assumption</w:t>
      </w:r>
      <w:r>
        <w:t xml:space="preserve"> </w:t>
      </w:r>
      <w:r>
        <w:t xml:space="preserve">or</w:t>
      </w:r>
      <w:r>
        <w:t xml:space="preserve"> </w:t>
      </w:r>
      <w:r>
        <w:rPr>
          <w:rStyle w:val="VerbatimChar"/>
        </w:rPr>
        <w:t xml:space="preserve">placeholder</w:t>
      </w:r>
      <w:r>
        <w:t xml:space="preserve"> </w:t>
      </w:r>
      <w:r>
        <w:t xml:space="preserve">in</w:t>
      </w:r>
      <w:r>
        <w:t xml:space="preserve"> </w:t>
      </w:r>
      <w:r>
        <w:rPr>
          <w:rStyle w:val="VerbatimChar"/>
        </w:rPr>
        <w:t xml:space="preserve">parameters_lca.yaml</w:t>
      </w:r>
      <w:r>
        <w:t xml:space="preserve">), so every number here is provisional.</w:t>
      </w:r>
    </w:p>
    <w:bookmarkStart w:id="51" w:name="a1.-reproducing-the-results"/>
    <w:p>
      <w:pPr>
        <w:pStyle w:val="Heading3"/>
      </w:pPr>
      <w:r>
        <w:t xml:space="preserve">A1. Reproducing the results</w:t>
      </w:r>
    </w:p>
    <w:p>
      <w:pPr>
        <w:pStyle w:val="FirstParagraph"/>
      </w:pPr>
      <w:r>
        <w:t xml:space="preserve">Every table and figure in §6 and Appendices A and C regenerates in about five seconds from one parameter file. If a value changes, edit</w:t>
      </w:r>
      <w:r>
        <w:t xml:space="preserve"> </w:t>
      </w:r>
      <w:r>
        <w:rPr>
          <w:rStyle w:val="VerbatimChar"/>
        </w:rPr>
        <w:t xml:space="preserve">parameters_lca.yaml</w:t>
      </w:r>
      <w:r>
        <w:t xml:space="preserve"> </w:t>
      </w:r>
      <w:r>
        <w:t xml:space="preserve">and re-run the three scripts.</w:t>
      </w:r>
    </w:p>
    <w:p>
      <w:pPr>
        <w:pStyle w:val="BodyText"/>
      </w:pPr>
      <w:r>
        <w:rPr>
          <w:iCs/>
          <w:i/>
        </w:rPr>
        <w:t xml:space="preserve">Table A1. Scripts, inputs and outputs.</w:t>
      </w:r>
      <w:r>
        <w:t xml:space="preserve"> </w:t>
      </w:r>
      <w:r>
        <w:rPr>
          <w:iCs/>
          <w:i/>
        </w:rPr>
        <w:t xml:space="preserve">Source:</w:t>
      </w:r>
      <w:r>
        <w:rPr>
          <w:iCs/>
          <w:i/>
        </w:rPr>
        <w:t xml:space="preserve"> </w:t>
      </w:r>
      <w:r>
        <w:rPr>
          <w:rStyle w:val="VerbatimChar"/>
          <w:iCs/>
          <w:i/>
        </w:rPr>
        <w:t xml:space="preserve">03_LCA_Calculations/</w:t>
      </w:r>
      <w:r>
        <w:rPr>
          <w:iCs/>
          <w:i/>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Command (from the repository root)</w:t>
            </w:r>
          </w:p>
        </w:tc>
        <w:tc>
          <w:tcPr/>
          <w:p>
            <w:pPr>
              <w:pStyle w:val="Compact"/>
              <w:jc w:val="left"/>
            </w:pPr>
            <w:r>
              <w:t xml:space="preserve">Output</w:t>
            </w:r>
          </w:p>
        </w:tc>
      </w:tr>
      <w:tr>
        <w:tc>
          <w:tcPr/>
          <w:p>
            <w:pPr>
              <w:pStyle w:val="Compact"/>
              <w:jc w:val="left"/>
            </w:pPr>
            <w:r>
              <w:t xml:space="preserve">Baseline inventory, fuel mass balance, stage totals</w:t>
            </w:r>
          </w:p>
        </w:tc>
        <w:tc>
          <w:tcPr/>
          <w:p>
            <w:pPr>
              <w:pStyle w:val="Compact"/>
              <w:jc w:val="left"/>
            </w:pPr>
            <w:r>
              <w:rPr>
                <w:rStyle w:val="VerbatimChar"/>
              </w:rPr>
              <w:t xml:space="preserve">python3 -I 03_LCA_Calculations/scripts/lca_baseline.py</w:t>
            </w:r>
          </w:p>
        </w:tc>
        <w:tc>
          <w:tcPr/>
          <w:p>
            <w:pPr>
              <w:pStyle w:val="Compact"/>
              <w:jc w:val="left"/>
            </w:pPr>
            <w:r>
              <w:rPr>
                <w:rStyle w:val="VerbatimChar"/>
              </w:rPr>
              <w:t xml:space="preserve">results/lca_baseline.md</w:t>
            </w:r>
            <w:r>
              <w:t xml:space="preserve">,</w:t>
            </w:r>
            <w:r>
              <w:t xml:space="preserve"> </w:t>
            </w:r>
            <w:r>
              <w:rPr>
                <w:rStyle w:val="VerbatimChar"/>
              </w:rPr>
              <w:t xml:space="preserve">lca_inventory.csv</w:t>
            </w:r>
            <w:r>
              <w:t xml:space="preserve">,</w:t>
            </w:r>
            <w:r>
              <w:t xml:space="preserve"> </w:t>
            </w:r>
            <w:r>
              <w:rPr>
                <w:rStyle w:val="VerbatimChar"/>
              </w:rPr>
              <w:t xml:space="preserve">lca_stages.csv</w:t>
            </w:r>
            <w:r>
              <w:t xml:space="preserve">,</w:t>
            </w:r>
            <w:r>
              <w:t xml:space="preserve"> </w:t>
            </w:r>
            <w:r>
              <w:rPr>
                <w:rStyle w:val="VerbatimChar"/>
              </w:rPr>
              <w:t xml:space="preserve">lca_fuel.csv</w:t>
            </w:r>
            <w:r>
              <w:t xml:space="preserve">, Figure F1</w:t>
            </w:r>
          </w:p>
        </w:tc>
      </w:tr>
      <w:tr>
        <w:tc>
          <w:tcPr/>
          <w:p>
            <w:pPr>
              <w:pStyle w:val="Compact"/>
              <w:jc w:val="left"/>
            </w:pPr>
            <w:r>
              <w:t xml:space="preserve">Initiative scenarios S1, S2, S2b, S3</w:t>
            </w:r>
          </w:p>
        </w:tc>
        <w:tc>
          <w:tcPr/>
          <w:p>
            <w:pPr>
              <w:pStyle w:val="Compact"/>
              <w:jc w:val="left"/>
            </w:pPr>
            <w:r>
              <w:rPr>
                <w:rStyle w:val="VerbatimChar"/>
              </w:rPr>
              <w:t xml:space="preserve">python3 -I 03_LCA_Calculations/scripts/lca_scenarios.py</w:t>
            </w:r>
          </w:p>
        </w:tc>
        <w:tc>
          <w:tcPr/>
          <w:p>
            <w:pPr>
              <w:pStyle w:val="Compact"/>
              <w:jc w:val="left"/>
            </w:pPr>
            <w:r>
              <w:rPr>
                <w:rStyle w:val="VerbatimChar"/>
              </w:rPr>
              <w:t xml:space="preserve">results/lca_scenarios.md</w:t>
            </w:r>
            <w:r>
              <w:t xml:space="preserve">,</w:t>
            </w:r>
            <w:r>
              <w:t xml:space="preserve"> </w:t>
            </w:r>
            <w:r>
              <w:rPr>
                <w:rStyle w:val="VerbatimChar"/>
              </w:rPr>
              <w:t xml:space="preserve">lca_scenarios.csv</w:t>
            </w:r>
            <w:r>
              <w:t xml:space="preserve">,</w:t>
            </w:r>
            <w:r>
              <w:t xml:space="preserve"> </w:t>
            </w:r>
            <w:r>
              <w:rPr>
                <w:rStyle w:val="VerbatimChar"/>
              </w:rPr>
              <w:t xml:space="preserve">lca_scenarios_structures.csv</w:t>
            </w:r>
          </w:p>
        </w:tc>
      </w:tr>
      <w:tr>
        <w:tc>
          <w:tcPr/>
          <w:p>
            <w:pPr>
              <w:pStyle w:val="Compact"/>
              <w:jc w:val="left"/>
            </w:pPr>
            <w:r>
              <w:t xml:space="preserve">Tornado and Monte Carlo (Appendix C)</w:t>
            </w:r>
          </w:p>
        </w:tc>
        <w:tc>
          <w:tcPr/>
          <w:p>
            <w:pPr>
              <w:pStyle w:val="Compact"/>
              <w:jc w:val="left"/>
            </w:pPr>
            <w:r>
              <w:rPr>
                <w:rStyle w:val="VerbatimChar"/>
              </w:rPr>
              <w:t xml:space="preserve">python3 -I 03_LCA_Calculations/scripts/lca_uncertainty.py</w:t>
            </w:r>
          </w:p>
        </w:tc>
        <w:tc>
          <w:tcPr/>
          <w:p>
            <w:pPr>
              <w:pStyle w:val="Compact"/>
              <w:jc w:val="left"/>
            </w:pPr>
            <w:r>
              <w:rPr>
                <w:rStyle w:val="VerbatimChar"/>
              </w:rPr>
              <w:t xml:space="preserve">results/lca_uncertainty.md</w:t>
            </w:r>
            <w:r>
              <w:t xml:space="preserve">,</w:t>
            </w:r>
            <w:r>
              <w:t xml:space="preserve"> </w:t>
            </w:r>
            <w:r>
              <w:rPr>
                <w:rStyle w:val="VerbatimChar"/>
              </w:rPr>
              <w:t xml:space="preserve">lca_tornado.csv</w:t>
            </w:r>
            <w:r>
              <w:t xml:space="preserve">,</w:t>
            </w:r>
            <w:r>
              <w:t xml:space="preserve"> </w:t>
            </w:r>
            <w:r>
              <w:rPr>
                <w:rStyle w:val="VerbatimChar"/>
              </w:rPr>
              <w:t xml:space="preserve">lca_montecarlo_summary.csv</w:t>
            </w:r>
            <w:r>
              <w:t xml:space="preserve">,</w:t>
            </w:r>
            <w:r>
              <w:t xml:space="preserve"> </w:t>
            </w:r>
            <w:r>
              <w:rPr>
                <w:rStyle w:val="VerbatimChar"/>
              </w:rPr>
              <w:t xml:space="preserve">lca_stages_expected.csv</w:t>
            </w:r>
            <w:r>
              <w:t xml:space="preserve">, Figures F2–F5</w:t>
            </w:r>
          </w:p>
        </w:tc>
      </w:tr>
    </w:tbl>
    <w:p>
      <w:pPr>
        <w:pStyle w:val="BodyText"/>
      </w:pPr>
      <w:r>
        <w:t xml:space="preserve">All three scripts read only</w:t>
      </w:r>
      <w:r>
        <w:t xml:space="preserve"> </w:t>
      </w:r>
      <w:r>
        <w:rPr>
          <w:rStyle w:val="VerbatimChar"/>
        </w:rPr>
        <w:t xml:space="preserve">03_LCA_Calculations/parameters_lca.yaml</w:t>
      </w:r>
      <w:r>
        <w:t xml:space="preserve"> </w:t>
      </w:r>
      <w:r>
        <w:t xml:space="preserve">(59 parameters, each with a value, range, distribution, source key and status).</w:t>
      </w:r>
    </w:p>
    <w:bookmarkEnd w:id="51"/>
    <w:bookmarkStart w:id="52" w:name="a2.-functional-unit-and-lifetime-output"/>
    <w:p>
      <w:pPr>
        <w:pStyle w:val="Heading3"/>
      </w:pPr>
      <w:r>
        <w:t xml:space="preserve">A2. Functional unit and lifetime output</w:t>
      </w:r>
    </w:p>
    <w:p>
      <w:pPr>
        <w:pStyle w:val="FirstParagraph"/>
      </w:pPr>
      <w:r>
        <w:rPr>
          <w:bCs/>
          <w:b/>
        </w:rPr>
        <w:t xml:space="preserve">Result.</w:t>
      </w:r>
      <w:r>
        <w:t xml:space="preserve"> </w:t>
      </w:r>
      <w:r>
        <w:t xml:space="preserve">One unit delivers 1.419 × 10⁸ MWh over its life, the denominator for every per-MWh value in §6 and §7.</w:t>
      </w:r>
    </w:p>
    <w:p>
      <w:pPr>
        <w:numPr>
          <w:ilvl w:val="0"/>
          <w:numId w:val="1002"/>
        </w:numPr>
        <w:pStyle w:val="Compact"/>
      </w:pPr>
      <w:r>
        <w:t xml:space="preserve">Annual output = P_net × 8,760 h × CF = 300 MWe × 8,760 × 0.90 = 2,365,200 MWh/yr.</w:t>
      </w:r>
    </w:p>
    <w:p>
      <w:pPr>
        <w:numPr>
          <w:ilvl w:val="0"/>
          <w:numId w:val="1002"/>
        </w:numPr>
        <w:pStyle w:val="Compact"/>
      </w:pPr>
      <w:r>
        <w:t xml:space="preserve">Lifetime output E = annual output × L = 2,365,200 × 60 =</w:t>
      </w:r>
      <w:r>
        <w:t xml:space="preserve"> </w:t>
      </w:r>
      <w:r>
        <w:rPr>
          <w:bCs/>
          <w:b/>
        </w:rPr>
        <w:t xml:space="preserve">1.419 × 10⁸ MWh</w:t>
      </w:r>
      <w:r>
        <w:t xml:space="preserve">.</w:t>
      </w:r>
    </w:p>
    <w:p>
      <w:pPr>
        <w:numPr>
          <w:ilvl w:val="0"/>
          <w:numId w:val="1002"/>
        </w:numPr>
        <w:pStyle w:val="Compact"/>
      </w:pPr>
      <w:r>
        <w:t xml:space="preserve">Net efficiency η = P_net / P_th = 300 / 870 =</w:t>
      </w:r>
      <w:r>
        <w:t xml:space="preserve"> </w:t>
      </w:r>
      <w:r>
        <w:rPr>
          <w:bCs/>
          <w:b/>
        </w:rPr>
        <w:t xml:space="preserve">0.345</w:t>
      </w:r>
      <w:r>
        <w:t xml:space="preserve"> </w:t>
      </w:r>
      <w:r>
        <w:t xml:space="preserve">(870 MWt: [TODO: authors], 2025, an unrefereed preprint) [TO VERIFY].</w:t>
      </w:r>
    </w:p>
    <w:p>
      <w:pPr>
        <w:numPr>
          <w:ilvl w:val="0"/>
          <w:numId w:val="1002"/>
        </w:numPr>
        <w:pStyle w:val="Compact"/>
      </w:pPr>
      <w:r>
        <w:t xml:space="preserve">Conversion to the functional unit: 1 t CO₂e spread over E is 7.05 × 10⁻⁶ kg CO₂e/MWh (= g/kWh).</w:t>
      </w:r>
    </w:p>
    <w:p>
      <w:pPr>
        <w:pStyle w:val="FirstParagraph"/>
      </w:pPr>
      <w:r>
        <w:t xml:space="preserve">Inputs: P_net 300 MWe (GE Vernova Hitachi Nuclear Energy, n.d.) [placeholder; 315 MW net in an OPG filing, TO VERIFY]; CF 0.90 [placeholder, assumption shared with §7]; L 60 years (Canadian Nuclear Safety Commission, 2024) [TO VERIFY; 65 years reported elsewhere].</w:t>
      </w:r>
    </w:p>
    <w:bookmarkEnd w:id="52"/>
    <w:bookmarkStart w:id="53" w:name="a3.-material-quantities-per-unit"/>
    <w:p>
      <w:pPr>
        <w:pStyle w:val="Heading3"/>
      </w:pPr>
      <w:r>
        <w:t xml:space="preserve">A3. Material quantities per unit</w:t>
      </w:r>
    </w:p>
    <w:p>
      <w:pPr>
        <w:pStyle w:val="FirstParagraph"/>
      </w:pPr>
      <w:r>
        <w:rPr>
          <w:bCs/>
          <w:b/>
        </w:rPr>
        <w:t xml:space="preserve">Result.</w:t>
      </w:r>
      <w:r>
        <w:t xml:space="preserve"> </w:t>
      </w:r>
      <w:r>
        <w:t xml:space="preserve">About 20,700 m³ of concrete and 9,900 t of steel per unit, of which 13,081 m³ of concrete is in the C1 target structures.</w:t>
      </w:r>
      <w:r>
        <w:t xml:space="preserve"> </w:t>
      </w:r>
      <w:r>
        <w:rPr>
          <w:bCs/>
          <w:b/>
        </w:rPr>
        <w:t xml:space="preserve">These are scaled estimates, not measured quantities</w:t>
      </w:r>
      <w:r>
        <w:t xml:space="preserve">: no BWRX-300 bill of materials could be opened (searched: OPG’s EIS review report NK054-REP-07730-00055-R001, TVA’s Clinch River environmental report ML25118A209 and SEIS ML26035A285, GEH NEDO-33914; only front matter or summaries were visible) [TODO: Leroy].</w:t>
      </w:r>
    </w:p>
    <w:p>
      <w:pPr>
        <w:pStyle w:val="BodyText"/>
      </w:pPr>
      <w:r>
        <w:rPr>
          <w:bCs/>
          <w:b/>
        </w:rPr>
        <w:t xml:space="preserve">Whole plant.</w:t>
      </w:r>
      <w:r>
        <w:t xml:space="preserve"> </w:t>
      </w:r>
      <w:r>
        <w:t xml:space="preserve">Concrete = I_c × P_net; steel = I_s × P_net.</w:t>
      </w:r>
      <w:r>
        <w:t xml:space="preserve"> </w:t>
      </w:r>
      <w:r>
        <w:t xml:space="preserve">- Central: ESBWR intensities, I_c = 69 m³/MWe and I_s = 33 t/MWe (Peterson, Zhao and Petroski, 2005) [TO VERIFY], because the BWRX-300 is derived from the ESBWR.</w:t>
      </w:r>
      <w:r>
        <w:t xml:space="preserve"> </w:t>
      </w:r>
      <w:r>
        <w:t xml:space="preserve">- Low: GE Vernova’s claim of about 50% less concrete (and, in one release, steel) per MW than the ESBWR, giving 34.5 m³/MWe and 16.5 t/MWe (GE Vernova, n.d.) [TO VERIFY; manufacturer projection].</w:t>
      </w:r>
      <w:r>
        <w:t xml:space="preserve"> </w:t>
      </w:r>
      <w:r>
        <w:t xml:space="preserve">- High: ABWR, 138 m³/MWe and 46 t/MWe (Peterson, Zhao and Petroski, 2005) [TO VERIFY], standing in for small-plant scale penalties.</w:t>
      </w:r>
      <w:r>
        <w:t xml:space="preserve"> </w:t>
      </w:r>
      <w:r>
        <w:t xml:space="preserve">-</w:t>
      </w:r>
      <w:r>
        <w:t xml:space="preserve"> </w:t>
      </w:r>
      <w:r>
        <w:rPr>
          <w:bCs/>
          <w:b/>
        </w:rPr>
        <w:t xml:space="preserve">Assumption:</w:t>
      </w:r>
      <w:r>
        <w:t xml:space="preserve"> </w:t>
      </w:r>
      <w:r>
        <w:t xml:space="preserve">in the central case the claimed halving is offset by SMR diseconomies of scale.</w:t>
      </w:r>
      <w:r>
        <w:t xml:space="preserve"> </w:t>
      </w:r>
      <w:r>
        <w:t xml:space="preserve">-</w:t>
      </w:r>
      <w:r>
        <w:t xml:space="preserve"> </w:t>
      </w:r>
      <w:r>
        <w:rPr>
          <w:bCs/>
          <w:b/>
        </w:rPr>
        <w:t xml:space="preserve">Input bounds, not a result range:</w:t>
      </w:r>
      <w:r>
        <w:t xml:space="preserve"> </w:t>
      </w:r>
      <w:r>
        <w:t xml:space="preserve">34.5 × 300 = 10,350 m³ and 138 × 300 = 41,400 m³. The Monte Carlo 90% interval for whole-plant concrete is about</w:t>
      </w:r>
      <w:r>
        <w:t xml:space="preserve"> </w:t>
      </w:r>
      <w:r>
        <w:rPr>
          <w:bCs/>
          <w:b/>
        </w:rPr>
        <w:t xml:space="preserve">15,050–36,521 m³</w:t>
      </w:r>
      <w:r>
        <w:t xml:space="preserve"> </w:t>
      </w:r>
      <w:r>
        <w:t xml:space="preserve">(median 24,066 m³; Table C2). Quote the interval, not the bounds, as the concrete range.</w:t>
      </w:r>
    </w:p>
    <w:p>
      <w:pPr>
        <w:pStyle w:val="BodyText"/>
      </w:pPr>
      <w:r>
        <w:rPr>
          <w:bCs/>
          <w:b/>
        </w:rPr>
        <w:t xml:space="preserve">C1 target structures (geometry).</w:t>
      </w:r>
      <w:r>
        <w:t xml:space="preserve"> </w:t>
      </w:r>
      <w:r>
        <w:t xml:space="preserve">With D = 37 m (module diameter) and h = 35 m (shaft depth), as read in a news report of the Unit 1 basemat-module lift (okdiario, 2026) [TODO: sources.md entry] [TO VERIFY].</w:t>
      </w:r>
      <w:r>
        <w:t xml:space="preserve"> </w:t>
      </w:r>
      <w:r>
        <w:rPr>
          <w:bCs/>
          <w:b/>
        </w:rPr>
        <w:t xml:space="preserve">Both dimensions, and the 953 t module mass below, come from that report, which misdescribes the module as a</w:t>
      </w:r>
      <w:r>
        <w:rPr>
          <w:bCs/>
          <w:b/>
        </w:rPr>
        <w:t xml:space="preserve"> </w:t>
      </w:r>
      <w:r>
        <w:rPr>
          <w:bCs/>
          <w:b/>
        </w:rPr>
        <w:t xml:space="preserve">“</w:t>
      </w:r>
      <w:r>
        <w:rPr>
          <w:bCs/>
          <w:b/>
        </w:rPr>
        <w:t xml:space="preserve">reactor</w:t>
      </w:r>
      <w:r>
        <w:rPr>
          <w:bCs/>
          <w:b/>
        </w:rPr>
        <w:t xml:space="preserve">”</w:t>
      </w:r>
      <w:r>
        <w:rPr>
          <w:bCs/>
          <w:b/>
        </w:rPr>
        <w:t xml:space="preserve"> </w:t>
      </w:r>
      <w:r>
        <w:rPr>
          <w:bCs/>
          <w:b/>
        </w:rPr>
        <w:t xml:space="preserve">and cites an OPG story we have not found</w:t>
      </w:r>
      <w:r>
        <w:t xml:space="preserve"> </w:t>
      </w:r>
      <w:r>
        <w:t xml:space="preserve">[TODO: OPG URL or NEDO-33926 dimensions]. They set 69% of the C1 target concrete.</w:t>
      </w:r>
      <w:r>
        <w:t xml:space="preserve"> </w:t>
      </w:r>
      <w:r>
        <w:t xml:space="preserve">- V_basemat = π/4 × D² × t_b = 0.7854 × 37² × 3.0 =</w:t>
      </w:r>
      <w:r>
        <w:t xml:space="preserve"> </w:t>
      </w:r>
      <w:r>
        <w:rPr>
          <w:bCs/>
          <w:b/>
        </w:rPr>
        <w:t xml:space="preserve">3,226 m³</w:t>
      </w:r>
      <w:r>
        <w:t xml:space="preserve"> </w:t>
      </w:r>
      <w:r>
        <w:t xml:space="preserve">(t_b = 3.0 m, assumption, range 2–4 m).</w:t>
      </w:r>
      <w:r>
        <w:t xml:space="preserve"> </w:t>
      </w:r>
      <w:r>
        <w:t xml:space="preserve">- V_wall = π × (D − t_w) × t_w × h = π × 35.5 × 1.5 × 35 =</w:t>
      </w:r>
      <w:r>
        <w:t xml:space="preserve"> </w:t>
      </w:r>
      <w:r>
        <w:rPr>
          <w:bCs/>
          <w:b/>
        </w:rPr>
        <w:t xml:space="preserve">5,855 m³</w:t>
      </w:r>
      <w:r>
        <w:t xml:space="preserve"> </w:t>
      </w:r>
      <w:r>
        <w:t xml:space="preserve">(t_w = 1.5 m, assumption, range 1–2 m).</w:t>
      </w:r>
      <w:r>
        <w:t xml:space="preserve"> </w:t>
      </w:r>
      <w:r>
        <w:t xml:space="preserve">- Forebay shaft =</w:t>
      </w:r>
      <w:r>
        <w:t xml:space="preserve"> </w:t>
      </w:r>
      <w:r>
        <w:rPr>
          <w:bCs/>
          <w:b/>
        </w:rPr>
        <w:t xml:space="preserve">4,000 m³</w:t>
      </w:r>
      <w:r>
        <w:t xml:space="preserve"> </w:t>
      </w:r>
      <w:r>
        <w:t xml:space="preserve">placed to date (Ontario Power Generation, 2025) [TO VERIFY]; a floor, with 6,000 m³ as the high value. Whether the forebay serves one unit or all four is [TODO: Leroy/OPG].</w:t>
      </w:r>
    </w:p>
    <w:p>
      <w:pPr>
        <w:pStyle w:val="BodyText"/>
      </w:pPr>
      <w:r>
        <w:rPr>
          <w:bCs/>
          <w:b/>
        </w:rPr>
        <w:t xml:space="preserve">Rebar.</w:t>
      </w:r>
      <w:r>
        <w:t xml:space="preserve"> </w:t>
      </w:r>
      <w:r>
        <w:t xml:space="preserve">Rebar = ρ × plant concrete = 0.15 t/m³ × 20,700 = 3,105 t (assumption; the forebay’s observed 1,000 t / 4,000 m³ = 0.25 t/m³ is the high value, and DPSC modules use steel faceplates instead of most rebar). Plate, structural and equipment steel = 9,900 − 3,105 = 6,795 t, which includes the 953 t Unit 1 DPSC basemat module (okdiario, 2026) [TO VERIFY]. The rebar ratio only splits total steel between two factors, and</w:t>
      </w:r>
      <w:r>
        <w:t xml:space="preserve"> </w:t>
      </w:r>
      <w:r>
        <w:rPr>
          <w:bCs/>
          <w:b/>
        </w:rPr>
        <w:t xml:space="preserve">rebar is capped at total steel</w:t>
      </w:r>
      <w:r>
        <w:t xml:space="preserve"> </w:t>
      </w:r>
      <w:r>
        <w:t xml:space="preserve">(rebar = min(ρ × plant concrete, total steel)), so plate steel never goes negative.</w:t>
      </w:r>
    </w:p>
    <w:p>
      <w:pPr>
        <w:pStyle w:val="BodyText"/>
      </w:pPr>
      <w:r>
        <w:rPr>
          <w:iCs/>
          <w:i/>
        </w:rPr>
        <w:t xml:space="preserve">Table A2. Concrete volume per unit.</w:t>
      </w:r>
      <w:r>
        <w:t xml:space="preserve"> </w:t>
      </w:r>
      <w:r>
        <w:rPr>
          <w:iCs/>
          <w:i/>
        </w:rPr>
        <w:t xml:space="preserve">Source:</w:t>
      </w:r>
      <w:r>
        <w:rPr>
          <w:iCs/>
          <w:i/>
        </w:rPr>
        <w:t xml:space="preserve"> </w:t>
      </w:r>
      <w:r>
        <w:rPr>
          <w:rStyle w:val="VerbatimChar"/>
          <w:iCs/>
          <w:i/>
        </w:rPr>
        <w:t xml:space="preserve">results/lca_baseline.md</w:t>
      </w:r>
      <w:r>
        <w:rPr>
          <w:iCs/>
          <w:i/>
        </w:rP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Part</w:t>
            </w:r>
          </w:p>
        </w:tc>
        <w:tc>
          <w:tcPr/>
          <w:p>
            <w:pPr>
              <w:pStyle w:val="Compact"/>
              <w:jc w:val="right"/>
            </w:pPr>
            <w:r>
              <w:t xml:space="preserve">m³</w:t>
            </w:r>
          </w:p>
        </w:tc>
        <w:tc>
          <w:tcPr/>
          <w:p>
            <w:pPr>
              <w:pStyle w:val="Compact"/>
              <w:jc w:val="left"/>
            </w:pPr>
            <w:r>
              <w:t xml:space="preserve">Working</w:t>
            </w:r>
          </w:p>
        </w:tc>
      </w:tr>
      <w:tr>
        <w:tc>
          <w:tcPr/>
          <w:p>
            <w:pPr>
              <w:pStyle w:val="Compact"/>
              <w:jc w:val="left"/>
            </w:pPr>
            <w:r>
              <w:t xml:space="preserve">DPSC basemat infill</w:t>
            </w:r>
          </w:p>
        </w:tc>
        <w:tc>
          <w:tcPr/>
          <w:p>
            <w:pPr>
              <w:pStyle w:val="Compact"/>
              <w:jc w:val="right"/>
            </w:pPr>
            <w:r>
              <w:t xml:space="preserve">3,226</w:t>
            </w:r>
          </w:p>
        </w:tc>
        <w:tc>
          <w:tcPr/>
          <w:p>
            <w:pPr>
              <w:pStyle w:val="Compact"/>
              <w:jc w:val="left"/>
            </w:pPr>
            <w:r>
              <w:t xml:space="preserve">π/4 × 37² × 3.0 m</w:t>
            </w:r>
          </w:p>
        </w:tc>
      </w:tr>
      <w:tr>
        <w:tc>
          <w:tcPr/>
          <w:p>
            <w:pPr>
              <w:pStyle w:val="Compact"/>
              <w:jc w:val="left"/>
            </w:pPr>
            <w:r>
              <w:t xml:space="preserve">DPSC shaft-wall infill</w:t>
            </w:r>
          </w:p>
        </w:tc>
        <w:tc>
          <w:tcPr/>
          <w:p>
            <w:pPr>
              <w:pStyle w:val="Compact"/>
              <w:jc w:val="right"/>
            </w:pPr>
            <w:r>
              <w:t xml:space="preserve">5,855</w:t>
            </w:r>
          </w:p>
        </w:tc>
        <w:tc>
          <w:tcPr/>
          <w:p>
            <w:pPr>
              <w:pStyle w:val="Compact"/>
              <w:jc w:val="left"/>
            </w:pPr>
            <w:r>
              <w:t xml:space="preserve">π × (37 − 1.5) × 1.5 × 35 m</w:t>
            </w:r>
          </w:p>
        </w:tc>
      </w:tr>
      <w:tr>
        <w:tc>
          <w:tcPr/>
          <w:p>
            <w:pPr>
              <w:pStyle w:val="Compact"/>
              <w:jc w:val="left"/>
            </w:pPr>
            <w:r>
              <w:t xml:space="preserve">Forebay shaft</w:t>
            </w:r>
          </w:p>
        </w:tc>
        <w:tc>
          <w:tcPr/>
          <w:p>
            <w:pPr>
              <w:pStyle w:val="Compact"/>
              <w:jc w:val="right"/>
            </w:pPr>
            <w:r>
              <w:t xml:space="preserve">4,000</w:t>
            </w:r>
          </w:p>
        </w:tc>
        <w:tc>
          <w:tcPr/>
          <w:p>
            <w:pPr>
              <w:pStyle w:val="Compact"/>
              <w:jc w:val="left"/>
            </w:pPr>
            <w:r>
              <w:t xml:space="preserve">OPG update (floor)</w:t>
            </w:r>
          </w:p>
        </w:tc>
      </w:tr>
      <w:tr>
        <w:tc>
          <w:tcPr/>
          <w:p>
            <w:pPr>
              <w:pStyle w:val="Compact"/>
              <w:jc w:val="left"/>
            </w:pPr>
            <w:r>
              <w:rPr>
                <w:bCs/>
                <w:b/>
              </w:rPr>
              <w:t xml:space="preserve">C1 target structures</w:t>
            </w:r>
          </w:p>
        </w:tc>
        <w:tc>
          <w:tcPr/>
          <w:p>
            <w:pPr>
              <w:pStyle w:val="Compact"/>
              <w:jc w:val="right"/>
            </w:pPr>
            <w:r>
              <w:rPr>
                <w:bCs/>
                <w:b/>
              </w:rPr>
              <w:t xml:space="preserve">13,081</w:t>
            </w:r>
          </w:p>
        </w:tc>
        <w:tc>
          <w:tcPr/>
          <w:p>
            <w:pPr>
              <w:pStyle w:val="Compact"/>
              <w:jc w:val="left"/>
            </w:pPr>
            <w:r>
              <w:t xml:space="preserve">Sum of the three (63% of the plant)</w:t>
            </w:r>
          </w:p>
        </w:tc>
      </w:tr>
      <w:tr>
        <w:tc>
          <w:tcPr/>
          <w:p>
            <w:pPr>
              <w:pStyle w:val="Compact"/>
              <w:jc w:val="left"/>
            </w:pPr>
            <w:r>
              <w:t xml:space="preserve">Other plant concrete</w:t>
            </w:r>
          </w:p>
        </w:tc>
        <w:tc>
          <w:tcPr/>
          <w:p>
            <w:pPr>
              <w:pStyle w:val="Compact"/>
              <w:jc w:val="right"/>
            </w:pPr>
            <w:r>
              <w:t xml:space="preserve">7,619</w:t>
            </w:r>
          </w:p>
        </w:tc>
        <w:tc>
          <w:tcPr/>
          <w:p>
            <w:pPr>
              <w:pStyle w:val="Compact"/>
              <w:jc w:val="left"/>
            </w:pPr>
            <w:r>
              <w:t xml:space="preserve">Whole plant − target</w:t>
            </w:r>
          </w:p>
        </w:tc>
      </w:tr>
      <w:tr>
        <w:tc>
          <w:tcPr/>
          <w:p>
            <w:pPr>
              <w:pStyle w:val="Compact"/>
              <w:jc w:val="left"/>
            </w:pPr>
            <w:r>
              <w:rPr>
                <w:bCs/>
                <w:b/>
              </w:rPr>
              <w:t xml:space="preserve">Whole plant</w:t>
            </w:r>
          </w:p>
        </w:tc>
        <w:tc>
          <w:tcPr/>
          <w:p>
            <w:pPr>
              <w:pStyle w:val="Compact"/>
              <w:jc w:val="right"/>
            </w:pPr>
            <w:r>
              <w:rPr>
                <w:bCs/>
                <w:b/>
              </w:rPr>
              <w:t xml:space="preserve">20,700</w:t>
            </w:r>
          </w:p>
        </w:tc>
        <w:tc>
          <w:tcPr/>
          <w:p>
            <w:pPr>
              <w:pStyle w:val="Compact"/>
              <w:jc w:val="left"/>
            </w:pPr>
            <w:r>
              <w:t xml:space="preserve">max(69 m³/MWe × 300 MWe, target)</w:t>
            </w:r>
          </w:p>
        </w:tc>
      </w:tr>
    </w:tbl>
    <w:p>
      <w:pPr>
        <w:pStyle w:val="BodyText"/>
      </w:pPr>
      <w:r>
        <w:t xml:space="preserve">In 3.5% of Monte Carlo draws (706 of 20,000) the scaled plant fell below the target volume, and the plant volume was then set equal to the target (Appendix C1).</w:t>
      </w:r>
    </w:p>
    <w:bookmarkEnd w:id="53"/>
    <w:bookmarkStart w:id="54" w:name="Xd0e381ee713afec2acbbb80d77e863c2dda17b7"/>
    <w:p>
      <w:pPr>
        <w:pStyle w:val="Heading3"/>
      </w:pPr>
      <w:r>
        <w:t xml:space="preserve">A4. Corrected inventory and corrections to the team’s spreadsheet</w:t>
      </w:r>
    </w:p>
    <w:p>
      <w:pPr>
        <w:pStyle w:val="FirstParagraph"/>
      </w:pPr>
      <w:r>
        <w:rPr>
          <w:bCs/>
          <w:b/>
        </w:rPr>
        <w:t xml:space="preserve">Result.</w:t>
      </w:r>
      <w:r>
        <w:t xml:space="preserve"> </w:t>
      </w:r>
      <w:r>
        <w:t xml:space="preserve">The spreadsheet’s forebay rows describe one milestone of one Unit 1 structure. They are kept, labelled PARTIAL, and whole-unit rows are added.</w:t>
      </w:r>
    </w:p>
    <w:p>
      <w:pPr>
        <w:pStyle w:val="BodyText"/>
      </w:pPr>
      <w:r>
        <w:rPr>
          <w:iCs/>
          <w:i/>
        </w:rPr>
        <w:t xml:space="preserve">Table A3. Corrected construction inventory (cradle to gate, EN 15804 modules A1–A3; central case).</w:t>
      </w:r>
      <w:r>
        <w:t xml:space="preserve"> </w:t>
      </w:r>
      <w:r>
        <w:rPr>
          <w:iCs/>
          <w:i/>
        </w:rPr>
        <w:t xml:space="preserve">Source:</w:t>
      </w:r>
      <w:r>
        <w:rPr>
          <w:iCs/>
          <w:i/>
        </w:rPr>
        <w:t xml:space="preserve"> </w:t>
      </w:r>
      <w:r>
        <w:rPr>
          <w:rStyle w:val="VerbatimChar"/>
          <w:iCs/>
          <w:i/>
        </w:rPr>
        <w:t xml:space="preserve">03_LCA_Calculations/Accounting_corrected.csv</w:t>
      </w:r>
      <w:r>
        <w:rPr>
          <w:iCs/>
          <w:i/>
        </w:rPr>
        <w:t xml:space="preserve">; quantities as in A3; factors as in A5. All [TO VERIFY].</w:t>
      </w:r>
    </w:p>
    <w:tbl>
      <w:tblPr>
        <w:tblStyle w:val="Table"/>
        <w:tblW w:type="pct" w:w="5000"/>
        <w:tblLook w:firstRow="1" w:lastRow="0" w:firstColumn="0" w:lastColumn="0" w:noHBand="0" w:noVBand="0" w:val="0020"/>
        <w:jc w:val="start"/>
      </w:tblPr>
      <w:tblGrid>
        <w:gridCol w:w="1250"/>
        <w:gridCol w:w="1250"/>
        <w:gridCol w:w="1250"/>
        <w:gridCol w:w="1250"/>
        <w:gridCol w:w="1250"/>
        <w:gridCol w:w="1667"/>
      </w:tblGrid>
      <w:tr>
        <w:trPr>
          <w:tblHeader w:val="true"/>
        </w:trPr>
        <w:tc>
          <w:tcPr/>
          <w:p>
            <w:pPr>
              <w:pStyle w:val="Compact"/>
              <w:jc w:val="left"/>
            </w:pPr>
            <w:r>
              <w:t xml:space="preserve">Row</w:t>
            </w:r>
          </w:p>
        </w:tc>
        <w:tc>
          <w:tcPr/>
          <w:p>
            <w:pPr>
              <w:pStyle w:val="Compact"/>
              <w:jc w:val="left"/>
            </w:pPr>
            <w:r>
              <w:t xml:space="preserve">Structure and material</w:t>
            </w:r>
          </w:p>
        </w:tc>
        <w:tc>
          <w:tcPr/>
          <w:p>
            <w:pPr>
              <w:pStyle w:val="Compact"/>
              <w:jc w:val="left"/>
            </w:pPr>
            <w:r>
              <w:t xml:space="preserve">Quantity</w:t>
            </w:r>
          </w:p>
        </w:tc>
        <w:tc>
          <w:tcPr/>
          <w:p>
            <w:pPr>
              <w:pStyle w:val="Compact"/>
              <w:jc w:val="left"/>
            </w:pPr>
            <w:r>
              <w:t xml:space="preserve">Scope</w:t>
            </w:r>
          </w:p>
        </w:tc>
        <w:tc>
          <w:tcPr/>
          <w:p>
            <w:pPr>
              <w:pStyle w:val="Compact"/>
              <w:jc w:val="left"/>
            </w:pPr>
            <w:r>
              <w:t xml:space="preserve">Factor</w:t>
            </w:r>
          </w:p>
        </w:tc>
        <w:tc>
          <w:tcPr/>
          <w:p>
            <w:pPr>
              <w:pStyle w:val="Compact"/>
              <w:jc w:val="right"/>
            </w:pPr>
            <w:r>
              <w:t xml:space="preserve">t CO₂e</w:t>
            </w:r>
          </w:p>
        </w:tc>
      </w:tr>
      <w:tr>
        <w:tc>
          <w:tcPr/>
          <w:p>
            <w:pPr>
              <w:pStyle w:val="Compact"/>
              <w:jc w:val="left"/>
            </w:pPr>
            <w:r>
              <w:t xml:space="preserve">1</w:t>
            </w:r>
          </w:p>
        </w:tc>
        <w:tc>
          <w:tcPr/>
          <w:p>
            <w:pPr>
              <w:pStyle w:val="Compact"/>
              <w:jc w:val="left"/>
            </w:pPr>
            <w:r>
              <w:t xml:space="preserve">Unit 1 forebay shaft, concrete</w:t>
            </w:r>
          </w:p>
        </w:tc>
        <w:tc>
          <w:tcPr/>
          <w:p>
            <w:pPr>
              <w:pStyle w:val="Compact"/>
              <w:jc w:val="left"/>
            </w:pPr>
            <w:r>
              <w:t xml:space="preserve">4,000 m³ (9.6 million kg)</w:t>
            </w:r>
          </w:p>
        </w:tc>
        <w:tc>
          <w:tcPr/>
          <w:p>
            <w:pPr>
              <w:pStyle w:val="Compact"/>
              <w:jc w:val="left"/>
            </w:pPr>
            <w:r>
              <w:t xml:space="preserve">PARTIAL (one milestone)</w:t>
            </w:r>
          </w:p>
        </w:tc>
        <w:tc>
          <w:tcPr/>
          <w:p>
            <w:pPr>
              <w:pStyle w:val="Compact"/>
              <w:jc w:val="left"/>
            </w:pPr>
            <w:r>
              <w:t xml:space="preserve">328.9 kg CO₂e/m³</w:t>
            </w:r>
          </w:p>
        </w:tc>
        <w:tc>
          <w:tcPr/>
          <w:p>
            <w:pPr>
              <w:pStyle w:val="Compact"/>
              <w:jc w:val="right"/>
            </w:pPr>
            <w:r>
              <w:t xml:space="preserve">1,316</w:t>
            </w:r>
          </w:p>
        </w:tc>
      </w:tr>
      <w:tr>
        <w:tc>
          <w:tcPr/>
          <w:p>
            <w:pPr>
              <w:pStyle w:val="Compact"/>
              <w:jc w:val="left"/>
            </w:pPr>
            <w:r>
              <w:t xml:space="preserve">2</w:t>
            </w:r>
          </w:p>
        </w:tc>
        <w:tc>
          <w:tcPr/>
          <w:p>
            <w:pPr>
              <w:pStyle w:val="Compact"/>
              <w:jc w:val="left"/>
            </w:pPr>
            <w:r>
              <w:t xml:space="preserve">Unit 1 forebay shaft, rebar</w:t>
            </w:r>
          </w:p>
        </w:tc>
        <w:tc>
          <w:tcPr/>
          <w:p>
            <w:pPr>
              <w:pStyle w:val="Compact"/>
              <w:jc w:val="left"/>
            </w:pPr>
            <w:r>
              <w:t xml:space="preserve">1,000 t</w:t>
            </w:r>
          </w:p>
        </w:tc>
        <w:tc>
          <w:tcPr/>
          <w:p>
            <w:pPr>
              <w:pStyle w:val="Compact"/>
              <w:jc w:val="left"/>
            </w:pPr>
            <w:r>
              <w:t xml:space="preserve">PARTIAL</w:t>
            </w:r>
          </w:p>
        </w:tc>
        <w:tc>
          <w:tcPr/>
          <w:p>
            <w:pPr>
              <w:pStyle w:val="Compact"/>
              <w:jc w:val="left"/>
            </w:pPr>
            <w:r>
              <w:t xml:space="preserve">0.97 t/t (EAF)</w:t>
            </w:r>
          </w:p>
        </w:tc>
        <w:tc>
          <w:tcPr/>
          <w:p>
            <w:pPr>
              <w:pStyle w:val="Compact"/>
              <w:jc w:val="right"/>
            </w:pPr>
            <w:r>
              <w:t xml:space="preserve">970</w:t>
            </w:r>
          </w:p>
        </w:tc>
      </w:tr>
      <w:tr>
        <w:tc>
          <w:tcPr/>
          <w:p>
            <w:pPr>
              <w:pStyle w:val="Compact"/>
              <w:jc w:val="left"/>
            </w:pPr>
            <w:r>
              <w:t xml:space="preserve">3</w:t>
            </w:r>
          </w:p>
        </w:tc>
        <w:tc>
          <w:tcPr/>
          <w:p>
            <w:pPr>
              <w:pStyle w:val="Compact"/>
              <w:jc w:val="left"/>
            </w:pPr>
            <w:r>
              <w:t xml:space="preserve">Unit 1 DPSC basemat module, steel plate</w:t>
            </w:r>
          </w:p>
        </w:tc>
        <w:tc>
          <w:tcPr/>
          <w:p>
            <w:pPr>
              <w:pStyle w:val="Compact"/>
              <w:jc w:val="left"/>
            </w:pPr>
            <w:r>
              <w:t xml:space="preserve">953 t</w:t>
            </w:r>
          </w:p>
        </w:tc>
        <w:tc>
          <w:tcPr/>
          <w:p>
            <w:pPr>
              <w:pStyle w:val="Compact"/>
              <w:jc w:val="left"/>
            </w:pPr>
            <w:r>
              <w:t xml:space="preserve">PARTIAL (steel only)</w:t>
            </w:r>
          </w:p>
        </w:tc>
        <w:tc>
          <w:tcPr/>
          <w:p>
            <w:pPr>
              <w:pStyle w:val="Compact"/>
              <w:jc w:val="left"/>
            </w:pPr>
            <w:r>
              <w:t xml:space="preserve">1.73 t/t</w:t>
            </w:r>
          </w:p>
        </w:tc>
        <w:tc>
          <w:tcPr/>
          <w:p>
            <w:pPr>
              <w:pStyle w:val="Compact"/>
              <w:jc w:val="right"/>
            </w:pPr>
            <w:r>
              <w:t xml:space="preserve">1,649</w:t>
            </w:r>
          </w:p>
        </w:tc>
      </w:tr>
      <w:tr>
        <w:tc>
          <w:tcPr/>
          <w:p>
            <w:pPr>
              <w:pStyle w:val="Compact"/>
              <w:jc w:val="left"/>
            </w:pPr>
            <w:r>
              <w:t xml:space="preserve">4</w:t>
            </w:r>
          </w:p>
        </w:tc>
        <w:tc>
          <w:tcPr/>
          <w:p>
            <w:pPr>
              <w:pStyle w:val="Compact"/>
              <w:jc w:val="left"/>
            </w:pPr>
            <w:r>
              <w:t xml:space="preserve">Tunnel boring (cooling-water tunnels)</w:t>
            </w:r>
          </w:p>
        </w:tc>
        <w:tc>
          <w:tcPr/>
          <w:p>
            <w:pPr>
              <w:pStyle w:val="Compact"/>
              <w:jc w:val="left"/>
            </w:pPr>
            <w:r>
              <w:t xml:space="preserve">[TODO: tunnel length × bored cross-section]</w:t>
            </w:r>
          </w:p>
        </w:tc>
        <w:tc>
          <w:tcPr/>
          <w:p>
            <w:pPr>
              <w:pStyle w:val="Compact"/>
              <w:jc w:val="left"/>
            </w:pPr>
            <w:r>
              <w:t xml:space="preserve">—</w:t>
            </w:r>
          </w:p>
        </w:tc>
        <w:tc>
          <w:tcPr/>
          <w:p>
            <w:pPr>
              <w:pStyle w:val="Compact"/>
              <w:jc w:val="left"/>
            </w:pPr>
            <w:r>
              <w:t xml:space="preserve">—</w:t>
            </w:r>
          </w:p>
        </w:tc>
        <w:tc>
          <w:tcPr/>
          <w:p>
            <w:pPr>
              <w:pStyle w:val="Compact"/>
              <w:jc w:val="right"/>
            </w:pPr>
            <w:r>
              <w:t xml:space="preserve">—</w:t>
            </w:r>
          </w:p>
        </w:tc>
      </w:tr>
      <w:tr>
        <w:tc>
          <w:tcPr/>
          <w:p>
            <w:pPr>
              <w:pStyle w:val="Compact"/>
              <w:jc w:val="left"/>
            </w:pPr>
            <w:r>
              <w:t xml:space="preserve">5</w:t>
            </w:r>
          </w:p>
        </w:tc>
        <w:tc>
          <w:tcPr/>
          <w:p>
            <w:pPr>
              <w:pStyle w:val="Compact"/>
              <w:jc w:val="left"/>
            </w:pPr>
            <w:r>
              <w:t xml:space="preserve">Whole unit: DPSC reactor-building infill</w:t>
            </w:r>
          </w:p>
        </w:tc>
        <w:tc>
          <w:tcPr/>
          <w:p>
            <w:pPr>
              <w:pStyle w:val="Compact"/>
              <w:jc w:val="left"/>
            </w:pPr>
            <w:r>
              <w:t xml:space="preserve">9,081 m³</w:t>
            </w:r>
          </w:p>
        </w:tc>
        <w:tc>
          <w:tcPr/>
          <w:p>
            <w:pPr>
              <w:pStyle w:val="Compact"/>
              <w:jc w:val="left"/>
            </w:pPr>
            <w:r>
              <w:t xml:space="preserve">Scaled estimate</w:t>
            </w:r>
          </w:p>
        </w:tc>
        <w:tc>
          <w:tcPr/>
          <w:p>
            <w:pPr>
              <w:pStyle w:val="Compact"/>
              <w:jc w:val="left"/>
            </w:pPr>
            <w:r>
              <w:t xml:space="preserve">414.3 kg CO₂e/m³</w:t>
            </w:r>
          </w:p>
        </w:tc>
        <w:tc>
          <w:tcPr/>
          <w:p>
            <w:pPr>
              <w:pStyle w:val="Compact"/>
              <w:jc w:val="right"/>
            </w:pPr>
            <w:r>
              <w:t xml:space="preserve">3,762</w:t>
            </w:r>
          </w:p>
        </w:tc>
      </w:tr>
      <w:tr>
        <w:tc>
          <w:tcPr/>
          <w:p>
            <w:pPr>
              <w:pStyle w:val="Compact"/>
              <w:jc w:val="left"/>
            </w:pPr>
            <w:r>
              <w:t xml:space="preserve">6</w:t>
            </w:r>
          </w:p>
        </w:tc>
        <w:tc>
          <w:tcPr/>
          <w:p>
            <w:pPr>
              <w:pStyle w:val="Compact"/>
              <w:jc w:val="left"/>
            </w:pPr>
            <w:r>
              <w:t xml:space="preserve">Whole unit: forebay shaft</w:t>
            </w:r>
          </w:p>
        </w:tc>
        <w:tc>
          <w:tcPr/>
          <w:p>
            <w:pPr>
              <w:pStyle w:val="Compact"/>
              <w:jc w:val="left"/>
            </w:pPr>
            <w:r>
              <w:t xml:space="preserve">4,000 m³</w:t>
            </w:r>
          </w:p>
        </w:tc>
        <w:tc>
          <w:tcPr/>
          <w:p>
            <w:pPr>
              <w:pStyle w:val="Compact"/>
              <w:jc w:val="left"/>
            </w:pPr>
            <w:r>
              <w:t xml:space="preserve">Scaled estimate</w:t>
            </w:r>
          </w:p>
        </w:tc>
        <w:tc>
          <w:tcPr/>
          <w:p>
            <w:pPr>
              <w:pStyle w:val="Compact"/>
              <w:jc w:val="left"/>
            </w:pPr>
            <w:r>
              <w:t xml:space="preserve">328.9 kg CO₂e/m³</w:t>
            </w:r>
          </w:p>
        </w:tc>
        <w:tc>
          <w:tcPr/>
          <w:p>
            <w:pPr>
              <w:pStyle w:val="Compact"/>
              <w:jc w:val="right"/>
            </w:pPr>
            <w:r>
              <w:t xml:space="preserve">1,316</w:t>
            </w:r>
          </w:p>
        </w:tc>
      </w:tr>
      <w:tr>
        <w:tc>
          <w:tcPr/>
          <w:p>
            <w:pPr>
              <w:pStyle w:val="Compact"/>
              <w:jc w:val="left"/>
            </w:pPr>
            <w:r>
              <w:t xml:space="preserve">7</w:t>
            </w:r>
          </w:p>
        </w:tc>
        <w:tc>
          <w:tcPr/>
          <w:p>
            <w:pPr>
              <w:pStyle w:val="Compact"/>
              <w:jc w:val="left"/>
            </w:pPr>
            <w:r>
              <w:t xml:space="preserve">Whole unit: other plant concrete</w:t>
            </w:r>
          </w:p>
        </w:tc>
        <w:tc>
          <w:tcPr/>
          <w:p>
            <w:pPr>
              <w:pStyle w:val="Compact"/>
              <w:jc w:val="left"/>
            </w:pPr>
            <w:r>
              <w:t xml:space="preserve">7,619 m³</w:t>
            </w:r>
          </w:p>
        </w:tc>
        <w:tc>
          <w:tcPr/>
          <w:p>
            <w:pPr>
              <w:pStyle w:val="Compact"/>
              <w:jc w:val="left"/>
            </w:pPr>
            <w:r>
              <w:t xml:space="preserve">Scaled estimate</w:t>
            </w:r>
          </w:p>
        </w:tc>
        <w:tc>
          <w:tcPr/>
          <w:p>
            <w:pPr>
              <w:pStyle w:val="Compact"/>
              <w:jc w:val="left"/>
            </w:pPr>
            <w:r>
              <w:t xml:space="preserve">328.9 kg CO₂e/m³</w:t>
            </w:r>
          </w:p>
        </w:tc>
        <w:tc>
          <w:tcPr/>
          <w:p>
            <w:pPr>
              <w:pStyle w:val="Compact"/>
              <w:jc w:val="right"/>
            </w:pPr>
            <w:r>
              <w:t xml:space="preserve">2,506</w:t>
            </w:r>
          </w:p>
        </w:tc>
      </w:tr>
      <w:tr>
        <w:tc>
          <w:tcPr/>
          <w:p>
            <w:pPr>
              <w:pStyle w:val="Compact"/>
              <w:jc w:val="left"/>
            </w:pPr>
            <w:r>
              <w:t xml:space="preserve">8</w:t>
            </w:r>
          </w:p>
        </w:tc>
        <w:tc>
          <w:tcPr/>
          <w:p>
            <w:pPr>
              <w:pStyle w:val="Compact"/>
              <w:jc w:val="left"/>
            </w:pPr>
            <w:r>
              <w:t xml:space="preserve">Whole unit: rebar</w:t>
            </w:r>
          </w:p>
        </w:tc>
        <w:tc>
          <w:tcPr/>
          <w:p>
            <w:pPr>
              <w:pStyle w:val="Compact"/>
              <w:jc w:val="left"/>
            </w:pPr>
            <w:r>
              <w:t xml:space="preserve">3,105 t</w:t>
            </w:r>
          </w:p>
        </w:tc>
        <w:tc>
          <w:tcPr/>
          <w:p>
            <w:pPr>
              <w:pStyle w:val="Compact"/>
              <w:jc w:val="left"/>
            </w:pPr>
            <w:r>
              <w:t xml:space="preserve">Scaled estimate</w:t>
            </w:r>
          </w:p>
        </w:tc>
        <w:tc>
          <w:tcPr/>
          <w:p>
            <w:pPr>
              <w:pStyle w:val="Compact"/>
              <w:jc w:val="left"/>
            </w:pPr>
            <w:r>
              <w:t xml:space="preserve">0.97 t/t</w:t>
            </w:r>
          </w:p>
        </w:tc>
        <w:tc>
          <w:tcPr/>
          <w:p>
            <w:pPr>
              <w:pStyle w:val="Compact"/>
              <w:jc w:val="right"/>
            </w:pPr>
            <w:r>
              <w:t xml:space="preserve">3,012</w:t>
            </w:r>
          </w:p>
        </w:tc>
      </w:tr>
      <w:tr>
        <w:tc>
          <w:tcPr/>
          <w:p>
            <w:pPr>
              <w:pStyle w:val="Compact"/>
              <w:jc w:val="left"/>
            </w:pPr>
            <w:r>
              <w:t xml:space="preserve">9</w:t>
            </w:r>
          </w:p>
        </w:tc>
        <w:tc>
          <w:tcPr/>
          <w:p>
            <w:pPr>
              <w:pStyle w:val="Compact"/>
              <w:jc w:val="left"/>
            </w:pPr>
            <w:r>
              <w:t xml:space="preserve">Whole unit: plate, structural and equipment steel</w:t>
            </w:r>
          </w:p>
        </w:tc>
        <w:tc>
          <w:tcPr/>
          <w:p>
            <w:pPr>
              <w:pStyle w:val="Compact"/>
              <w:jc w:val="left"/>
            </w:pPr>
            <w:r>
              <w:t xml:space="preserve">6,795 t</w:t>
            </w:r>
          </w:p>
        </w:tc>
        <w:tc>
          <w:tcPr/>
          <w:p>
            <w:pPr>
              <w:pStyle w:val="Compact"/>
              <w:jc w:val="left"/>
            </w:pPr>
            <w:r>
              <w:t xml:space="preserve">Scaled estimate</w:t>
            </w:r>
          </w:p>
        </w:tc>
        <w:tc>
          <w:tcPr/>
          <w:p>
            <w:pPr>
              <w:pStyle w:val="Compact"/>
              <w:jc w:val="left"/>
            </w:pPr>
            <w:r>
              <w:t xml:space="preserve">1.73 t/t</w:t>
            </w:r>
          </w:p>
        </w:tc>
        <w:tc>
          <w:tcPr/>
          <w:p>
            <w:pPr>
              <w:pStyle w:val="Compact"/>
              <w:jc w:val="right"/>
            </w:pPr>
            <w:r>
              <w:t xml:space="preserve">11,755</w:t>
            </w:r>
          </w:p>
        </w:tc>
      </w:tr>
    </w:tbl>
    <w:p>
      <w:pPr>
        <w:pStyle w:val="BodyText"/>
      </w:pPr>
      <w:r>
        <w:t xml:space="preserve">Corrections made (review.md items 1–4):</w:t>
      </w:r>
      <w:r>
        <w:t xml:space="preserve"> </w:t>
      </w:r>
      <w:r>
        <w:t xml:space="preserve">1.</w:t>
      </w:r>
      <w:r>
        <w:t xml:space="preserve"> </w:t>
      </w:r>
      <w:r>
        <w:rPr>
          <w:bCs/>
          <w:b/>
        </w:rPr>
        <w:t xml:space="preserve">Site.</w:t>
      </w:r>
      <w:r>
        <w:t xml:space="preserve"> </w:t>
      </w:r>
      <w:r>
        <w:t xml:space="preserve">The Darlington New Nuclear Project is in Clarington, Ontario, not Ottawa (to be corrected in</w:t>
      </w:r>
      <w:r>
        <w:t xml:space="preserve"> </w:t>
      </w:r>
      <w:r>
        <w:rPr>
          <w:rStyle w:val="VerbatimChar"/>
        </w:rPr>
        <w:t xml:space="preserve">Assumptions.docx</w:t>
      </w:r>
      <w:r>
        <w:t xml:space="preserve"> </w:t>
      </w:r>
      <w:r>
        <w:t xml:space="preserve">by its owner).</w:t>
      </w:r>
      <w:r>
        <w:t xml:space="preserve"> </w:t>
      </w:r>
      <w:r>
        <w:t xml:space="preserve">2.</w:t>
      </w:r>
      <w:r>
        <w:t xml:space="preserve"> </w:t>
      </w:r>
      <w:r>
        <w:rPr>
          <w:bCs/>
          <w:b/>
        </w:rPr>
        <w:t xml:space="preserve">Tunnel boring.</w:t>
      </w:r>
      <w:r>
        <w:t xml:space="preserve"> </w:t>
      </w:r>
      <w:r>
        <w:t xml:space="preserve">The 4,127.29 m³ in</w:t>
      </w:r>
      <w:r>
        <w:t xml:space="preserve"> </w:t>
      </w:r>
      <w:r>
        <w:rPr>
          <w:rStyle w:val="VerbatimChar"/>
        </w:rPr>
        <w:t xml:space="preserve">Assumptions.docx</w:t>
      </w:r>
      <w:r>
        <w:t xml:space="preserve"> </w:t>
      </w:r>
      <w:r>
        <w:t xml:space="preserve">is the forebay concrete (4,000 m³) plus its rebar (127.39 m³), not a bored volume. Row 4 is a TODO; tunnel-boring energy sits in the construction uplift (A7) until data exist.</w:t>
      </w:r>
      <w:r>
        <w:t xml:space="preserve"> </w:t>
      </w:r>
      <w:r>
        <w:t xml:space="preserve">3.</w:t>
      </w:r>
      <w:r>
        <w:t xml:space="preserve"> </w:t>
      </w:r>
      <w:r>
        <w:rPr>
          <w:bCs/>
          <w:b/>
        </w:rPr>
        <w:t xml:space="preserve">Sheet.</w:t>
      </w:r>
      <w:r>
        <w:t xml:space="preserve"> </w:t>
      </w:r>
      <w:r>
        <w:t xml:space="preserve">Concrete and steel rows move from</w:t>
      </w:r>
      <w:r>
        <w:t xml:space="preserve"> </w:t>
      </w:r>
      <w:r>
        <w:t xml:space="preserve">“</w:t>
      </w:r>
      <w:r>
        <w:t xml:space="preserve">Nuclear Fuel LCA</w:t>
      </w:r>
      <w:r>
        <w:t xml:space="preserve">”</w:t>
      </w:r>
      <w:r>
        <w:t xml:space="preserve"> </w:t>
      </w:r>
      <w:r>
        <w:t xml:space="preserve">to</w:t>
      </w:r>
      <w:r>
        <w:t xml:space="preserve"> </w:t>
      </w:r>
      <w:r>
        <w:t xml:space="preserve">“</w:t>
      </w:r>
      <w:r>
        <w:t xml:space="preserve">SMR Parts LCA (construction)</w:t>
      </w:r>
      <w:r>
        <w:t xml:space="preserve">”</w:t>
      </w:r>
      <w:r>
        <w:t xml:space="preserve">.</w:t>
      </w:r>
      <w:r>
        <w:t xml:space="preserve"> </w:t>
      </w:r>
      <w:r>
        <w:t xml:space="preserve">4.</w:t>
      </w:r>
      <w:r>
        <w:t xml:space="preserve"> </w:t>
      </w:r>
      <w:r>
        <w:rPr>
          <w:bCs/>
          <w:b/>
        </w:rPr>
        <w:t xml:space="preserve">Scope.</w:t>
      </w:r>
      <w:r>
        <w:t xml:space="preserve"> </w:t>
      </w:r>
      <w:r>
        <w:t xml:space="preserve">Rows 1–3 are labelled PARTIAL; rows 5–9 are the whole-unit inventory used in §6.</w:t>
      </w:r>
    </w:p>
    <w:p>
      <w:pPr>
        <w:pStyle w:val="BodyText"/>
      </w:pPr>
      <w:r>
        <w:t xml:space="preserve">Also corrected: the</w:t>
      </w:r>
      <w:r>
        <w:t xml:space="preserve"> </w:t>
      </w:r>
      <w:r>
        <w:t xml:space="preserve">“</w:t>
      </w:r>
      <w:r>
        <w:t xml:space="preserve">[From X patent]</w:t>
      </w:r>
      <w:r>
        <w:t xml:space="preserve">”</w:t>
      </w:r>
      <w:r>
        <w:t xml:space="preserve"> </w:t>
      </w:r>
      <w:r>
        <w:t xml:space="preserve">header is replaced by a source column; rebar uses a recycled-content (electric-arc furnace) factor, not virgin steel; construction electricity is not assumed renewable (the uplift covers site energy on the Ontario grid). Still unresolved: what preprint 202505.1533 in the team notes is [TODO].</w:t>
      </w:r>
    </w:p>
    <w:bookmarkEnd w:id="54"/>
    <w:bookmarkStart w:id="55" w:name="a5.-emission-factors"/>
    <w:p>
      <w:pPr>
        <w:pStyle w:val="Heading3"/>
      </w:pPr>
      <w:r>
        <w:t xml:space="preserve">A5. Emission factors</w:t>
      </w:r>
    </w:p>
    <w:p>
      <w:pPr>
        <w:pStyle w:val="FirstParagraph"/>
      </w:pPr>
      <w:r>
        <w:rPr>
          <w:bCs/>
          <w:b/>
        </w:rPr>
        <w:t xml:space="preserve">Result.</w:t>
      </w:r>
      <w:r>
        <w:t xml:space="preserve"> </w:t>
      </w:r>
      <w:r>
        <w:t xml:space="preserve">Every factor is a published North American or Canadian value where one was found, and an assumption otherwise. Construction-material factors are cradle-to-gate (EN 15804 modules A1–A3) [TODO: source needed: EN 15804 entry in sources.md]. The grid, natural-gas, mining and EDF factors are not module-based. The impact category is climate change, characterised as GWP100 (IPCC AR5 where stated); the US grid factors are CO₂ only.</w:t>
      </w:r>
    </w:p>
    <w:p>
      <w:pPr>
        <w:pStyle w:val="BodyText"/>
      </w:pPr>
      <w:r>
        <w:rPr>
          <w:iCs/>
          <w:i/>
        </w:rPr>
        <w:t xml:space="preserve">Table A4. Emission and energy factors used.</w:t>
      </w:r>
      <w:r>
        <w:t xml:space="preserve"> </w:t>
      </w:r>
      <w:r>
        <w:rPr>
          <w:iCs/>
          <w:i/>
        </w:rPr>
        <w:t xml:space="preserve">Source:</w:t>
      </w:r>
      <w:r>
        <w:rPr>
          <w:iCs/>
          <w:i/>
        </w:rPr>
        <w:t xml:space="preserve"> </w:t>
      </w:r>
      <w:r>
        <w:rPr>
          <w:rStyle w:val="VerbatimChar"/>
          <w:iCs/>
          <w:i/>
        </w:rPr>
        <w:t xml:space="preserve">parameters_lca.yaml</w:t>
      </w:r>
      <w:r>
        <w:rPr>
          <w:iCs/>
          <w:i/>
        </w:rPr>
        <w:t xml:space="preserve">; references as listed. All [TO VERIFY] unless marked as an assumption.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Factor</w:t>
            </w:r>
          </w:p>
        </w:tc>
        <w:tc>
          <w:tcPr/>
          <w:p>
            <w:pPr>
              <w:pStyle w:val="Compact"/>
              <w:jc w:val="left"/>
            </w:pPr>
            <w:r>
              <w:t xml:space="preserve">Central</w:t>
            </w:r>
          </w:p>
        </w:tc>
        <w:tc>
          <w:tcPr/>
          <w:p>
            <w:pPr>
              <w:pStyle w:val="Compact"/>
              <w:jc w:val="left"/>
            </w:pPr>
            <w:r>
              <w:t xml:space="preserve">Range</w:t>
            </w:r>
          </w:p>
        </w:tc>
        <w:tc>
          <w:tcPr/>
          <w:p>
            <w:pPr>
              <w:pStyle w:val="Compact"/>
              <w:jc w:val="left"/>
            </w:pPr>
            <w:r>
              <w:t xml:space="preserve">Unit</w:t>
            </w:r>
          </w:p>
        </w:tc>
        <w:tc>
          <w:tcPr/>
          <w:p>
            <w:pPr>
              <w:pStyle w:val="Compact"/>
              <w:jc w:val="left"/>
            </w:pPr>
            <w:r>
              <w:t xml:space="preserve">Reference</w:t>
            </w:r>
          </w:p>
        </w:tc>
      </w:tr>
      <w:tr>
        <w:tc>
          <w:tcPr/>
          <w:p>
            <w:pPr>
              <w:pStyle w:val="Compact"/>
              <w:jc w:val="left"/>
            </w:pPr>
            <w:r>
              <w:t xml:space="preserve">General-use (GU) cement</w:t>
            </w:r>
          </w:p>
        </w:tc>
        <w:tc>
          <w:tcPr/>
          <w:p>
            <w:pPr>
              <w:pStyle w:val="Compact"/>
              <w:jc w:val="left"/>
            </w:pPr>
            <w:r>
              <w:t xml:space="preserve">854</w:t>
            </w:r>
          </w:p>
        </w:tc>
        <w:tc>
          <w:tcPr/>
          <w:p>
            <w:pPr>
              <w:pStyle w:val="Compact"/>
              <w:jc w:val="left"/>
            </w:pPr>
            <w:r>
              <w:t xml:space="preserve">796–898 (regional spread, West–East, not an uncertainty range)</w:t>
            </w:r>
          </w:p>
        </w:tc>
        <w:tc>
          <w:tcPr/>
          <w:p>
            <w:pPr>
              <w:pStyle w:val="Compact"/>
              <w:jc w:val="left"/>
            </w:pPr>
            <w:r>
              <w:t xml:space="preserve">kg CO₂e/t</w:t>
            </w:r>
          </w:p>
        </w:tc>
        <w:tc>
          <w:tcPr/>
          <w:p>
            <w:pPr>
              <w:pStyle w:val="Compact"/>
              <w:jc w:val="left"/>
            </w:pPr>
            <w:r>
              <w:t xml:space="preserve">Cement Association of Canada (2022), Central region (which region covers Ontario is [TO VERIFY]); to be replaced by the St Marys Bowmanville EPD (NRMCA, 2021)</w:t>
            </w:r>
          </w:p>
        </w:tc>
      </w:tr>
      <w:tr>
        <w:tc>
          <w:tcPr/>
          <w:p>
            <w:pPr>
              <w:pStyle w:val="Compact"/>
              <w:jc w:val="left"/>
            </w:pPr>
            <w:r>
              <w:t xml:space="preserve">Slag cement</w:t>
            </w:r>
          </w:p>
        </w:tc>
        <w:tc>
          <w:tcPr/>
          <w:p>
            <w:pPr>
              <w:pStyle w:val="Compact"/>
              <w:jc w:val="left"/>
            </w:pPr>
            <w:r>
              <w:t xml:space="preserve">146.6</w:t>
            </w:r>
          </w:p>
        </w:tc>
        <w:tc>
          <w:tcPr/>
          <w:p>
            <w:pPr>
              <w:pStyle w:val="Compact"/>
              <w:jc w:val="left"/>
            </w:pPr>
            <w:r>
              <w:t xml:space="preserve">93.4–146.6</w:t>
            </w:r>
          </w:p>
        </w:tc>
        <w:tc>
          <w:tcPr/>
          <w:p>
            <w:pPr>
              <w:pStyle w:val="Compact"/>
              <w:jc w:val="left"/>
            </w:pPr>
            <w:r>
              <w:t xml:space="preserve">kg CO₂e/t</w:t>
            </w:r>
          </w:p>
        </w:tc>
        <w:tc>
          <w:tcPr/>
          <w:p>
            <w:pPr>
              <w:pStyle w:val="Compact"/>
              <w:jc w:val="left"/>
            </w:pPr>
            <w:r>
              <w:t xml:space="preserve">Slag Cement Association (n.d.); low = Lafarge NewCem plant EPD</w:t>
            </w:r>
          </w:p>
        </w:tc>
      </w:tr>
      <w:tr>
        <w:tc>
          <w:tcPr/>
          <w:p>
            <w:pPr>
              <w:pStyle w:val="Compact"/>
              <w:jc w:val="left"/>
            </w:pPr>
            <w:r>
              <w:t xml:space="preserve">LC3 binder cut vs GU</w:t>
            </w:r>
          </w:p>
        </w:tc>
        <w:tc>
          <w:tcPr/>
          <w:p>
            <w:pPr>
              <w:pStyle w:val="Compact"/>
              <w:jc w:val="left"/>
            </w:pPr>
            <w:r>
              <w:t xml:space="preserve">37%</w:t>
            </w:r>
          </w:p>
        </w:tc>
        <w:tc>
          <w:tcPr/>
          <w:p>
            <w:pPr>
              <w:pStyle w:val="Compact"/>
              <w:jc w:val="left"/>
            </w:pPr>
            <w:r>
              <w:t xml:space="preserve">30–43%</w:t>
            </w:r>
          </w:p>
        </w:tc>
        <w:tc>
          <w:tcPr/>
          <w:p>
            <w:pPr>
              <w:pStyle w:val="Compact"/>
              <w:jc w:val="left"/>
            </w:pPr>
            <w:r>
              <w:t xml:space="preserve">—</w:t>
            </w:r>
          </w:p>
        </w:tc>
        <w:tc>
          <w:tcPr/>
          <w:p>
            <w:pPr>
              <w:pStyle w:val="Compact"/>
              <w:jc w:val="left"/>
            </w:pPr>
            <w:r>
              <w:t xml:space="preserve">Median of five estimates (below)</w:t>
            </w:r>
          </w:p>
        </w:tc>
      </w:tr>
      <w:tr>
        <w:tc>
          <w:tcPr/>
          <w:p>
            <w:pPr>
              <w:pStyle w:val="Compact"/>
              <w:jc w:val="left"/>
            </w:pPr>
            <w:r>
              <w:t xml:space="preserve">Non-binder share of concrete (aggregates, water, admixtures, batching)</w:t>
            </w:r>
          </w:p>
        </w:tc>
        <w:tc>
          <w:tcPr/>
          <w:p>
            <w:pPr>
              <w:pStyle w:val="Compact"/>
              <w:jc w:val="left"/>
            </w:pPr>
            <w:r>
              <w:t xml:space="preserve">30</w:t>
            </w:r>
          </w:p>
        </w:tc>
        <w:tc>
          <w:tcPr/>
          <w:p>
            <w:pPr>
              <w:pStyle w:val="Compact"/>
              <w:jc w:val="left"/>
            </w:pPr>
            <w:r>
              <w:t xml:space="preserve">15–60</w:t>
            </w:r>
          </w:p>
        </w:tc>
        <w:tc>
          <w:tcPr/>
          <w:p>
            <w:pPr>
              <w:pStyle w:val="Compact"/>
              <w:jc w:val="left"/>
            </w:pPr>
            <w:r>
              <w:t xml:space="preserve">kg CO₂e/m³</w:t>
            </w:r>
          </w:p>
        </w:tc>
        <w:tc>
          <w:tcPr/>
          <w:p>
            <w:pPr>
              <w:pStyle w:val="Compact"/>
              <w:jc w:val="left"/>
            </w:pPr>
            <w:r>
              <w:t xml:space="preserve">Assumption</w:t>
            </w:r>
          </w:p>
        </w:tc>
      </w:tr>
      <w:tr>
        <w:tc>
          <w:tcPr/>
          <w:p>
            <w:pPr>
              <w:pStyle w:val="Compact"/>
              <w:jc w:val="left"/>
            </w:pPr>
            <w:r>
              <w:t xml:space="preserve">Binder content: DPSC self-consolidating infill</w:t>
            </w:r>
          </w:p>
        </w:tc>
        <w:tc>
          <w:tcPr/>
          <w:p>
            <w:pPr>
              <w:pStyle w:val="Compact"/>
              <w:jc w:val="left"/>
            </w:pPr>
            <w:r>
              <w:t xml:space="preserve">450</w:t>
            </w:r>
          </w:p>
        </w:tc>
        <w:tc>
          <w:tcPr/>
          <w:p>
            <w:pPr>
              <w:pStyle w:val="Compact"/>
              <w:jc w:val="left"/>
            </w:pPr>
            <w:r>
              <w:t xml:space="preserve">400–550</w:t>
            </w:r>
          </w:p>
        </w:tc>
        <w:tc>
          <w:tcPr/>
          <w:p>
            <w:pPr>
              <w:pStyle w:val="Compact"/>
              <w:jc w:val="left"/>
            </w:pPr>
            <w:r>
              <w:t xml:space="preserve">kg/m³</w:t>
            </w:r>
          </w:p>
        </w:tc>
        <w:tc>
          <w:tcPr/>
          <w:p>
            <w:pPr>
              <w:pStyle w:val="Compact"/>
              <w:jc w:val="left"/>
            </w:pPr>
            <w:r>
              <w:t xml:space="preserve">EFNARC (2005) gives 360–500 kg/m³ powder for SCC [TO VERIFY]; 450 and 550 are assumptions for a cement-rich nuclear mix</w:t>
            </w:r>
          </w:p>
        </w:tc>
      </w:tr>
      <w:tr>
        <w:tc>
          <w:tcPr/>
          <w:p>
            <w:pPr>
              <w:pStyle w:val="Compact"/>
              <w:jc w:val="left"/>
            </w:pPr>
            <w:r>
              <w:t xml:space="preserve">Binder content: other structural concrete</w:t>
            </w:r>
          </w:p>
        </w:tc>
        <w:tc>
          <w:tcPr/>
          <w:p>
            <w:pPr>
              <w:pStyle w:val="Compact"/>
              <w:jc w:val="left"/>
            </w:pPr>
            <w:r>
              <w:t xml:space="preserve">350</w:t>
            </w:r>
          </w:p>
        </w:tc>
        <w:tc>
          <w:tcPr/>
          <w:p>
            <w:pPr>
              <w:pStyle w:val="Compact"/>
              <w:jc w:val="left"/>
            </w:pPr>
            <w:r>
              <w:t xml:space="preserve">300–420</w:t>
            </w:r>
          </w:p>
        </w:tc>
        <w:tc>
          <w:tcPr/>
          <w:p>
            <w:pPr>
              <w:pStyle w:val="Compact"/>
              <w:jc w:val="left"/>
            </w:pPr>
            <w:r>
              <w:t xml:space="preserve">kg/m³</w:t>
            </w:r>
          </w:p>
        </w:tc>
        <w:tc>
          <w:tcPr/>
          <w:p>
            <w:pPr>
              <w:pStyle w:val="Compact"/>
              <w:jc w:val="left"/>
            </w:pPr>
            <w:r>
              <w:t xml:space="preserve">Assumption</w:t>
            </w:r>
          </w:p>
        </w:tc>
      </w:tr>
      <w:tr>
        <w:tc>
          <w:tcPr/>
          <w:p>
            <w:pPr>
              <w:pStyle w:val="Compact"/>
              <w:jc w:val="left"/>
            </w:pPr>
            <w:r>
              <w:t xml:space="preserve">Clinker factor: GU; LC3</w:t>
            </w:r>
          </w:p>
        </w:tc>
        <w:tc>
          <w:tcPr/>
          <w:p>
            <w:pPr>
              <w:pStyle w:val="Compact"/>
              <w:jc w:val="left"/>
            </w:pPr>
            <w:r>
              <w:t xml:space="preserve">0.92; 0.50</w:t>
            </w:r>
          </w:p>
        </w:tc>
        <w:tc>
          <w:tcPr/>
          <w:p>
            <w:pPr>
              <w:pStyle w:val="Compact"/>
              <w:jc w:val="left"/>
            </w:pPr>
            <w:r>
              <w:t xml:space="preserve">0.90–0.95; 0.50–0.55</w:t>
            </w:r>
          </w:p>
        </w:tc>
        <w:tc>
          <w:tcPr/>
          <w:p>
            <w:pPr>
              <w:pStyle w:val="Compact"/>
              <w:jc w:val="left"/>
            </w:pPr>
            <w:r>
              <w:t xml:space="preserve">t/t binder</w:t>
            </w:r>
          </w:p>
        </w:tc>
        <w:tc>
          <w:tcPr/>
          <w:p>
            <w:pPr>
              <w:pStyle w:val="Compact"/>
              <w:jc w:val="left"/>
            </w:pPr>
            <w:r>
              <w:t xml:space="preserve">Assumption; Scrivener et al. (2018)</w:t>
            </w:r>
          </w:p>
        </w:tc>
      </w:tr>
      <w:tr>
        <w:tc>
          <w:tcPr/>
          <w:p>
            <w:pPr>
              <w:pStyle w:val="Compact"/>
              <w:jc w:val="left"/>
            </w:pPr>
            <w:r>
              <w:t xml:space="preserve">Rebar (electric-arc furnace, fabricated)</w:t>
            </w:r>
          </w:p>
        </w:tc>
        <w:tc>
          <w:tcPr/>
          <w:p>
            <w:pPr>
              <w:pStyle w:val="Compact"/>
              <w:jc w:val="left"/>
            </w:pPr>
            <w:r>
              <w:t xml:space="preserve">0.97</w:t>
            </w:r>
          </w:p>
        </w:tc>
        <w:tc>
          <w:tcPr/>
          <w:p>
            <w:pPr>
              <w:pStyle w:val="Compact"/>
              <w:jc w:val="left"/>
            </w:pPr>
            <w:r>
              <w:t xml:space="preserve">0.89–1.99</w:t>
            </w:r>
          </w:p>
        </w:tc>
        <w:tc>
          <w:tcPr/>
          <w:p>
            <w:pPr>
              <w:pStyle w:val="Compact"/>
              <w:jc w:val="left"/>
            </w:pPr>
            <w:r>
              <w:t xml:space="preserve">t CO₂e/t</w:t>
            </w:r>
          </w:p>
        </w:tc>
        <w:tc>
          <w:tcPr/>
          <w:p>
            <w:pPr>
              <w:pStyle w:val="Compact"/>
              <w:jc w:val="left"/>
            </w:pPr>
            <w:r>
              <w:t xml:space="preserve">Concrete Reinforcing Steel Institute (2017) [superseded by the CRSI 2022 EPD; replace the value, TO VERIFY]; low = American Institute of Steel Construction (2022) limit; high = world average (Circular Ecology, 2019, read via a secondary)</w:t>
            </w:r>
          </w:p>
        </w:tc>
      </w:tr>
      <w:tr>
        <w:tc>
          <w:tcPr/>
          <w:p>
            <w:pPr>
              <w:pStyle w:val="Compact"/>
              <w:jc w:val="left"/>
            </w:pPr>
            <w:r>
              <w:t xml:space="preserve">Plate, structural and equipment steel</w:t>
            </w:r>
          </w:p>
        </w:tc>
        <w:tc>
          <w:tcPr/>
          <w:p>
            <w:pPr>
              <w:pStyle w:val="Compact"/>
              <w:jc w:val="left"/>
            </w:pPr>
            <w:r>
              <w:t xml:space="preserve">1.73</w:t>
            </w:r>
          </w:p>
        </w:tc>
        <w:tc>
          <w:tcPr/>
          <w:p>
            <w:pPr>
              <w:pStyle w:val="Compact"/>
              <w:jc w:val="left"/>
            </w:pPr>
            <w:r>
              <w:t xml:space="preserve">1.22–2.50</w:t>
            </w:r>
          </w:p>
        </w:tc>
        <w:tc>
          <w:tcPr/>
          <w:p>
            <w:pPr>
              <w:pStyle w:val="Compact"/>
              <w:jc w:val="left"/>
            </w:pPr>
            <w:r>
              <w:t xml:space="preserve">t CO₂e/t</w:t>
            </w:r>
          </w:p>
        </w:tc>
        <w:tc>
          <w:tcPr/>
          <w:p>
            <w:pPr>
              <w:pStyle w:val="Compact"/>
              <w:jc w:val="left"/>
            </w:pPr>
            <w:r>
              <w:t xml:space="preserve">American Institute of Steel Construction (2022): a Buy Clean California fabricated-plate GWP limit (a policy ceiling, not an industry average), used as a proxy; high is an assumption for forged and machined equipment</w:t>
            </w:r>
          </w:p>
        </w:tc>
      </w:tr>
      <w:tr>
        <w:tc>
          <w:tcPr/>
          <w:p>
            <w:pPr>
              <w:pStyle w:val="Compact"/>
              <w:jc w:val="left"/>
            </w:pPr>
            <w:r>
              <w:t xml:space="preserve">Heavy truck</w:t>
            </w:r>
          </w:p>
        </w:tc>
        <w:tc>
          <w:tcPr/>
          <w:p>
            <w:pPr>
              <w:pStyle w:val="Compact"/>
              <w:jc w:val="left"/>
            </w:pPr>
            <w:r>
              <w:t xml:space="preserve">0.10</w:t>
            </w:r>
          </w:p>
        </w:tc>
        <w:tc>
          <w:tcPr/>
          <w:p>
            <w:pPr>
              <w:pStyle w:val="Compact"/>
              <w:jc w:val="left"/>
            </w:pPr>
            <w:r>
              <w:t xml:space="preserve">0.06–0.15</w:t>
            </w:r>
          </w:p>
        </w:tc>
        <w:tc>
          <w:tcPr/>
          <w:p>
            <w:pPr>
              <w:pStyle w:val="Compact"/>
              <w:jc w:val="left"/>
            </w:pPr>
            <w:r>
              <w:t xml:space="preserve">kg CO₂e/t-km</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w:t>
            </w:r>
          </w:p>
        </w:tc>
        <w:tc>
          <w:tcPr/>
          <w:p>
            <w:pPr>
              <w:pStyle w:val="Compact"/>
              <w:jc w:val="left"/>
            </w:pPr>
            <w:r>
              <w:t xml:space="preserve">24–81</w:t>
            </w:r>
          </w:p>
        </w:tc>
        <w:tc>
          <w:tcPr/>
          <w:p>
            <w:pPr>
              <w:pStyle w:val="Compact"/>
              <w:jc w:val="left"/>
            </w:pPr>
            <w:r>
              <w:t xml:space="preserve">kg CO₂e/kg U₃O₈</w:t>
            </w:r>
          </w:p>
        </w:tc>
        <w:tc>
          <w:tcPr/>
          <w:p>
            <w:pPr>
              <w:pStyle w:val="Compact"/>
              <w:jc w:val="left"/>
            </w:pPr>
            <w:r>
              <w:t xml:space="preserve">Parker, McNaughton and Sparrow (2016), Saskatchewan, production-weighted</w:t>
            </w:r>
          </w:p>
        </w:tc>
      </w:tr>
      <w:tr>
        <w:tc>
          <w:tcPr/>
          <w:p>
            <w:pPr>
              <w:pStyle w:val="Compact"/>
              <w:jc w:val="left"/>
            </w:pPr>
            <w:r>
              <w:t xml:space="preserve">Conversion: electricity; heat</w:t>
            </w:r>
          </w:p>
        </w:tc>
        <w:tc>
          <w:tcPr/>
          <w:p>
            <w:pPr>
              <w:pStyle w:val="Compact"/>
              <w:jc w:val="left"/>
            </w:pPr>
            <w:r>
              <w:t xml:space="preserve">11.8; 26</w:t>
            </w:r>
          </w:p>
        </w:tc>
        <w:tc>
          <w:tcPr/>
          <w:p>
            <w:pPr>
              <w:pStyle w:val="Compact"/>
              <w:jc w:val="left"/>
            </w:pPr>
            <w:r>
              <w:t xml:space="preserve">10.3–16.9; 26–665</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Centrifuge enrichment</w:t>
            </w:r>
          </w:p>
        </w:tc>
        <w:tc>
          <w:tcPr/>
          <w:p>
            <w:pPr>
              <w:pStyle w:val="Compact"/>
              <w:jc w:val="left"/>
            </w:pPr>
            <w:r>
              <w:t xml:space="preserve">50</w:t>
            </w:r>
          </w:p>
        </w:tc>
        <w:tc>
          <w:tcPr/>
          <w:p>
            <w:pPr>
              <w:pStyle w:val="Compact"/>
              <w:jc w:val="left"/>
            </w:pPr>
            <w:r>
              <w:t xml:space="preserve">40–100</w:t>
            </w:r>
          </w:p>
        </w:tc>
        <w:tc>
          <w:tcPr/>
          <w:p>
            <w:pPr>
              <w:pStyle w:val="Compact"/>
              <w:jc w:val="left"/>
            </w:pPr>
            <w:r>
              <w:t xml:space="preserve">kWh/SWU</w:t>
            </w:r>
          </w:p>
        </w:tc>
        <w:tc>
          <w:tcPr/>
          <w:p>
            <w:pPr>
              <w:pStyle w:val="Compact"/>
              <w:jc w:val="left"/>
            </w:pPr>
            <w:r>
              <w:t xml:space="preserve">Gibon and Hahn Menacho (2023)</w:t>
            </w:r>
          </w:p>
        </w:tc>
      </w:tr>
      <w:tr>
        <w:tc>
          <w:tcPr/>
          <w:p>
            <w:pPr>
              <w:pStyle w:val="Compact"/>
              <w:jc w:val="left"/>
            </w:pPr>
            <w:r>
              <w:t xml:space="preserve">Fuel fabrication</w:t>
            </w:r>
          </w:p>
        </w:tc>
        <w:tc>
          <w:tcPr/>
          <w:p>
            <w:pPr>
              <w:pStyle w:val="Compact"/>
              <w:jc w:val="left"/>
            </w:pPr>
            <w:r>
              <w:t xml:space="preserve">36</w:t>
            </w:r>
          </w:p>
        </w:tc>
        <w:tc>
          <w:tcPr/>
          <w:p>
            <w:pPr>
              <w:pStyle w:val="Compact"/>
              <w:jc w:val="left"/>
            </w:pPr>
            <w:r>
              <w:t xml:space="preserve">36–50</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Grid: conversion (Ontario)</w:t>
            </w:r>
          </w:p>
        </w:tc>
        <w:tc>
          <w:tcPr/>
          <w:p>
            <w:pPr>
              <w:pStyle w:val="Compact"/>
              <w:jc w:val="left"/>
            </w:pPr>
            <w:r>
              <w:t xml:space="preserve">0.0738</w:t>
            </w:r>
          </w:p>
        </w:tc>
        <w:tc>
          <w:tcPr/>
          <w:p>
            <w:pPr>
              <w:pStyle w:val="Compact"/>
              <w:jc w:val="left"/>
            </w:pPr>
            <w:r>
              <w:t xml:space="preserve">0.035–0.343</w:t>
            </w:r>
          </w:p>
        </w:tc>
        <w:tc>
          <w:tcPr/>
          <w:p>
            <w:pPr>
              <w:pStyle w:val="Compact"/>
              <w:jc w:val="left"/>
            </w:pPr>
            <w:r>
              <w:t xml:space="preserve">kg CO₂e/kWh</w:t>
            </w:r>
          </w:p>
        </w:tc>
        <w:tc>
          <w:tcPr/>
          <w:p>
            <w:pPr>
              <w:pStyle w:val="Compact"/>
              <w:jc w:val="left"/>
            </w:pPr>
            <w:r>
              <w:t xml:space="preserve">The Atmospheric Fund (2025); low = Canada Energy Regulator (n.d.)</w:t>
            </w:r>
          </w:p>
        </w:tc>
      </w:tr>
      <w:tr>
        <w:tc>
          <w:tcPr/>
          <w:p>
            <w:pPr>
              <w:pStyle w:val="Compact"/>
              <w:jc w:val="left"/>
            </w:pPr>
            <w:r>
              <w:t xml:space="preserve">Grid: enrichment and fabrication (USA)</w:t>
            </w:r>
          </w:p>
        </w:tc>
        <w:tc>
          <w:tcPr/>
          <w:p>
            <w:pPr>
              <w:pStyle w:val="Compact"/>
              <w:jc w:val="left"/>
            </w:pPr>
            <w:r>
              <w:t xml:space="preserve">0.373</w:t>
            </w:r>
          </w:p>
        </w:tc>
        <w:tc>
          <w:tcPr/>
          <w:p>
            <w:pPr>
              <w:pStyle w:val="Compact"/>
              <w:jc w:val="left"/>
            </w:pPr>
            <w:r>
              <w:t xml:space="preserve">0.05–0.637 (enrichment); 0.20–0.637 (fabrication)</w:t>
            </w:r>
          </w:p>
        </w:tc>
        <w:tc>
          <w:tcPr/>
          <w:p>
            <w:pPr>
              <w:pStyle w:val="Compact"/>
              <w:jc w:val="left"/>
            </w:pPr>
            <w:r>
              <w:t xml:space="preserve">kg CO₂/kWh (CO₂ only, used as CO₂e)</w:t>
            </w:r>
          </w:p>
        </w:tc>
        <w:tc>
          <w:tcPr/>
          <w:p>
            <w:pPr>
              <w:pStyle w:val="Compact"/>
              <w:jc w:val="left"/>
            </w:pPr>
            <w:r>
              <w:t xml:space="preserve">US EPA (2024); lows are assumptions [TODO: eGRID CO₂e values]</w:t>
            </w:r>
          </w:p>
        </w:tc>
      </w:tr>
      <w:tr>
        <w:tc>
          <w:tcPr/>
          <w:p>
            <w:pPr>
              <w:pStyle w:val="Compact"/>
              <w:jc w:val="left"/>
            </w:pPr>
            <w:r>
              <w:t xml:space="preserve">Natural-gas heat</w:t>
            </w:r>
          </w:p>
        </w:tc>
        <w:tc>
          <w:tcPr/>
          <w:p>
            <w:pPr>
              <w:pStyle w:val="Compact"/>
              <w:jc w:val="left"/>
            </w:pPr>
            <w:r>
              <w:t xml:space="preserve">0.202</w:t>
            </w:r>
          </w:p>
        </w:tc>
        <w:tc>
          <w:tcPr/>
          <w:p>
            <w:pPr>
              <w:pStyle w:val="Compact"/>
              <w:jc w:val="left"/>
            </w:pPr>
            <w:r>
              <w:t xml:space="preserve">—</w:t>
            </w:r>
          </w:p>
        </w:tc>
        <w:tc>
          <w:tcPr/>
          <w:p>
            <w:pPr>
              <w:pStyle w:val="Compact"/>
              <w:jc w:val="left"/>
            </w:pPr>
            <w:r>
              <w:t xml:space="preserve">kg CO₂/kWh</w:t>
            </w:r>
          </w:p>
        </w:tc>
        <w:tc>
          <w:tcPr/>
          <w:p>
            <w:pPr>
              <w:pStyle w:val="Compact"/>
              <w:jc w:val="left"/>
            </w:pPr>
            <w:r>
              <w:t xml:space="preserve">IPCC (2006): 56,100 kg/TJ × 3.6 × 10⁻⁶ TJ/kWh; combustion only, upstream gas supply cut off (§6.1)</w:t>
            </w:r>
          </w:p>
        </w:tc>
      </w:tr>
      <w:tr>
        <w:tc>
          <w:tcPr/>
          <w:p>
            <w:pPr>
              <w:pStyle w:val="Compact"/>
              <w:jc w:val="left"/>
            </w:pPr>
            <w:r>
              <w:t xml:space="preserve">O&amp;M; decommissioning; back end</w:t>
            </w:r>
          </w:p>
        </w:tc>
        <w:tc>
          <w:tcPr/>
          <w:p>
            <w:pPr>
              <w:pStyle w:val="Compact"/>
              <w:jc w:val="left"/>
            </w:pPr>
            <w:r>
              <w:t xml:space="preserve">0.33; 0.11; 0.56</w:t>
            </w:r>
          </w:p>
        </w:tc>
        <w:tc>
          <w:tcPr/>
          <w:p>
            <w:pPr>
              <w:pStyle w:val="Compact"/>
              <w:jc w:val="left"/>
            </w:pPr>
            <w:r>
              <w:t xml:space="preserve">0.17–0.67; 0.06–0.33; 0.28–1.11</w:t>
            </w:r>
          </w:p>
        </w:tc>
        <w:tc>
          <w:tcPr/>
          <w:p>
            <w:pPr>
              <w:pStyle w:val="Compact"/>
              <w:jc w:val="left"/>
            </w:pPr>
            <w:r>
              <w:t xml:space="preserve">g CO₂e/kWh</w:t>
            </w:r>
          </w:p>
        </w:tc>
        <w:tc>
          <w:tcPr/>
          <w:p>
            <w:pPr>
              <w:pStyle w:val="Compact"/>
              <w:jc w:val="left"/>
            </w:pPr>
            <w:r>
              <w:t xml:space="preserve">EDF R&amp;D (2024): 9%, 3% and 15% of 3.7 g/kWh, shares as reported by secondary sources and the back end by difference [TO VERIFY in the paper]; ranges are assumptions for transfer to one BWRX-300</w:t>
            </w:r>
          </w:p>
        </w:tc>
      </w:tr>
    </w:tbl>
    <w:p>
      <w:pPr>
        <w:pStyle w:val="BodyText"/>
      </w:pPr>
      <w:r>
        <w:rPr>
          <w:bCs/>
          <w:b/>
        </w:rPr>
        <w:t xml:space="preserve">The LC3 cut (37%)</w:t>
      </w:r>
      <w:r>
        <w:t xml:space="preserve"> </w:t>
      </w:r>
      <w:r>
        <w:t xml:space="preserve">is the median of five published estimates of LC3’s binder emissions against Portland cement: 30% (ENR, 2018); 34%, 700 → 465 kg CO₂/t (Development Alternatives, n.d.); 37%, 856 → 543 kg CO₂/t (LC3 Project, 2015); about 40% (Scrivener et al., 2018, as summarised in the EPFL abstract; to confirm in the paper text); 43%, 903.5 → 513.5 kg CO₂e/t (LACCEI, 2026) [TODO: authors]. All five are [TO VERIFY]. ENR is trade press, and no peer-reviewed replacement has been found [TODO: source needed: a peer-reviewed LC3 LCA; L20] (R1.4). If it is dropped, the median of the other four (34, 37, 40, 43%) is 38.5%. Because the saving is proportional to the cut, LC3’s saving would rise by about 4%, to roughly 1,800 t per unit, well inside the 90% interval (1,387–2,153 t). This is hand arithmetic; the scripts have not been re-run on it. The estimates come from Indian, Cuban and Latin American settings; an Ontario LC3 calcined with natural gas is untested.</w:t>
      </w:r>
    </w:p>
    <w:p>
      <w:pPr>
        <w:pStyle w:val="BodyText"/>
      </w:pPr>
      <w:r>
        <w:rPr>
          <w:bCs/>
          <w:b/>
        </w:rPr>
        <w:t xml:space="preserve">Check on the per-m³ model.</w:t>
      </w:r>
      <w:r>
        <w:t xml:space="preserve"> </w:t>
      </w:r>
      <w:r>
        <w:t xml:space="preserve">At 350 kg/m³ the model gives 328.9 kg CO₂e/m³ for S0 concrete, close to the Ontario industry baseline of 334 kg CO₂e/m³ for 35 MPa concrete and below the 417 kg CO₂e/m³ industry benchmark mix (Canadian Ready-Mixed Concrete Association, 2022) [TO VERIFY].</w:t>
      </w:r>
    </w:p>
    <w:bookmarkEnd w:id="55"/>
    <w:bookmarkStart w:id="56" w:name="a6.-concrete-and-the-c1-scenarios"/>
    <w:p>
      <w:pPr>
        <w:pStyle w:val="Heading3"/>
      </w:pPr>
      <w:r>
        <w:t xml:space="preserve">A6. Concrete and the C1 scenarios</w:t>
      </w:r>
    </w:p>
    <w:p>
      <w:pPr>
        <w:pStyle w:val="FirstParagraph"/>
      </w:pPr>
      <w:r>
        <w:rPr>
          <w:bCs/>
          <w:b/>
        </w:rPr>
        <w:t xml:space="preserve">Result.</w:t>
      </w:r>
      <w:r>
        <w:t xml:space="preserve"> </w:t>
      </w:r>
      <w:r>
        <w:t xml:space="preserve">LC3 (the C1 target binder) cuts emissions from the target concrete by 1,734 t per unit (34%) and avoids 2,304 t of clinker; a slag blend (the C1 fallback) cuts them by 1,552 t (31%).</w:t>
      </w:r>
    </w:p>
    <w:p>
      <w:pPr>
        <w:pStyle w:val="BodyText"/>
      </w:pPr>
      <w:r>
        <w:rPr>
          <w:bCs/>
          <w:b/>
        </w:rPr>
        <w:t xml:space="preserve">Baseline S0.</w:t>
      </w:r>
      <w:r>
        <w:t xml:space="preserve"> </w:t>
      </w:r>
      <w:r>
        <w:t xml:space="preserve">S0 is the concrete OPG would pour anyway, without C1. It is modelled as general-use (GU) Portland cement with no supplementary cementitious materials, because neither OPG’s mix nor any cement-type limit in the governing specification (GE-Hitachi Nuclear Energy, 2024) has been seen [TO VERIFY]. If OPG’s mix already contains slag, S1 is business as usual: every saving in Tables A5 and A6 is then overstated, and LC3’s increment is the LC3-minus-slag difference, 181 t per unit in the mode case and 97 t at the Monte Carlo median (90% interval −343 to +574 t; Table C2), which is within the noise.</w:t>
      </w:r>
    </w:p>
    <w:p>
      <w:pPr>
        <w:pStyle w:val="BodyText"/>
      </w:pPr>
      <w:r>
        <w:t xml:space="preserve">For each structure:</w:t>
      </w:r>
      <w:r>
        <w:t xml:space="preserve"> </w:t>
      </w:r>
      <w:r>
        <w:rPr>
          <w:bCs/>
          <w:b/>
        </w:rPr>
        <w:t xml:space="preserve">kg CO₂e = V × (b × EF_binder / 1,000 + c)</w:t>
      </w:r>
      <w:r>
        <w:t xml:space="preserve">, where V is volume (m³), b binder content (kg/m³), EF_binder the binder factor (kg CO₂e/t) and c the non-binder share (30 kg/m³).</w:t>
      </w:r>
      <w:r>
        <w:t xml:space="preserve"> </w:t>
      </w:r>
      <w:r>
        <w:t xml:space="preserve">- S0 (general-use cement): EF_binder = 854 kg/t; clinker factor 0.92.</w:t>
      </w:r>
      <w:r>
        <w:t xml:space="preserve"> </w:t>
      </w:r>
      <w:r>
        <w:t xml:space="preserve">- S1 (slag, s = 40% of binder): EF_binder = (1 − s) × 854 + s × 146.6 = 0.6 × 854 + 0.4 × 146.6 =</w:t>
      </w:r>
      <w:r>
        <w:t xml:space="preserve"> </w:t>
      </w:r>
      <w:r>
        <w:rPr>
          <w:bCs/>
          <w:b/>
        </w:rPr>
        <w:t xml:space="preserve">571.0 kg/t</w:t>
      </w:r>
      <w:r>
        <w:t xml:space="preserve">; clinker factor (1 − s) × 0.92 = 0.552.</w:t>
      </w:r>
      <w:r>
        <w:t xml:space="preserve"> </w:t>
      </w:r>
      <w:r>
        <w:t xml:space="preserve">- S2 (LC3-50): EF_binder = 854 × (1 − r) = 854 × 0.63 =</w:t>
      </w:r>
      <w:r>
        <w:t xml:space="preserve"> </w:t>
      </w:r>
      <w:r>
        <w:rPr>
          <w:bCs/>
          <w:b/>
        </w:rPr>
        <w:t xml:space="preserve">538.0 kg/t</w:t>
      </w:r>
      <w:r>
        <w:t xml:space="preserve"> </w:t>
      </w:r>
      <w:r>
        <w:t xml:space="preserve">(r = 37%); clinker factor 0.50; binder content × (1 + u), with u = 0 central (0–10% if LC3 needs extra binder to flow; assumption).</w:t>
      </w:r>
      <w:r>
        <w:t xml:space="preserve"> </w:t>
      </w:r>
      <w:r>
        <w:t xml:space="preserve">- Clinker (t) = V × b × clinker factor / 10⁶.</w:t>
      </w:r>
    </w:p>
    <w:p>
      <w:pPr>
        <w:pStyle w:val="BodyText"/>
      </w:pPr>
      <w:r>
        <w:t xml:space="preserve">Worked example (DPSC infill, 9,081 m³ at 450 kg/m³):</w:t>
      </w:r>
      <w:r>
        <w:t xml:space="preserve"> </w:t>
      </w:r>
      <w:r>
        <w:t xml:space="preserve">- S0: 450 × 854 / 1,000 + 30 = 414.3 kg/m³; 9,081 × 414.3 / 1,000 =</w:t>
      </w:r>
      <w:r>
        <w:t xml:space="preserve"> </w:t>
      </w:r>
      <w:r>
        <w:rPr>
          <w:bCs/>
          <w:b/>
        </w:rPr>
        <w:t xml:space="preserve">3,762 t</w:t>
      </w:r>
      <w:r>
        <w:t xml:space="preserve">.</w:t>
      </w:r>
      <w:r>
        <w:t xml:space="preserve"> </w:t>
      </w:r>
      <w:r>
        <w:t xml:space="preserve">- S2: 450 × 538.0 / 1,000 + 30 = 272.1 kg/m³; 9,081 × 272.1 / 1,000 =</w:t>
      </w:r>
      <w:r>
        <w:t xml:space="preserve"> </w:t>
      </w:r>
      <w:r>
        <w:rPr>
          <w:bCs/>
          <w:b/>
        </w:rPr>
        <w:t xml:space="preserve">2,471 t</w:t>
      </w:r>
      <w:r>
        <w:t xml:space="preserve">; saving</w:t>
      </w:r>
      <w:r>
        <w:t xml:space="preserve"> </w:t>
      </w:r>
      <w:r>
        <w:rPr>
          <w:bCs/>
          <w:b/>
        </w:rPr>
        <w:t xml:space="preserve">1,291 t</w:t>
      </w:r>
      <w:r>
        <w:t xml:space="preserve"> </w:t>
      </w:r>
      <w:r>
        <w:t xml:space="preserve">(142.2 kg/m³).</w:t>
      </w:r>
      <w:r>
        <w:t xml:space="preserve"> </w:t>
      </w:r>
      <w:r>
        <w:t xml:space="preserve">- Clinker avoided: 9,081 × 450 × (0.92 − 0.50) / 10⁶ =</w:t>
      </w:r>
      <w:r>
        <w:t xml:space="preserve"> </w:t>
      </w:r>
      <w:r>
        <w:rPr>
          <w:bCs/>
          <w:b/>
        </w:rPr>
        <w:t xml:space="preserve">1,716 t</w:t>
      </w:r>
      <w:r>
        <w:t xml:space="preserve">.</w:t>
      </w:r>
    </w:p>
    <w:p>
      <w:pPr>
        <w:pStyle w:val="BodyText"/>
      </w:pPr>
      <w:r>
        <w:rPr>
          <w:iCs/>
          <w:i/>
        </w:rPr>
        <w:t xml:space="preserve">Table A5. Savings per structure, one unit.</w:t>
      </w:r>
      <w:r>
        <w:t xml:space="preserve"> </w:t>
      </w:r>
      <w:r>
        <w:rPr>
          <w:iCs/>
          <w:i/>
        </w:rPr>
        <w:t xml:space="preserve">Source:</w:t>
      </w:r>
      <w:r>
        <w:rPr>
          <w:iCs/>
          <w:i/>
        </w:rPr>
        <w:t xml:space="preserve"> </w:t>
      </w:r>
      <w:r>
        <w:rPr>
          <w:rStyle w:val="VerbatimChar"/>
          <w:iCs/>
          <w:i/>
        </w:rPr>
        <w:t xml:space="preserve">results/lca_scenarios.md</w:t>
      </w:r>
      <w:r>
        <w:rPr>
          <w:iCs/>
          <w:i/>
        </w:rPr>
        <w:t xml:space="preserve">.</w:t>
      </w:r>
    </w:p>
    <w:tbl>
      <w:tblPr>
        <w:tblStyle w:val="Table"/>
        <w:tblW w:type="pct" w:w="5000"/>
        <w:tblLook w:firstRow="1" w:lastRow="0" w:firstColumn="0" w:lastColumn="0" w:noHBand="0" w:noVBand="0" w:val="0020"/>
        <w:jc w:val="start"/>
      </w:tblPr>
      <w:tblGrid>
        <w:gridCol w:w="792"/>
        <w:gridCol w:w="792"/>
        <w:gridCol w:w="1056"/>
        <w:gridCol w:w="1056"/>
        <w:gridCol w:w="1056"/>
        <w:gridCol w:w="1056"/>
        <w:gridCol w:w="1056"/>
        <w:gridCol w:w="1056"/>
      </w:tblGrid>
      <w:tr>
        <w:trPr>
          <w:tblHeader w:val="true"/>
        </w:trPr>
        <w:tc>
          <w:tcPr/>
          <w:p>
            <w:pPr>
              <w:pStyle w:val="Compact"/>
              <w:jc w:val="left"/>
            </w:pPr>
            <w:r>
              <w:t xml:space="preserve">Structure</w:t>
            </w:r>
          </w:p>
        </w:tc>
        <w:tc>
          <w:tcPr/>
          <w:p>
            <w:pPr>
              <w:pStyle w:val="Compact"/>
              <w:jc w:val="left"/>
            </w:pPr>
            <w:r>
              <w:t xml:space="preserve">Scenario</w:t>
            </w:r>
          </w:p>
        </w:tc>
        <w:tc>
          <w:tcPr/>
          <w:p>
            <w:pPr>
              <w:pStyle w:val="Compact"/>
              <w:jc w:val="right"/>
            </w:pPr>
            <w:r>
              <w:t xml:space="preserve">m³</w:t>
            </w:r>
          </w:p>
        </w:tc>
        <w:tc>
          <w:tcPr/>
          <w:p>
            <w:pPr>
              <w:pStyle w:val="Compact"/>
              <w:jc w:val="right"/>
            </w:pPr>
            <w:r>
              <w:t xml:space="preserve">Binder kg/m³</w:t>
            </w:r>
          </w:p>
        </w:tc>
        <w:tc>
          <w:tcPr/>
          <w:p>
            <w:pPr>
              <w:pStyle w:val="Compact"/>
              <w:jc w:val="right"/>
            </w:pPr>
            <w:r>
              <w:t xml:space="preserve">S0 t CO₂e</w:t>
            </w:r>
          </w:p>
        </w:tc>
        <w:tc>
          <w:tcPr/>
          <w:p>
            <w:pPr>
              <w:pStyle w:val="Compact"/>
              <w:jc w:val="right"/>
            </w:pPr>
            <w:r>
              <w:t xml:space="preserve">Scenario t CO₂e</w:t>
            </w:r>
          </w:p>
        </w:tc>
        <w:tc>
          <w:tcPr/>
          <w:p>
            <w:pPr>
              <w:pStyle w:val="Compact"/>
              <w:jc w:val="right"/>
            </w:pPr>
            <w:r>
              <w:t xml:space="preserve">Saving t (kg/m³)</w:t>
            </w:r>
          </w:p>
        </w:tc>
        <w:tc>
          <w:tcPr/>
          <w:p>
            <w:pPr>
              <w:pStyle w:val="Compact"/>
              <w:jc w:val="right"/>
            </w:pPr>
            <w:r>
              <w:t xml:space="preserve">Clinker avoided t</w:t>
            </w:r>
          </w:p>
        </w:tc>
      </w:tr>
      <w:tr>
        <w:tc>
          <w:tcPr/>
          <w:p>
            <w:pPr>
              <w:pStyle w:val="Compact"/>
              <w:jc w:val="left"/>
            </w:pPr>
            <w:r>
              <w:t xml:space="preserve">DPSC reactor-building infill</w:t>
            </w:r>
          </w:p>
        </w:tc>
        <w:tc>
          <w:tcPr/>
          <w:p>
            <w:pPr>
              <w:pStyle w:val="Compact"/>
              <w:jc w:val="left"/>
            </w:pPr>
            <w:r>
              <w:t xml:space="preserve">S1 slag (fallback)</w:t>
            </w:r>
          </w:p>
        </w:tc>
        <w:tc>
          <w:tcPr/>
          <w:p>
            <w:pPr>
              <w:pStyle w:val="Compact"/>
              <w:jc w:val="right"/>
            </w:pPr>
            <w:r>
              <w:t xml:space="preserve">9,081</w:t>
            </w:r>
          </w:p>
        </w:tc>
        <w:tc>
          <w:tcPr/>
          <w:p>
            <w:pPr>
              <w:pStyle w:val="Compact"/>
              <w:jc w:val="right"/>
            </w:pPr>
            <w:r>
              <w:t xml:space="preserve">450</w:t>
            </w:r>
          </w:p>
        </w:tc>
        <w:tc>
          <w:tcPr/>
          <w:p>
            <w:pPr>
              <w:pStyle w:val="Compact"/>
              <w:jc w:val="right"/>
            </w:pPr>
            <w:r>
              <w:t xml:space="preserve">3,762</w:t>
            </w:r>
          </w:p>
        </w:tc>
        <w:tc>
          <w:tcPr/>
          <w:p>
            <w:pPr>
              <w:pStyle w:val="Compact"/>
              <w:jc w:val="right"/>
            </w:pPr>
            <w:r>
              <w:t xml:space="preserve">2,606</w:t>
            </w:r>
          </w:p>
        </w:tc>
        <w:tc>
          <w:tcPr/>
          <w:p>
            <w:pPr>
              <w:pStyle w:val="Compact"/>
              <w:jc w:val="right"/>
            </w:pPr>
            <w:r>
              <w:t xml:space="preserve">1,156 (127.3)</w:t>
            </w:r>
          </w:p>
        </w:tc>
        <w:tc>
          <w:tcPr/>
          <w:p>
            <w:pPr>
              <w:pStyle w:val="Compact"/>
              <w:jc w:val="right"/>
            </w:pPr>
            <w:r>
              <w:t xml:space="preserve">1,504</w:t>
            </w:r>
          </w:p>
        </w:tc>
      </w:tr>
      <w:tr>
        <w:tc>
          <w:tcPr/>
          <w:p>
            <w:pPr>
              <w:pStyle w:val="Compact"/>
              <w:jc w:val="left"/>
            </w:pPr>
            <w:r>
              <w:t xml:space="preserve">DPSC reactor-building infill</w:t>
            </w:r>
          </w:p>
        </w:tc>
        <w:tc>
          <w:tcPr/>
          <w:p>
            <w:pPr>
              <w:pStyle w:val="Compact"/>
              <w:jc w:val="left"/>
            </w:pPr>
            <w:r>
              <w:t xml:space="preserve">S2 LC3 (target)</w:t>
            </w:r>
          </w:p>
        </w:tc>
        <w:tc>
          <w:tcPr/>
          <w:p>
            <w:pPr>
              <w:pStyle w:val="Compact"/>
              <w:jc w:val="right"/>
            </w:pPr>
            <w:r>
              <w:t xml:space="preserve">9,081</w:t>
            </w:r>
          </w:p>
        </w:tc>
        <w:tc>
          <w:tcPr/>
          <w:p>
            <w:pPr>
              <w:pStyle w:val="Compact"/>
              <w:jc w:val="right"/>
            </w:pPr>
            <w:r>
              <w:t xml:space="preserve">450</w:t>
            </w:r>
          </w:p>
        </w:tc>
        <w:tc>
          <w:tcPr/>
          <w:p>
            <w:pPr>
              <w:pStyle w:val="Compact"/>
              <w:jc w:val="right"/>
            </w:pPr>
            <w:r>
              <w:t xml:space="preserve">3,762</w:t>
            </w:r>
          </w:p>
        </w:tc>
        <w:tc>
          <w:tcPr/>
          <w:p>
            <w:pPr>
              <w:pStyle w:val="Compact"/>
              <w:jc w:val="right"/>
            </w:pPr>
            <w:r>
              <w:t xml:space="preserve">2,471</w:t>
            </w:r>
          </w:p>
        </w:tc>
        <w:tc>
          <w:tcPr/>
          <w:p>
            <w:pPr>
              <w:pStyle w:val="Compact"/>
              <w:jc w:val="right"/>
            </w:pPr>
            <w:r>
              <w:t xml:space="preserve">1,291 (142.2)</w:t>
            </w:r>
          </w:p>
        </w:tc>
        <w:tc>
          <w:tcPr/>
          <w:p>
            <w:pPr>
              <w:pStyle w:val="Compact"/>
              <w:jc w:val="right"/>
            </w:pPr>
            <w:r>
              <w:t xml:space="preserve">1,716</w:t>
            </w:r>
          </w:p>
        </w:tc>
      </w:tr>
      <w:tr>
        <w:tc>
          <w:tcPr/>
          <w:p>
            <w:pPr>
              <w:pStyle w:val="Compact"/>
              <w:jc w:val="left"/>
            </w:pPr>
            <w:r>
              <w:t xml:space="preserve">Forebay shaft</w:t>
            </w:r>
          </w:p>
        </w:tc>
        <w:tc>
          <w:tcPr/>
          <w:p>
            <w:pPr>
              <w:pStyle w:val="Compact"/>
              <w:jc w:val="left"/>
            </w:pPr>
            <w:r>
              <w:t xml:space="preserve">S1 slag (fallback)</w:t>
            </w:r>
          </w:p>
        </w:tc>
        <w:tc>
          <w:tcPr/>
          <w:p>
            <w:pPr>
              <w:pStyle w:val="Compact"/>
              <w:jc w:val="right"/>
            </w:pPr>
            <w:r>
              <w:t xml:space="preserve">4,000</w:t>
            </w:r>
          </w:p>
        </w:tc>
        <w:tc>
          <w:tcPr/>
          <w:p>
            <w:pPr>
              <w:pStyle w:val="Compact"/>
              <w:jc w:val="right"/>
            </w:pPr>
            <w:r>
              <w:t xml:space="preserve">350</w:t>
            </w:r>
          </w:p>
        </w:tc>
        <w:tc>
          <w:tcPr/>
          <w:p>
            <w:pPr>
              <w:pStyle w:val="Compact"/>
              <w:jc w:val="right"/>
            </w:pPr>
            <w:r>
              <w:t xml:space="preserve">1,316</w:t>
            </w:r>
          </w:p>
        </w:tc>
        <w:tc>
          <w:tcPr/>
          <w:p>
            <w:pPr>
              <w:pStyle w:val="Compact"/>
              <w:jc w:val="right"/>
            </w:pPr>
            <w:r>
              <w:t xml:space="preserve">919</w:t>
            </w:r>
          </w:p>
        </w:tc>
        <w:tc>
          <w:tcPr/>
          <w:p>
            <w:pPr>
              <w:pStyle w:val="Compact"/>
              <w:jc w:val="right"/>
            </w:pPr>
            <w:r>
              <w:t xml:space="preserve">396 (99.0)</w:t>
            </w:r>
          </w:p>
        </w:tc>
        <w:tc>
          <w:tcPr/>
          <w:p>
            <w:pPr>
              <w:pStyle w:val="Compact"/>
              <w:jc w:val="right"/>
            </w:pPr>
            <w:r>
              <w:t xml:space="preserve">515</w:t>
            </w:r>
          </w:p>
        </w:tc>
      </w:tr>
      <w:tr>
        <w:tc>
          <w:tcPr/>
          <w:p>
            <w:pPr>
              <w:pStyle w:val="Compact"/>
              <w:jc w:val="left"/>
            </w:pPr>
            <w:r>
              <w:t xml:space="preserve">Forebay shaft</w:t>
            </w:r>
          </w:p>
        </w:tc>
        <w:tc>
          <w:tcPr/>
          <w:p>
            <w:pPr>
              <w:pStyle w:val="Compact"/>
              <w:jc w:val="left"/>
            </w:pPr>
            <w:r>
              <w:t xml:space="preserve">S2 LC3 (target)</w:t>
            </w:r>
          </w:p>
        </w:tc>
        <w:tc>
          <w:tcPr/>
          <w:p>
            <w:pPr>
              <w:pStyle w:val="Compact"/>
              <w:jc w:val="right"/>
            </w:pPr>
            <w:r>
              <w:t xml:space="preserve">4,000</w:t>
            </w:r>
          </w:p>
        </w:tc>
        <w:tc>
          <w:tcPr/>
          <w:p>
            <w:pPr>
              <w:pStyle w:val="Compact"/>
              <w:jc w:val="right"/>
            </w:pPr>
            <w:r>
              <w:t xml:space="preserve">350</w:t>
            </w:r>
          </w:p>
        </w:tc>
        <w:tc>
          <w:tcPr/>
          <w:p>
            <w:pPr>
              <w:pStyle w:val="Compact"/>
              <w:jc w:val="right"/>
            </w:pPr>
            <w:r>
              <w:t xml:space="preserve">1,316</w:t>
            </w:r>
          </w:p>
        </w:tc>
        <w:tc>
          <w:tcPr/>
          <w:p>
            <w:pPr>
              <w:pStyle w:val="Compact"/>
              <w:jc w:val="right"/>
            </w:pPr>
            <w:r>
              <w:t xml:space="preserve">873</w:t>
            </w:r>
          </w:p>
        </w:tc>
        <w:tc>
          <w:tcPr/>
          <w:p>
            <w:pPr>
              <w:pStyle w:val="Compact"/>
              <w:jc w:val="right"/>
            </w:pPr>
            <w:r>
              <w:t xml:space="preserve">442 (110.6)</w:t>
            </w:r>
          </w:p>
        </w:tc>
        <w:tc>
          <w:tcPr/>
          <w:p>
            <w:pPr>
              <w:pStyle w:val="Compact"/>
              <w:jc w:val="right"/>
            </w:pPr>
            <w:r>
              <w:t xml:space="preserve">588</w:t>
            </w:r>
          </w:p>
        </w:tc>
      </w:tr>
    </w:tbl>
    <w:p>
      <w:pPr>
        <w:pStyle w:val="BodyText"/>
      </w:pPr>
      <w:r>
        <w:rPr>
          <w:iCs/>
          <w:i/>
        </w:rPr>
        <w:t xml:space="preserve">Table A6. Scenario totals (central case).</w:t>
      </w:r>
      <w:r>
        <w:t xml:space="preserve"> </w:t>
      </w:r>
      <w:r>
        <w:rPr>
          <w:iCs/>
          <w:i/>
        </w:rPr>
        <w:t xml:space="preserve">Source:</w:t>
      </w:r>
      <w:r>
        <w:rPr>
          <w:iCs/>
          <w:i/>
        </w:rPr>
        <w:t xml:space="preserve"> </w:t>
      </w:r>
      <w:r>
        <w:rPr>
          <w:rStyle w:val="VerbatimChar"/>
          <w:iCs/>
          <w:i/>
        </w:rPr>
        <w:t xml:space="preserve">results/lca_scenarios.md</w:t>
      </w:r>
      <w:r>
        <w:rPr>
          <w:iCs/>
          <w:i/>
        </w:rPr>
        <w:t xml:space="preserve"> </w:t>
      </w:r>
      <w:r>
        <w:rPr>
          <w:iCs/>
          <w:i/>
        </w:rPr>
        <w:t xml:space="preserve">(working for the like-for-like steel row in A7). Units 2–4 = 3 × per unit (Unit 1’s basemat is placed and its forebay partly placed; whether Unit 1’s shaft-wall infill could still use LC3 is [TO VERIFY]). Every column is on the mode-case basis.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Scenario</w:t>
            </w:r>
          </w:p>
        </w:tc>
        <w:tc>
          <w:tcPr/>
          <w:p>
            <w:pPr>
              <w:pStyle w:val="Compact"/>
              <w:jc w:val="right"/>
            </w:pPr>
            <w:r>
              <w:t xml:space="preserve">Saving t CO₂e/unit</w:t>
            </w:r>
          </w:p>
        </w:tc>
        <w:tc>
          <w:tcPr/>
          <w:p>
            <w:pPr>
              <w:pStyle w:val="Compact"/>
              <w:jc w:val="right"/>
            </w:pPr>
            <w:r>
              <w:t xml:space="preserve">Units 2–4 t CO₂e</w:t>
            </w:r>
          </w:p>
        </w:tc>
        <w:tc>
          <w:tcPr/>
          <w:p>
            <w:pPr>
              <w:pStyle w:val="Compact"/>
              <w:jc w:val="right"/>
            </w:pPr>
            <w:r>
              <w:t xml:space="preserve">Clinker avoided t/unit (Units 2–4)</w:t>
            </w:r>
          </w:p>
        </w:tc>
        <w:tc>
          <w:tcPr/>
          <w:p>
            <w:pPr>
              <w:pStyle w:val="Compact"/>
              <w:jc w:val="right"/>
            </w:pPr>
            <w:r>
              <w:t xml:space="preserve">% of target concrete</w:t>
            </w:r>
          </w:p>
        </w:tc>
        <w:tc>
          <w:tcPr/>
          <w:p>
            <w:pPr>
              <w:pStyle w:val="Compact"/>
              <w:jc w:val="right"/>
            </w:pPr>
            <w:r>
              <w:t xml:space="preserve">% of unit life cycle (mode case)</w:t>
            </w:r>
          </w:p>
        </w:tc>
        <w:tc>
          <w:tcPr/>
          <w:p>
            <w:pPr>
              <w:pStyle w:val="Compact"/>
              <w:jc w:val="right"/>
            </w:pPr>
            <w:r>
              <w:t xml:space="preserve">g/kWh saved</w:t>
            </w:r>
          </w:p>
        </w:tc>
      </w:tr>
      <w:tr>
        <w:tc>
          <w:tcPr/>
          <w:p>
            <w:pPr>
              <w:pStyle w:val="Compact"/>
              <w:jc w:val="left"/>
            </w:pPr>
            <w:r>
              <w:t xml:space="preserve">S1 slag in C1 target structures (C1 fallback)</w:t>
            </w:r>
          </w:p>
        </w:tc>
        <w:tc>
          <w:tcPr/>
          <w:p>
            <w:pPr>
              <w:pStyle w:val="Compact"/>
              <w:jc w:val="right"/>
            </w:pPr>
            <w:r>
              <w:t xml:space="preserve">1,552</w:t>
            </w:r>
          </w:p>
        </w:tc>
        <w:tc>
          <w:tcPr/>
          <w:p>
            <w:pPr>
              <w:pStyle w:val="Compact"/>
              <w:jc w:val="right"/>
            </w:pPr>
            <w:r>
              <w:t xml:space="preserve">4,657</w:t>
            </w:r>
          </w:p>
        </w:tc>
        <w:tc>
          <w:tcPr/>
          <w:p>
            <w:pPr>
              <w:pStyle w:val="Compact"/>
              <w:jc w:val="right"/>
            </w:pPr>
            <w:r>
              <w:t xml:space="preserve">2,019 (6,057)</w:t>
            </w:r>
          </w:p>
        </w:tc>
        <w:tc>
          <w:tcPr/>
          <w:p>
            <w:pPr>
              <w:pStyle w:val="Compact"/>
              <w:jc w:val="right"/>
            </w:pPr>
            <w:r>
              <w:t xml:space="preserve">30.6</w:t>
            </w:r>
          </w:p>
        </w:tc>
        <w:tc>
          <w:tcPr/>
          <w:p>
            <w:pPr>
              <w:pStyle w:val="Compact"/>
              <w:jc w:val="right"/>
            </w:pPr>
            <w:r>
              <w:t xml:space="preserve">0.405</w:t>
            </w:r>
          </w:p>
        </w:tc>
        <w:tc>
          <w:tcPr/>
          <w:p>
            <w:pPr>
              <w:pStyle w:val="Compact"/>
              <w:jc w:val="right"/>
            </w:pPr>
            <w:r>
              <w:t xml:space="preserve">0.0109</w:t>
            </w:r>
          </w:p>
        </w:tc>
      </w:tr>
      <w:tr>
        <w:tc>
          <w:tcPr/>
          <w:p>
            <w:pPr>
              <w:pStyle w:val="Compact"/>
              <w:jc w:val="left"/>
            </w:pPr>
            <w:r>
              <w:rPr>
                <w:bCs/>
                <w:b/>
              </w:rPr>
              <w:t xml:space="preserve">S2 LC3 in C1 target structures (C1 target binder)</w:t>
            </w:r>
          </w:p>
        </w:tc>
        <w:tc>
          <w:tcPr/>
          <w:p>
            <w:pPr>
              <w:pStyle w:val="Compact"/>
              <w:jc w:val="right"/>
            </w:pPr>
            <w:r>
              <w:rPr>
                <w:bCs/>
                <w:b/>
              </w:rPr>
              <w:t xml:space="preserve">1,734</w:t>
            </w:r>
          </w:p>
        </w:tc>
        <w:tc>
          <w:tcPr/>
          <w:p>
            <w:pPr>
              <w:pStyle w:val="Compact"/>
              <w:jc w:val="right"/>
            </w:pPr>
            <w:r>
              <w:rPr>
                <w:bCs/>
                <w:b/>
              </w:rPr>
              <w:t xml:space="preserve">5,201</w:t>
            </w:r>
          </w:p>
        </w:tc>
        <w:tc>
          <w:tcPr/>
          <w:p>
            <w:pPr>
              <w:pStyle w:val="Compact"/>
              <w:jc w:val="right"/>
            </w:pPr>
            <w:r>
              <w:rPr>
                <w:bCs/>
                <w:b/>
              </w:rPr>
              <w:t xml:space="preserve">2,304 (6,913)</w:t>
            </w:r>
          </w:p>
        </w:tc>
        <w:tc>
          <w:tcPr/>
          <w:p>
            <w:pPr>
              <w:pStyle w:val="Compact"/>
              <w:jc w:val="right"/>
            </w:pPr>
            <w:r>
              <w:rPr>
                <w:bCs/>
                <w:b/>
              </w:rPr>
              <w:t xml:space="preserve">34.1</w:t>
            </w:r>
          </w:p>
        </w:tc>
        <w:tc>
          <w:tcPr/>
          <w:p>
            <w:pPr>
              <w:pStyle w:val="Compact"/>
              <w:jc w:val="right"/>
            </w:pPr>
            <w:r>
              <w:rPr>
                <w:bCs/>
                <w:b/>
              </w:rPr>
              <w:t xml:space="preserve">0.452</w:t>
            </w:r>
          </w:p>
        </w:tc>
        <w:tc>
          <w:tcPr/>
          <w:p>
            <w:pPr>
              <w:pStyle w:val="Compact"/>
              <w:jc w:val="right"/>
            </w:pPr>
            <w:r>
              <w:rPr>
                <w:bCs/>
                <w:b/>
              </w:rPr>
              <w:t xml:space="preserve">0.0122</w:t>
            </w:r>
          </w:p>
        </w:tc>
      </w:tr>
      <w:tr>
        <w:tc>
          <w:tcPr/>
          <w:p>
            <w:pPr>
              <w:pStyle w:val="Compact"/>
              <w:jc w:val="left"/>
            </w:pPr>
            <w:r>
              <w:t xml:space="preserve">S2b LC3 in targets + slag in all other concrete</w:t>
            </w:r>
          </w:p>
        </w:tc>
        <w:tc>
          <w:tcPr/>
          <w:p>
            <w:pPr>
              <w:pStyle w:val="Compact"/>
              <w:jc w:val="right"/>
            </w:pPr>
            <w:r>
              <w:t xml:space="preserve">2,488</w:t>
            </w:r>
          </w:p>
        </w:tc>
        <w:tc>
          <w:tcPr/>
          <w:p>
            <w:pPr>
              <w:pStyle w:val="Compact"/>
              <w:jc w:val="right"/>
            </w:pPr>
            <w:r>
              <w:t xml:space="preserve">7,464</w:t>
            </w:r>
          </w:p>
        </w:tc>
        <w:tc>
          <w:tcPr/>
          <w:p>
            <w:pPr>
              <w:pStyle w:val="Compact"/>
              <w:jc w:val="right"/>
            </w:pPr>
            <w:r>
              <w:t xml:space="preserve">3,286 (9,857)</w:t>
            </w:r>
          </w:p>
        </w:tc>
        <w:tc>
          <w:tcPr/>
          <w:p>
            <w:pPr>
              <w:pStyle w:val="Compact"/>
              <w:jc w:val="right"/>
            </w:pPr>
            <w:r>
              <w:t xml:space="preserve">49.0</w:t>
            </w:r>
          </w:p>
        </w:tc>
        <w:tc>
          <w:tcPr/>
          <w:p>
            <w:pPr>
              <w:pStyle w:val="Compact"/>
              <w:jc w:val="right"/>
            </w:pPr>
            <w:r>
              <w:t xml:space="preserve">0.649</w:t>
            </w:r>
          </w:p>
        </w:tc>
        <w:tc>
          <w:tcPr/>
          <w:p>
            <w:pPr>
              <w:pStyle w:val="Compact"/>
              <w:jc w:val="right"/>
            </w:pPr>
            <w:r>
              <w:t xml:space="preserve">0.0175</w:t>
            </w:r>
          </w:p>
        </w:tc>
      </w:tr>
      <w:tr>
        <w:tc>
          <w:tcPr/>
          <w:p>
            <w:pPr>
              <w:pStyle w:val="Compact"/>
              <w:jc w:val="left"/>
            </w:pPr>
            <w:r>
              <w:t xml:space="preserve">S3 like-for-like: low-end steel factors, target-structure steel only (1,953 t)</w:t>
            </w:r>
          </w:p>
        </w:tc>
        <w:tc>
          <w:tcPr/>
          <w:p>
            <w:pPr>
              <w:pStyle w:val="Compact"/>
              <w:jc w:val="right"/>
            </w:pPr>
            <w:r>
              <w:t xml:space="preserve">566</w:t>
            </w:r>
          </w:p>
        </w:tc>
        <w:tc>
          <w:tcPr/>
          <w:p>
            <w:pPr>
              <w:pStyle w:val="Compact"/>
              <w:jc w:val="right"/>
            </w:pPr>
            <w:r>
              <w:t xml:space="preserve">1,698</w:t>
            </w:r>
          </w:p>
        </w:tc>
        <w:tc>
          <w:tcPr/>
          <w:p>
            <w:pPr>
              <w:pStyle w:val="Compact"/>
              <w:jc w:val="right"/>
            </w:pPr>
            <w:r>
              <w:t xml:space="preserve">0</w:t>
            </w:r>
          </w:p>
        </w:tc>
        <w:tc>
          <w:tcPr/>
          <w:p>
            <w:pPr>
              <w:pStyle w:val="Compact"/>
              <w:jc w:val="right"/>
            </w:pPr>
            <w:r>
              <w:t xml:space="preserve">—</w:t>
            </w:r>
          </w:p>
        </w:tc>
        <w:tc>
          <w:tcPr/>
          <w:p>
            <w:pPr>
              <w:pStyle w:val="Compact"/>
              <w:jc w:val="right"/>
            </w:pPr>
            <w:r>
              <w:t xml:space="preserve">0.148</w:t>
            </w:r>
          </w:p>
        </w:tc>
        <w:tc>
          <w:tcPr/>
          <w:p>
            <w:pPr>
              <w:pStyle w:val="Compact"/>
              <w:jc w:val="right"/>
            </w:pPr>
            <w:r>
              <w:t xml:space="preserve">0.0040</w:t>
            </w:r>
          </w:p>
        </w:tc>
      </w:tr>
      <w:tr>
        <w:tc>
          <w:tcPr/>
          <w:p>
            <w:pPr>
              <w:pStyle w:val="Compact"/>
              <w:jc w:val="left"/>
            </w:pPr>
            <w:r>
              <w:t xml:space="preserve">S3 upper bound: all plant steel at best-practice EAF sections factors</w:t>
            </w:r>
          </w:p>
        </w:tc>
        <w:tc>
          <w:tcPr/>
          <w:p>
            <w:pPr>
              <w:pStyle w:val="Compact"/>
              <w:jc w:val="right"/>
            </w:pPr>
            <w:r>
              <w:t xml:space="preserve">3,714</w:t>
            </w:r>
          </w:p>
        </w:tc>
        <w:tc>
          <w:tcPr/>
          <w:p>
            <w:pPr>
              <w:pStyle w:val="Compact"/>
              <w:jc w:val="right"/>
            </w:pPr>
            <w:r>
              <w:t xml:space="preserve">11,142</w:t>
            </w:r>
          </w:p>
        </w:tc>
        <w:tc>
          <w:tcPr/>
          <w:p>
            <w:pPr>
              <w:pStyle w:val="Compact"/>
              <w:jc w:val="right"/>
            </w:pPr>
            <w:r>
              <w:t xml:space="preserve">0</w:t>
            </w:r>
          </w:p>
        </w:tc>
        <w:tc>
          <w:tcPr/>
          <w:p>
            <w:pPr>
              <w:pStyle w:val="Compact"/>
              <w:jc w:val="right"/>
            </w:pPr>
            <w:r>
              <w:t xml:space="preserve">—</w:t>
            </w:r>
          </w:p>
        </w:tc>
        <w:tc>
          <w:tcPr/>
          <w:p>
            <w:pPr>
              <w:pStyle w:val="Compact"/>
              <w:jc w:val="right"/>
            </w:pPr>
            <w:r>
              <w:t xml:space="preserve">0.969</w:t>
            </w:r>
          </w:p>
        </w:tc>
        <w:tc>
          <w:tcPr/>
          <w:p>
            <w:pPr>
              <w:pStyle w:val="Compact"/>
              <w:jc w:val="right"/>
            </w:pPr>
            <w:r>
              <w:t xml:space="preserve">0.0262</w:t>
            </w:r>
          </w:p>
        </w:tc>
      </w:tr>
      <w:tr>
        <w:tc>
          <w:tcPr/>
          <w:p>
            <w:pPr>
              <w:pStyle w:val="Compact"/>
              <w:jc w:val="left"/>
            </w:pPr>
            <w:r>
              <w:t xml:space="preserve">S3 sensitivity: all plant steel at world-average factors</w:t>
            </w:r>
          </w:p>
        </w:tc>
        <w:tc>
          <w:tcPr/>
          <w:p>
            <w:pPr>
              <w:pStyle w:val="Compact"/>
              <w:jc w:val="right"/>
            </w:pPr>
            <w:r>
              <w:t xml:space="preserve">−8,399</w:t>
            </w:r>
          </w:p>
        </w:tc>
        <w:tc>
          <w:tcPr/>
          <w:p>
            <w:pPr>
              <w:pStyle w:val="Compact"/>
              <w:jc w:val="right"/>
            </w:pPr>
            <w:r>
              <w:t xml:space="preserve">−25,198</w:t>
            </w:r>
          </w:p>
        </w:tc>
        <w:tc>
          <w:tcPr/>
          <w:p>
            <w:pPr>
              <w:pStyle w:val="Compact"/>
              <w:jc w:val="right"/>
            </w:pPr>
            <w:r>
              <w:t xml:space="preserve">0</w:t>
            </w:r>
          </w:p>
        </w:tc>
        <w:tc>
          <w:tcPr/>
          <w:p>
            <w:pPr>
              <w:pStyle w:val="Compact"/>
              <w:jc w:val="right"/>
            </w:pPr>
            <w:r>
              <w:t xml:space="preserve">—</w:t>
            </w:r>
          </w:p>
        </w:tc>
        <w:tc>
          <w:tcPr/>
          <w:p>
            <w:pPr>
              <w:pStyle w:val="Compact"/>
              <w:jc w:val="right"/>
            </w:pPr>
            <w:r>
              <w:t xml:space="preserve">−2.192</w:t>
            </w:r>
          </w:p>
        </w:tc>
        <w:tc>
          <w:tcPr/>
          <w:p>
            <w:pPr>
              <w:pStyle w:val="Compact"/>
              <w:jc w:val="right"/>
            </w:pPr>
            <w:r>
              <w:t xml:space="preserve">−0.0592</w:t>
            </w:r>
          </w:p>
        </w:tc>
      </w:tr>
    </w:tbl>
    <w:p>
      <w:pPr>
        <w:pStyle w:val="BodyText"/>
      </w:pPr>
      <w:r>
        <w:t xml:space="preserve">S3 rows are sensitivities on the baseline steel, not part of C1 (positive = lower than S0); A7 explains why only the like-for-like row compares with S2. Every life-cycle share here uses the mode-case total (383,243 t per unit), so the rows are comparable. On the Monte Carlo basis (median, with 5th–95th percentile; Appendix C4, Table C4) the shares are: S1 0.28% (0.17–0.44%); S2 0.29% (0.18–0.46%); S2b 0.46% (0.26–0.80%); S3 like-for-like 0.16% (0.06–0.30%); S3 upper bound 0.79% (0.28–1.68%); S3 world-average −1.11% (−2.11 to −0.49%). Savings exclude the construction uplift (A7).</w:t>
      </w:r>
    </w:p>
    <w:p>
      <w:pPr>
        <w:pStyle w:val="BodyText"/>
      </w:pPr>
      <w:r>
        <w:rPr>
          <w:bCs/>
          <w:b/>
        </w:rPr>
        <w:t xml:space="preserve">Resource use per unit of output.</w:t>
      </w:r>
      <w:r>
        <w:t xml:space="preserve"> </w:t>
      </w:r>
      <w:r>
        <w:t xml:space="preserve">Clinker avoided by LC3 = 2,304 t / 1.419 × 10⁸ MWh = 0.016 kg/MWh (7.7 t/MWe). Concrete: 20,700 m³ × 2.4 t/m³ / 1.419 × 10⁸ MWh = 0.35 kg/MWh. Steel: 9,900 t / 1.419 × 10⁸ MWh = 0.070 kg/MWh.</w:t>
      </w:r>
    </w:p>
    <w:bookmarkEnd w:id="56"/>
    <w:bookmarkStart w:id="57" w:name="X62dd5352b338ee668e2c8600a16d3b918435b38"/>
    <w:p>
      <w:pPr>
        <w:pStyle w:val="Heading3"/>
      </w:pPr>
      <w:r>
        <w:t xml:space="preserve">A7. Steel, transport and construction total</w:t>
      </w:r>
    </w:p>
    <w:p>
      <w:pPr>
        <w:pStyle w:val="FirstParagraph"/>
      </w:pPr>
      <w:r>
        <w:rPr>
          <w:bCs/>
          <w:b/>
        </w:rPr>
        <w:t xml:space="preserve">Result.</w:t>
      </w:r>
      <w:r>
        <w:t xml:space="preserve"> </w:t>
      </w:r>
      <w:r>
        <w:t xml:space="preserve">Construction emits 34,381 t CO₂e per unit (0.24 g/kWh, mode case); steel emits about twice what concrete does.</w:t>
      </w:r>
    </w:p>
    <w:p>
      <w:pPr>
        <w:numPr>
          <w:ilvl w:val="0"/>
          <w:numId w:val="1003"/>
        </w:numPr>
        <w:pStyle w:val="Compact"/>
      </w:pPr>
      <w:r>
        <w:t xml:space="preserve">Steel: kg CO₂e = rebar × EF_rebar + other × EF_other = 3,105 × 0.97 + 6,795 × 1.73 = 3,012 + 11,755 =</w:t>
      </w:r>
      <w:r>
        <w:t xml:space="preserve"> </w:t>
      </w:r>
      <w:r>
        <w:rPr>
          <w:bCs/>
          <w:b/>
        </w:rPr>
        <w:t xml:space="preserve">14,767 t</w:t>
      </w:r>
      <w:r>
        <w:t xml:space="preserve">.</w:t>
      </w:r>
    </w:p>
    <w:p>
      <w:pPr>
        <w:numPr>
          <w:ilvl w:val="0"/>
          <w:numId w:val="1003"/>
        </w:numPr>
        <w:pStyle w:val="Compact"/>
      </w:pPr>
      <w:r>
        <w:t xml:space="preserve">Transport to site (EN 15804 module A4): concrete 20,700 m³ × 2.4 t/m³ × 15 km × 0.10 kg/t-km = 74.5 t; steel 9,900 t × 500 km × 0.10 kg/t-km = 495 t; total</w:t>
      </w:r>
      <w:r>
        <w:t xml:space="preserve"> </w:t>
      </w:r>
      <w:r>
        <w:rPr>
          <w:bCs/>
          <w:b/>
        </w:rPr>
        <w:t xml:space="preserve">570 t</w:t>
      </w:r>
      <w:r>
        <w:t xml:space="preserve"> </w:t>
      </w:r>
      <w:r>
        <w:t xml:space="preserve">(distances are assumptions; the cement plant is also in Clarington [TO VERIFY]).</w:t>
      </w:r>
    </w:p>
    <w:p>
      <w:pPr>
        <w:numPr>
          <w:ilvl w:val="0"/>
          <w:numId w:val="1003"/>
        </w:numPr>
        <w:pStyle w:val="Compact"/>
      </w:pPr>
      <w:r>
        <w:t xml:space="preserve">Other materials and site energy (copper, cabling, insulation, site diesel, Ontario-grid electricity, processing of equipment beyond steel production, tunnel boring): uplift of 50% (assumption, range 25–150%) on concrete + steel + transport: 0.5 × (7,584 + 14,767 + 570) =</w:t>
      </w:r>
      <w:r>
        <w:t xml:space="preserve"> </w:t>
      </w:r>
      <w:r>
        <w:rPr>
          <w:bCs/>
          <w:b/>
        </w:rPr>
        <w:t xml:space="preserve">11,460 t</w:t>
      </w:r>
      <w:r>
        <w:t xml:space="preserve">.</w:t>
      </w:r>
    </w:p>
    <w:p>
      <w:pPr>
        <w:numPr>
          <w:ilvl w:val="0"/>
          <w:numId w:val="1003"/>
        </w:numPr>
        <w:pStyle w:val="Compact"/>
      </w:pPr>
      <w:r>
        <w:rPr>
          <w:bCs/>
          <w:b/>
        </w:rPr>
        <w:t xml:space="preserve">Construction total</w:t>
      </w:r>
      <w:r>
        <w:t xml:space="preserve"> </w:t>
      </w:r>
      <w:r>
        <w:t xml:space="preserve">= 7,584 + 14,767 + 570 + 11,460 =</w:t>
      </w:r>
      <w:r>
        <w:t xml:space="preserve"> </w:t>
      </w:r>
      <w:r>
        <w:rPr>
          <w:bCs/>
          <w:b/>
        </w:rPr>
        <w:t xml:space="preserve">34,381 t</w:t>
      </w:r>
      <w:r>
        <w:t xml:space="preserve">, or 34,381 / 1.419 × 10⁸ MWh =</w:t>
      </w:r>
      <w:r>
        <w:t xml:space="preserve"> </w:t>
      </w:r>
      <w:r>
        <w:rPr>
          <w:bCs/>
          <w:b/>
        </w:rPr>
        <w:t xml:space="preserve">0.242 g/kWh</w:t>
      </w:r>
      <w:r>
        <w:t xml:space="preserve">.</w:t>
      </w:r>
    </w:p>
    <w:p>
      <w:pPr>
        <w:pStyle w:val="FirstParagraph"/>
      </w:pPr>
      <w:r>
        <w:rPr>
          <w:bCs/>
          <w:b/>
        </w:rPr>
        <w:t xml:space="preserve">Steel scenarios: like-for-like and whole plant.</w:t>
      </w:r>
      <w:r>
        <w:t xml:space="preserve"> </w:t>
      </w:r>
      <w:r>
        <w:t xml:space="preserve">S3 is a sensitivity, not part of C1, and only a like-for-like version compares with S2.</w:t>
      </w:r>
      <w:r>
        <w:t xml:space="preserve"> </w:t>
      </w:r>
      <w:r>
        <w:t xml:space="preserve">-</w:t>
      </w:r>
      <w:r>
        <w:t xml:space="preserve"> </w:t>
      </w:r>
      <w:r>
        <w:rPr>
          <w:bCs/>
          <w:b/>
        </w:rPr>
        <w:t xml:space="preserve">Like-for-like (target structures only)</w:t>
      </w:r>
      <w:r>
        <w:t xml:space="preserve"> </w:t>
      </w:r>
      <w:r>
        <w:t xml:space="preserve">(</w:t>
      </w:r>
      <w:r>
        <w:rPr>
          <w:rStyle w:val="VerbatimChar"/>
        </w:rPr>
        <w:t xml:space="preserve">lca_scenarios.py</w:t>
      </w:r>
      <w:r>
        <w:t xml:space="preserve">, S3 like-for-like): the known steel in the C1 target structures at the low-end factors of Table A4 (plate 1.22, the Buy Clean California hot-rolled-sections limit; rebar 0.89, the mill-gate limit): 953 t × (1.73 − 1.22) + 1,000 t × (0.97 − 0.89) = 486 + 80 =</w:t>
      </w:r>
      <w:r>
        <w:t xml:space="preserve"> </w:t>
      </w:r>
      <w:r>
        <w:rPr>
          <w:bCs/>
          <w:b/>
        </w:rPr>
        <w:t xml:space="preserve">566 t per unit</w:t>
      </w:r>
      <w:r>
        <w:t xml:space="preserve"> </w:t>
      </w:r>
      <w:r>
        <w:t xml:space="preserve">(Monte Carlo median 941 t, 404–1,581), against 1,734 t (median 1,742 t) for LC3. Shaft-wall module steel is unknown and excluded (as in A9), so this understates the target-structure steel; until it is known, LC3 is the larger lever within the structures C1 targets (about 3.1 times at the mode case, 1.9 at the median).</w:t>
      </w:r>
      <w:r>
        <w:t xml:space="preserve"> </w:t>
      </w:r>
      <w:r>
        <w:t xml:space="preserve">-</w:t>
      </w:r>
      <w:r>
        <w:t xml:space="preserve"> </w:t>
      </w:r>
      <w:r>
        <w:rPr>
          <w:bCs/>
          <w:b/>
        </w:rPr>
        <w:t xml:space="preserve">Whole-plant upper bound</w:t>
      </w:r>
      <w:r>
        <w:t xml:space="preserve"> </w:t>
      </w:r>
      <w:r>
        <w:t xml:space="preserve">(</w:t>
      </w:r>
      <w:r>
        <w:rPr>
          <w:rStyle w:val="VerbatimChar"/>
        </w:rPr>
        <w:t xml:space="preserve">lca_scenarios.md</w:t>
      </w:r>
      <w:r>
        <w:t xml:space="preserve">, S3 low): all 9,900 t of plant steel at the same factors saves 3,714 t, about 2.1 × LC3. It is an upper bound because it applies a hot-rolled-sections factor to turbine and reactor-pressure-vessel forgings and nuclear-grade plate, for which that factor is not shown to be feasible (residual-element limits and qualification are not assessed).</w:t>
      </w:r>
      <w:r>
        <w:t xml:space="preserve"> </w:t>
      </w:r>
      <w:r>
        <w:t xml:space="preserve">-</w:t>
      </w:r>
      <w:r>
        <w:t xml:space="preserve"> </w:t>
      </w:r>
      <w:r>
        <w:rPr>
          <w:bCs/>
          <w:b/>
        </w:rPr>
        <w:t xml:space="preserve">World average</w:t>
      </w:r>
      <w:r>
        <w:t xml:space="preserve"> </w:t>
      </w:r>
      <w:r>
        <w:t xml:space="preserve">(S3 high): −8,399 t, i.e. world-average steel would add emissions.</w:t>
      </w:r>
    </w:p>
    <w:p>
      <w:pPr>
        <w:pStyle w:val="BodyText"/>
      </w:pPr>
      <w:r>
        <w:rPr>
          <w:iCs/>
          <w:i/>
        </w:rPr>
        <w:t xml:space="preserve">Table A7. Construction inventory per unit (S0, central case).</w:t>
      </w:r>
      <w:r>
        <w:t xml:space="preserve"> </w:t>
      </w:r>
      <w:r>
        <w:rPr>
          <w:iCs/>
          <w:i/>
        </w:rPr>
        <w:t xml:space="preserve">Source:</w:t>
      </w:r>
      <w:r>
        <w:rPr>
          <w:iCs/>
          <w:i/>
        </w:rPr>
        <w:t xml:space="preserve"> </w:t>
      </w:r>
      <w:r>
        <w:rPr>
          <w:rStyle w:val="VerbatimChar"/>
          <w:iCs/>
          <w:i/>
        </w:rPr>
        <w:t xml:space="preserve">results/lca_baseline.md</w:t>
      </w:r>
      <w:r>
        <w:rPr>
          <w:iCs/>
          <w:i/>
        </w:rPr>
        <w:t xml:space="preserve">.</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Item</w:t>
            </w:r>
          </w:p>
        </w:tc>
        <w:tc>
          <w:tcPr/>
          <w:p>
            <w:pPr>
              <w:pStyle w:val="Compact"/>
              <w:jc w:val="left"/>
            </w:pPr>
            <w:r>
              <w:t xml:space="preserve">Quantity</w:t>
            </w:r>
          </w:p>
        </w:tc>
        <w:tc>
          <w:tcPr/>
          <w:p>
            <w:pPr>
              <w:pStyle w:val="Compact"/>
              <w:jc w:val="left"/>
            </w:pPr>
            <w:r>
              <w:t xml:space="preserve">Factor</w:t>
            </w:r>
          </w:p>
        </w:tc>
        <w:tc>
          <w:tcPr/>
          <w:p>
            <w:pPr>
              <w:pStyle w:val="Compact"/>
              <w:jc w:val="right"/>
            </w:pPr>
            <w:r>
              <w:t xml:space="preserve">t CO₂e</w:t>
            </w:r>
          </w:p>
        </w:tc>
      </w:tr>
      <w:tr>
        <w:tc>
          <w:tcPr/>
          <w:p>
            <w:pPr>
              <w:pStyle w:val="Compact"/>
              <w:jc w:val="left"/>
            </w:pPr>
            <w:r>
              <w:t xml:space="preserve">DPSC reactor-building infill (basemat + shaft walls)</w:t>
            </w:r>
          </w:p>
        </w:tc>
        <w:tc>
          <w:tcPr/>
          <w:p>
            <w:pPr>
              <w:pStyle w:val="Compact"/>
              <w:jc w:val="left"/>
            </w:pPr>
            <w:r>
              <w:t xml:space="preserve">9,081 m³</w:t>
            </w:r>
          </w:p>
        </w:tc>
        <w:tc>
          <w:tcPr/>
          <w:p>
            <w:pPr>
              <w:pStyle w:val="Compact"/>
              <w:jc w:val="left"/>
            </w:pPr>
            <w:r>
              <w:t xml:space="preserve">414.3 kg CO₂e/m³</w:t>
            </w:r>
          </w:p>
        </w:tc>
        <w:tc>
          <w:tcPr/>
          <w:p>
            <w:pPr>
              <w:pStyle w:val="Compact"/>
              <w:jc w:val="right"/>
            </w:pPr>
            <w:r>
              <w:t xml:space="preserve">3,762</w:t>
            </w:r>
          </w:p>
        </w:tc>
      </w:tr>
      <w:tr>
        <w:tc>
          <w:tcPr/>
          <w:p>
            <w:pPr>
              <w:pStyle w:val="Compact"/>
              <w:jc w:val="left"/>
            </w:pPr>
            <w:r>
              <w:t xml:space="preserve">Forebay shaft (condenser cooling water)</w:t>
            </w:r>
          </w:p>
        </w:tc>
        <w:tc>
          <w:tcPr/>
          <w:p>
            <w:pPr>
              <w:pStyle w:val="Compact"/>
              <w:jc w:val="left"/>
            </w:pPr>
            <w:r>
              <w:t xml:space="preserve">4,000 m³</w:t>
            </w:r>
          </w:p>
        </w:tc>
        <w:tc>
          <w:tcPr/>
          <w:p>
            <w:pPr>
              <w:pStyle w:val="Compact"/>
              <w:jc w:val="left"/>
            </w:pPr>
            <w:r>
              <w:t xml:space="preserve">328.9 kg CO₂e/m³</w:t>
            </w:r>
          </w:p>
        </w:tc>
        <w:tc>
          <w:tcPr/>
          <w:p>
            <w:pPr>
              <w:pStyle w:val="Compact"/>
              <w:jc w:val="right"/>
            </w:pPr>
            <w:r>
              <w:t xml:space="preserve">1,316</w:t>
            </w:r>
          </w:p>
        </w:tc>
      </w:tr>
      <w:tr>
        <w:tc>
          <w:tcPr/>
          <w:p>
            <w:pPr>
              <w:pStyle w:val="Compact"/>
              <w:jc w:val="left"/>
            </w:pPr>
            <w:r>
              <w:t xml:space="preserve">Other plant concrete</w:t>
            </w:r>
          </w:p>
        </w:tc>
        <w:tc>
          <w:tcPr/>
          <w:p>
            <w:pPr>
              <w:pStyle w:val="Compact"/>
              <w:jc w:val="left"/>
            </w:pPr>
            <w:r>
              <w:t xml:space="preserve">7,619 m³</w:t>
            </w:r>
          </w:p>
        </w:tc>
        <w:tc>
          <w:tcPr/>
          <w:p>
            <w:pPr>
              <w:pStyle w:val="Compact"/>
              <w:jc w:val="left"/>
            </w:pPr>
            <w:r>
              <w:t xml:space="preserve">328.9 kg CO₂e/m³</w:t>
            </w:r>
          </w:p>
        </w:tc>
        <w:tc>
          <w:tcPr/>
          <w:p>
            <w:pPr>
              <w:pStyle w:val="Compact"/>
              <w:jc w:val="right"/>
            </w:pPr>
            <w:r>
              <w:t xml:space="preserve">2,506</w:t>
            </w:r>
          </w:p>
        </w:tc>
      </w:tr>
      <w:tr>
        <w:tc>
          <w:tcPr/>
          <w:p>
            <w:pPr>
              <w:pStyle w:val="Compact"/>
              <w:jc w:val="left"/>
            </w:pPr>
            <w:r>
              <w:t xml:space="preserve">Reinforcing steel (whole plant)</w:t>
            </w:r>
          </w:p>
        </w:tc>
        <w:tc>
          <w:tcPr/>
          <w:p>
            <w:pPr>
              <w:pStyle w:val="Compact"/>
              <w:jc w:val="left"/>
            </w:pPr>
            <w:r>
              <w:t xml:space="preserve">3,105 t</w:t>
            </w:r>
          </w:p>
        </w:tc>
        <w:tc>
          <w:tcPr/>
          <w:p>
            <w:pPr>
              <w:pStyle w:val="Compact"/>
              <w:jc w:val="left"/>
            </w:pPr>
            <w:r>
              <w:t xml:space="preserve">0.97 t CO₂e/t</w:t>
            </w:r>
          </w:p>
        </w:tc>
        <w:tc>
          <w:tcPr/>
          <w:p>
            <w:pPr>
              <w:pStyle w:val="Compact"/>
              <w:jc w:val="right"/>
            </w:pPr>
            <w:r>
              <w:t xml:space="preserve">3,012</w:t>
            </w:r>
          </w:p>
        </w:tc>
      </w:tr>
      <w:tr>
        <w:tc>
          <w:tcPr/>
          <w:p>
            <w:pPr>
              <w:pStyle w:val="Compact"/>
              <w:jc w:val="left"/>
            </w:pPr>
            <w:r>
              <w:t xml:space="preserve">Plate, structural and equipment steel (incl. DPSC faceplates)</w:t>
            </w:r>
          </w:p>
        </w:tc>
        <w:tc>
          <w:tcPr/>
          <w:p>
            <w:pPr>
              <w:pStyle w:val="Compact"/>
              <w:jc w:val="left"/>
            </w:pPr>
            <w:r>
              <w:t xml:space="preserve">6,795 t</w:t>
            </w:r>
          </w:p>
        </w:tc>
        <w:tc>
          <w:tcPr/>
          <w:p>
            <w:pPr>
              <w:pStyle w:val="Compact"/>
              <w:jc w:val="left"/>
            </w:pPr>
            <w:r>
              <w:t xml:space="preserve">1.73 t CO₂e/t</w:t>
            </w:r>
          </w:p>
        </w:tc>
        <w:tc>
          <w:tcPr/>
          <w:p>
            <w:pPr>
              <w:pStyle w:val="Compact"/>
              <w:jc w:val="right"/>
            </w:pPr>
            <w:r>
              <w:t xml:space="preserve">11,755</w:t>
            </w:r>
          </w:p>
        </w:tc>
      </w:tr>
      <w:tr>
        <w:tc>
          <w:tcPr/>
          <w:p>
            <w:pPr>
              <w:pStyle w:val="Compact"/>
              <w:jc w:val="left"/>
            </w:pPr>
            <w:r>
              <w:t xml:space="preserve">Transport to site</w:t>
            </w:r>
          </w:p>
        </w:tc>
        <w:tc>
          <w:tcPr/>
          <w:p>
            <w:pPr>
              <w:pStyle w:val="Compact"/>
              <w:jc w:val="left"/>
            </w:pPr>
            <w:r>
              <w:t xml:space="preserve">—</w:t>
            </w:r>
          </w:p>
        </w:tc>
        <w:tc>
          <w:tcPr/>
          <w:p>
            <w:pPr>
              <w:pStyle w:val="Compact"/>
              <w:jc w:val="left"/>
            </w:pPr>
            <w:r>
              <w:t xml:space="preserve">0.10 kg CO₂e/t-km</w:t>
            </w:r>
          </w:p>
        </w:tc>
        <w:tc>
          <w:tcPr/>
          <w:p>
            <w:pPr>
              <w:pStyle w:val="Compact"/>
              <w:jc w:val="right"/>
            </w:pPr>
            <w:r>
              <w:t xml:space="preserve">570</w:t>
            </w:r>
          </w:p>
        </w:tc>
      </w:tr>
      <w:tr>
        <w:tc>
          <w:tcPr/>
          <w:p>
            <w:pPr>
              <w:pStyle w:val="Compact"/>
              <w:jc w:val="left"/>
            </w:pPr>
            <w:r>
              <w:t xml:space="preserve">Other materials and site energy</w:t>
            </w:r>
          </w:p>
        </w:tc>
        <w:tc>
          <w:tcPr/>
          <w:p>
            <w:pPr>
              <w:pStyle w:val="Compact"/>
              <w:jc w:val="left"/>
            </w:pPr>
            <w:r>
              <w:t xml:space="preserve">—</w:t>
            </w:r>
          </w:p>
        </w:tc>
        <w:tc>
          <w:tcPr/>
          <w:p>
            <w:pPr>
              <w:pStyle w:val="Compact"/>
              <w:jc w:val="left"/>
            </w:pPr>
            <w:r>
              <w:t xml:space="preserve">+50% of the above</w:t>
            </w:r>
          </w:p>
        </w:tc>
        <w:tc>
          <w:tcPr/>
          <w:p>
            <w:pPr>
              <w:pStyle w:val="Compact"/>
              <w:jc w:val="right"/>
            </w:pPr>
            <w:r>
              <w:t xml:space="preserve">11,460</w:t>
            </w:r>
          </w:p>
        </w:tc>
      </w:tr>
      <w:tr>
        <w:tc>
          <w:tcPr/>
          <w:p>
            <w:pPr>
              <w:pStyle w:val="Compact"/>
              <w:jc w:val="left"/>
            </w:pPr>
            <w:r>
              <w:rPr>
                <w:bCs/>
                <w:b/>
              </w:rPr>
              <w:t xml:space="preserve">Construction total</w:t>
            </w:r>
          </w:p>
        </w:tc>
        <w:tc>
          <w:tcPr/>
          <w:p>
            <w:pPr>
              <w:pStyle w:val="Compact"/>
            </w:pPr>
          </w:p>
        </w:tc>
        <w:tc>
          <w:tcPr/>
          <w:p>
            <w:pPr>
              <w:pStyle w:val="Compact"/>
            </w:pPr>
          </w:p>
        </w:tc>
        <w:tc>
          <w:tcPr/>
          <w:p>
            <w:pPr>
              <w:pStyle w:val="Compact"/>
              <w:jc w:val="right"/>
            </w:pPr>
            <w:r>
              <w:rPr>
                <w:bCs/>
                <w:b/>
              </w:rPr>
              <w:t xml:space="preserve">34,381</w:t>
            </w:r>
          </w:p>
        </w:tc>
      </w:tr>
    </w:tbl>
    <w:bookmarkEnd w:id="57"/>
    <w:bookmarkStart w:id="58" w:name="a8.-fuel-cycle-and-life-cycle-total"/>
    <w:p>
      <w:pPr>
        <w:pStyle w:val="Heading3"/>
      </w:pPr>
      <w:r>
        <w:t xml:space="preserve">A8. Fuel cycle and life-cycle total</w:t>
      </w:r>
    </w:p>
    <w:p>
      <w:pPr>
        <w:pStyle w:val="FirstParagraph"/>
      </w:pPr>
      <w:r>
        <w:rPr>
          <w:bCs/>
          <w:b/>
        </w:rPr>
        <w:t xml:space="preserve">Result.</w:t>
      </w:r>
      <w:r>
        <w:t xml:space="preserve"> </w:t>
      </w:r>
      <w:r>
        <w:t xml:space="preserve">The fuel front end emits 1.46 g/kWh in the mode case (54%) and 2.75 g/kWh on the expected basis (64%, Appendix C4). Four units need about 196 t of natural uranium and 138 tSWU a year.</w:t>
      </w:r>
    </w:p>
    <w:p>
      <w:pPr>
        <w:pStyle w:val="BodyText"/>
      </w:pPr>
      <w:r>
        <w:t xml:space="preserve">Mass balance (inputs: burnup B = 45 GWd/t [placeholder, assumption]; product assay x_p = 3.8% U-235 [placeholder; [TODO: authors], 2025]; feed x_f = 0.711%; tails x_t = 0.25% [assumption]):</w:t>
      </w:r>
      <w:r>
        <w:t xml:space="preserve"> </w:t>
      </w:r>
      <w:r>
        <w:t xml:space="preserve">- Electricity per kg of enriched uranium = B × 24,000 kWh_th per kg per (GWd/t) × η = 45 × 24,000 × 0.345 = 372,414 kWh, so</w:t>
      </w:r>
      <w:r>
        <w:t xml:space="preserve"> </w:t>
      </w:r>
      <w:r>
        <w:rPr>
          <w:bCs/>
          <w:b/>
        </w:rPr>
        <w:t xml:space="preserve">2.685 g enriched U per MWh</w:t>
      </w:r>
      <w:r>
        <w:t xml:space="preserve">.</w:t>
      </w:r>
      <w:r>
        <w:t xml:space="preserve"> </w:t>
      </w:r>
      <w:r>
        <w:t xml:space="preserve">- Feed factor F = (x_p − x_t) / (x_f − x_t) = (3.8 − 0.25) / (0.711 − 0.25) =</w:t>
      </w:r>
      <w:r>
        <w:t xml:space="preserve"> </w:t>
      </w:r>
      <w:r>
        <w:rPr>
          <w:bCs/>
          <w:b/>
        </w:rPr>
        <w:t xml:space="preserve">7.70</w:t>
      </w:r>
      <w:r>
        <w:t xml:space="preserve">, so</w:t>
      </w:r>
      <w:r>
        <w:t xml:space="preserve"> </w:t>
      </w:r>
      <w:r>
        <w:rPr>
          <w:bCs/>
          <w:b/>
        </w:rPr>
        <w:t xml:space="preserve">20.68 g natural U per MWh</w:t>
      </w:r>
      <w:r>
        <w:t xml:space="preserve">.</w:t>
      </w:r>
      <w:r>
        <w:t xml:space="preserve"> </w:t>
      </w:r>
      <w:r>
        <w:t xml:space="preserve">- Separative work per kg of product = V(x_p) + (F − 1) V(x_t) − F V(x_f), with V(x) = (2x − 1) ln[x / (1 − x)]: 2.986 + 6.70 × 5.959 − 7.70 × 4.869 =</w:t>
      </w:r>
      <w:r>
        <w:t xml:space="preserve"> </w:t>
      </w:r>
      <w:r>
        <w:rPr>
          <w:bCs/>
          <w:b/>
        </w:rPr>
        <w:t xml:space="preserve">5.42 SWU/kg</w:t>
      </w:r>
      <w:r>
        <w:t xml:space="preserve">, so</w:t>
      </w:r>
      <w:r>
        <w:t xml:space="preserve"> </w:t>
      </w:r>
      <w:r>
        <w:rPr>
          <w:bCs/>
          <w:b/>
        </w:rPr>
        <w:t xml:space="preserve">0.0146 SWU per MWh</w:t>
      </w:r>
      <w:r>
        <w:t xml:space="preserve">.</w:t>
      </w:r>
      <w:r>
        <w:t xml:space="preserve"> </w:t>
      </w:r>
      <w:r>
        <w:t xml:space="preserve">- U₃O₈ to uranium: 3 × 238.03 / (3 × 238.03 + 8 × 16.00) = 0.848 kg U per kg U₃O₈.</w:t>
      </w:r>
    </w:p>
    <w:p>
      <w:pPr>
        <w:pStyle w:val="BodyText"/>
      </w:pPr>
      <w:r>
        <w:t xml:space="preserve">Stage emissions, kg CO₂e per MWh (= g/kWh), mode case:</w:t>
      </w:r>
      <w:r>
        <w:t xml:space="preserve"> </w:t>
      </w:r>
      <w:r>
        <w:t xml:space="preserve">- Mining and milling = 0.02068 kg U/MWh × 42 / 0.848 = 0.02068 × 49.5 =</w:t>
      </w:r>
      <w:r>
        <w:t xml:space="preserve"> </w:t>
      </w:r>
      <w:r>
        <w:rPr>
          <w:bCs/>
          <w:b/>
        </w:rPr>
        <w:t xml:space="preserve">1.024</w:t>
      </w:r>
      <w:r>
        <w:t xml:space="preserve">.</w:t>
      </w:r>
      <w:r>
        <w:t xml:space="preserve"> </w:t>
      </w:r>
      <w:r>
        <w:t xml:space="preserve">- Conversion = 0.02068 × (11.8 kWh × 0.0738 + 26 kWh × 0.202) = 0.02068 × 6.12 =</w:t>
      </w:r>
      <w:r>
        <w:t xml:space="preserve"> </w:t>
      </w:r>
      <w:r>
        <w:rPr>
          <w:bCs/>
          <w:b/>
        </w:rPr>
        <w:t xml:space="preserve">0.127</w:t>
      </w:r>
      <w:r>
        <w:t xml:space="preserve">.</w:t>
      </w:r>
      <w:r>
        <w:t xml:space="preserve"> </w:t>
      </w:r>
      <w:r>
        <w:t xml:space="preserve">- Enrichment = 0.002685 × 5.42 × 50 kWh/SWU × 0.373 =</w:t>
      </w:r>
      <w:r>
        <w:t xml:space="preserve"> </w:t>
      </w:r>
      <w:r>
        <w:rPr>
          <w:bCs/>
          <w:b/>
        </w:rPr>
        <w:t xml:space="preserve">0.272</w:t>
      </w:r>
      <w:r>
        <w:t xml:space="preserve">.</w:t>
      </w:r>
      <w:r>
        <w:t xml:space="preserve"> </w:t>
      </w:r>
      <w:r>
        <w:t xml:space="preserve">- Fabrication = 0.002685 × 36 kWh × 0.373 =</w:t>
      </w:r>
      <w:r>
        <w:t xml:space="preserve"> </w:t>
      </w:r>
      <w:r>
        <w:rPr>
          <w:bCs/>
          <w:b/>
        </w:rPr>
        <w:t xml:space="preserve">0.036</w:t>
      </w:r>
      <w:r>
        <w:t xml:space="preserve">.</w:t>
      </w:r>
    </w:p>
    <w:p>
      <w:pPr>
        <w:pStyle w:val="BodyText"/>
      </w:pPr>
      <w:r>
        <w:rPr>
          <w:iCs/>
          <w:i/>
        </w:rPr>
        <w:t xml:space="preserve">Table A8. Fuel demand.</w:t>
      </w:r>
      <w:r>
        <w:t xml:space="preserve"> </w:t>
      </w:r>
      <w:r>
        <w:rPr>
          <w:iCs/>
          <w:i/>
        </w:rPr>
        <w:t xml:space="preserve">Source:</w:t>
      </w:r>
      <w:r>
        <w:rPr>
          <w:iCs/>
          <w:i/>
        </w:rPr>
        <w:t xml:space="preserve"> </w:t>
      </w:r>
      <w:r>
        <w:rPr>
          <w:rStyle w:val="VerbatimChar"/>
          <w:iCs/>
          <w:i/>
        </w:rPr>
        <w:t xml:space="preserve">results/lca_baseline.md</w:t>
      </w:r>
      <w:r>
        <w:rPr>
          <w:iCs/>
          <w:i/>
        </w:rPr>
        <w:t xml:space="preserve">. Inputs are placeholders until Leroy supplies BWRX-300 fuel data.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Quantity</w:t>
            </w:r>
          </w:p>
        </w:tc>
        <w:tc>
          <w:tcPr/>
          <w:p>
            <w:pPr>
              <w:pStyle w:val="Compact"/>
              <w:jc w:val="right"/>
            </w:pPr>
            <w:r>
              <w:t xml:space="preserve">Per MWh</w:t>
            </w:r>
          </w:p>
        </w:tc>
        <w:tc>
          <w:tcPr/>
          <w:p>
            <w:pPr>
              <w:pStyle w:val="Compact"/>
              <w:jc w:val="right"/>
            </w:pPr>
            <w:r>
              <w:t xml:space="preserve">One unit per year</w:t>
            </w:r>
          </w:p>
        </w:tc>
        <w:tc>
          <w:tcPr/>
          <w:p>
            <w:pPr>
              <w:pStyle w:val="Compact"/>
              <w:jc w:val="right"/>
            </w:pPr>
            <w:r>
              <w:t xml:space="preserve">Four units per year</w:t>
            </w:r>
          </w:p>
        </w:tc>
      </w:tr>
      <w:tr>
        <w:tc>
          <w:tcPr/>
          <w:p>
            <w:pPr>
              <w:pStyle w:val="Compact"/>
              <w:jc w:val="left"/>
            </w:pPr>
            <w:r>
              <w:t xml:space="preserve">Enriched uranium</w:t>
            </w:r>
          </w:p>
        </w:tc>
        <w:tc>
          <w:tcPr/>
          <w:p>
            <w:pPr>
              <w:pStyle w:val="Compact"/>
              <w:jc w:val="right"/>
            </w:pPr>
            <w:r>
              <w:t xml:space="preserve">2.685 g</w:t>
            </w:r>
          </w:p>
        </w:tc>
        <w:tc>
          <w:tcPr/>
          <w:p>
            <w:pPr>
              <w:pStyle w:val="Compact"/>
              <w:jc w:val="right"/>
            </w:pPr>
            <w:r>
              <w:t xml:space="preserve">6.35 t U</w:t>
            </w:r>
          </w:p>
        </w:tc>
        <w:tc>
          <w:tcPr/>
          <w:p>
            <w:pPr>
              <w:pStyle w:val="Compact"/>
              <w:jc w:val="right"/>
            </w:pPr>
            <w:r>
              <w:t xml:space="preserve">25.4 t U</w:t>
            </w:r>
          </w:p>
        </w:tc>
      </w:tr>
      <w:tr>
        <w:tc>
          <w:tcPr/>
          <w:p>
            <w:pPr>
              <w:pStyle w:val="Compact"/>
              <w:jc w:val="left"/>
            </w:pPr>
            <w:r>
              <w:t xml:space="preserve">Natural uranium</w:t>
            </w:r>
          </w:p>
        </w:tc>
        <w:tc>
          <w:tcPr/>
          <w:p>
            <w:pPr>
              <w:pStyle w:val="Compact"/>
              <w:jc w:val="right"/>
            </w:pPr>
            <w:r>
              <w:t xml:space="preserve">20.68 g</w:t>
            </w:r>
          </w:p>
        </w:tc>
        <w:tc>
          <w:tcPr/>
          <w:p>
            <w:pPr>
              <w:pStyle w:val="Compact"/>
              <w:jc w:val="right"/>
            </w:pPr>
            <w:r>
              <w:t xml:space="preserve">48.9 t U</w:t>
            </w:r>
          </w:p>
        </w:tc>
        <w:tc>
          <w:tcPr/>
          <w:p>
            <w:pPr>
              <w:pStyle w:val="Compact"/>
              <w:jc w:val="right"/>
            </w:pPr>
            <w:r>
              <w:t xml:space="preserve">195.6 t U</w:t>
            </w:r>
          </w:p>
        </w:tc>
      </w:tr>
      <w:tr>
        <w:tc>
          <w:tcPr/>
          <w:p>
            <w:pPr>
              <w:pStyle w:val="Compact"/>
              <w:jc w:val="left"/>
            </w:pPr>
            <w:r>
              <w:t xml:space="preserve">Separative work</w:t>
            </w:r>
          </w:p>
        </w:tc>
        <w:tc>
          <w:tcPr/>
          <w:p>
            <w:pPr>
              <w:pStyle w:val="Compact"/>
              <w:jc w:val="right"/>
            </w:pPr>
            <w:r>
              <w:t xml:space="preserve">0.0146 SWU</w:t>
            </w:r>
          </w:p>
        </w:tc>
        <w:tc>
          <w:tcPr/>
          <w:p>
            <w:pPr>
              <w:pStyle w:val="Compact"/>
              <w:jc w:val="right"/>
            </w:pPr>
            <w:r>
              <w:t xml:space="preserve">34.4 tSWU</w:t>
            </w:r>
          </w:p>
        </w:tc>
        <w:tc>
          <w:tcPr/>
          <w:p>
            <w:pPr>
              <w:pStyle w:val="Compact"/>
              <w:jc w:val="right"/>
            </w:pPr>
            <w:r>
              <w:t xml:space="preserve">137.7 tSWU</w:t>
            </w:r>
          </w:p>
        </w:tc>
      </w:tr>
    </w:tbl>
    <w:p>
      <w:pPr>
        <w:pStyle w:val="BodyText"/>
      </w:pPr>
      <w:r>
        <w:rPr>
          <w:iCs/>
          <w:i/>
        </w:rPr>
        <w:t xml:space="preserve">Table A9. Life-cycle emissions by stage, mode case (every input at its central value).</w:t>
      </w:r>
      <w:r>
        <w:t xml:space="preserve"> </w:t>
      </w:r>
      <w:r>
        <w:rPr>
          <w:iCs/>
          <w:i/>
        </w:rPr>
        <w:t xml:space="preserve">Source:</w:t>
      </w:r>
      <w:r>
        <w:rPr>
          <w:iCs/>
          <w:i/>
        </w:rPr>
        <w:t xml:space="preserve"> </w:t>
      </w:r>
      <w:r>
        <w:rPr>
          <w:rStyle w:val="VerbatimChar"/>
          <w:iCs/>
          <w:i/>
        </w:rPr>
        <w:t xml:space="preserve">results/lca_baseline.md</w:t>
      </w:r>
      <w:r>
        <w:rPr>
          <w:iCs/>
          <w:i/>
        </w:rPr>
        <w:t xml:space="preserve">. The expected-value breakdown quoted in §6 is in Appendix C4.</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Stage</w:t>
            </w:r>
          </w:p>
        </w:tc>
        <w:tc>
          <w:tcPr/>
          <w:p>
            <w:pPr>
              <w:pStyle w:val="Compact"/>
              <w:jc w:val="right"/>
            </w:pPr>
            <w:r>
              <w:t xml:space="preserve">g CO₂e/kWh</w:t>
            </w:r>
          </w:p>
        </w:tc>
        <w:tc>
          <w:tcPr/>
          <w:p>
            <w:pPr>
              <w:pStyle w:val="Compact"/>
              <w:jc w:val="right"/>
            </w:pPr>
            <w:r>
              <w:t xml:space="preserve">t CO₂e per unit (life)</w:t>
            </w:r>
          </w:p>
        </w:tc>
        <w:tc>
          <w:tcPr/>
          <w:p>
            <w:pPr>
              <w:pStyle w:val="Compact"/>
              <w:jc w:val="right"/>
            </w:pPr>
            <w:r>
              <w:t xml:space="preserve">Share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145,336</w:t>
            </w:r>
          </w:p>
        </w:tc>
        <w:tc>
          <w:tcPr/>
          <w:p>
            <w:pPr>
              <w:pStyle w:val="Compact"/>
              <w:jc w:val="right"/>
            </w:pPr>
            <w:r>
              <w:t xml:space="preserve">37.9%</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79,471</w:t>
            </w:r>
          </w:p>
        </w:tc>
        <w:tc>
          <w:tcPr/>
          <w:p>
            <w:pPr>
              <w:pStyle w:val="Compact"/>
              <w:jc w:val="right"/>
            </w:pPr>
            <w:r>
              <w:t xml:space="preserve">20.7%</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46,831</w:t>
            </w:r>
          </w:p>
        </w:tc>
        <w:tc>
          <w:tcPr/>
          <w:p>
            <w:pPr>
              <w:pStyle w:val="Compact"/>
              <w:jc w:val="right"/>
            </w:pPr>
            <w:r>
              <w:t xml:space="preserve">12.2%</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38,530</w:t>
            </w:r>
          </w:p>
        </w:tc>
        <w:tc>
          <w:tcPr/>
          <w:p>
            <w:pPr>
              <w:pStyle w:val="Compact"/>
              <w:jc w:val="right"/>
            </w:pPr>
            <w:r>
              <w:t xml:space="preserve">10.1%</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17,967</w:t>
            </w:r>
          </w:p>
        </w:tc>
        <w:tc>
          <w:tcPr/>
          <w:p>
            <w:pPr>
              <w:pStyle w:val="Compact"/>
              <w:jc w:val="right"/>
            </w:pPr>
            <w:r>
              <w:t xml:space="preserve">4.7%</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15,610</w:t>
            </w:r>
          </w:p>
        </w:tc>
        <w:tc>
          <w:tcPr/>
          <w:p>
            <w:pPr>
              <w:pStyle w:val="Compact"/>
              <w:jc w:val="right"/>
            </w:pPr>
            <w:r>
              <w:t xml:space="preserve">4.1%</w:t>
            </w:r>
          </w:p>
        </w:tc>
      </w:tr>
      <w:tr>
        <w:tc>
          <w:tcPr/>
          <w:p>
            <w:pPr>
              <w:pStyle w:val="Compact"/>
              <w:jc w:val="left"/>
            </w:pPr>
            <w:r>
              <w:t xml:space="preserve">Construction: plate, structural and equipment steel</w:t>
            </w:r>
          </w:p>
        </w:tc>
        <w:tc>
          <w:tcPr/>
          <w:p>
            <w:pPr>
              <w:pStyle w:val="Compact"/>
              <w:jc w:val="right"/>
            </w:pPr>
            <w:r>
              <w:t xml:space="preserve">0.083</w:t>
            </w:r>
          </w:p>
        </w:tc>
        <w:tc>
          <w:tcPr/>
          <w:p>
            <w:pPr>
              <w:pStyle w:val="Compact"/>
              <w:jc w:val="right"/>
            </w:pPr>
            <w:r>
              <w:t xml:space="preserve">11,755</w:t>
            </w:r>
          </w:p>
        </w:tc>
        <w:tc>
          <w:tcPr/>
          <w:p>
            <w:pPr>
              <w:pStyle w:val="Compact"/>
              <w:jc w:val="right"/>
            </w:pPr>
            <w:r>
              <w:t xml:space="preserve">3.1%</w:t>
            </w:r>
          </w:p>
        </w:tc>
      </w:tr>
      <w:tr>
        <w:tc>
          <w:tcPr/>
          <w:p>
            <w:pPr>
              <w:pStyle w:val="Compact"/>
              <w:jc w:val="left"/>
            </w:pPr>
            <w:r>
              <w:t xml:space="preserve">Construction: other materials and site energy</w:t>
            </w:r>
          </w:p>
        </w:tc>
        <w:tc>
          <w:tcPr/>
          <w:p>
            <w:pPr>
              <w:pStyle w:val="Compact"/>
              <w:jc w:val="right"/>
            </w:pPr>
            <w:r>
              <w:t xml:space="preserve">0.081</w:t>
            </w:r>
          </w:p>
        </w:tc>
        <w:tc>
          <w:tcPr/>
          <w:p>
            <w:pPr>
              <w:pStyle w:val="Compact"/>
              <w:jc w:val="right"/>
            </w:pPr>
            <w:r>
              <w:t xml:space="preserve">11,460</w:t>
            </w:r>
          </w:p>
        </w:tc>
        <w:tc>
          <w:tcPr/>
          <w:p>
            <w:pPr>
              <w:pStyle w:val="Compact"/>
              <w:jc w:val="right"/>
            </w:pPr>
            <w:r>
              <w:t xml:space="preserve">3.0%</w:t>
            </w:r>
          </w:p>
        </w:tc>
      </w:tr>
      <w:tr>
        <w:tc>
          <w:tcPr/>
          <w:p>
            <w:pPr>
              <w:pStyle w:val="Compact"/>
              <w:jc w:val="left"/>
            </w:pPr>
            <w:r>
              <w:t xml:space="preserve">Construction: concrete</w:t>
            </w:r>
          </w:p>
        </w:tc>
        <w:tc>
          <w:tcPr/>
          <w:p>
            <w:pPr>
              <w:pStyle w:val="Compact"/>
              <w:jc w:val="right"/>
            </w:pPr>
            <w:r>
              <w:t xml:space="preserve">0.053</w:t>
            </w:r>
          </w:p>
        </w:tc>
        <w:tc>
          <w:tcPr/>
          <w:p>
            <w:pPr>
              <w:pStyle w:val="Compact"/>
              <w:jc w:val="right"/>
            </w:pPr>
            <w:r>
              <w:t xml:space="preserve">7,584</w:t>
            </w:r>
          </w:p>
        </w:tc>
        <w:tc>
          <w:tcPr/>
          <w:p>
            <w:pPr>
              <w:pStyle w:val="Compact"/>
              <w:jc w:val="right"/>
            </w:pPr>
            <w:r>
              <w:t xml:space="preserve">2.0%</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5,117</w:t>
            </w:r>
          </w:p>
        </w:tc>
        <w:tc>
          <w:tcPr/>
          <w:p>
            <w:pPr>
              <w:pStyle w:val="Compact"/>
              <w:jc w:val="right"/>
            </w:pPr>
            <w:r>
              <w:t xml:space="preserve">1.3%</w:t>
            </w:r>
          </w:p>
        </w:tc>
      </w:tr>
      <w:tr>
        <w:tc>
          <w:tcPr/>
          <w:p>
            <w:pPr>
              <w:pStyle w:val="Compact"/>
              <w:jc w:val="left"/>
            </w:pPr>
            <w:r>
              <w:t xml:space="preserve">Construction: rebar</w:t>
            </w:r>
          </w:p>
        </w:tc>
        <w:tc>
          <w:tcPr/>
          <w:p>
            <w:pPr>
              <w:pStyle w:val="Compact"/>
              <w:jc w:val="right"/>
            </w:pPr>
            <w:r>
              <w:t xml:space="preserve">0.021</w:t>
            </w:r>
          </w:p>
        </w:tc>
        <w:tc>
          <w:tcPr/>
          <w:p>
            <w:pPr>
              <w:pStyle w:val="Compact"/>
              <w:jc w:val="right"/>
            </w:pPr>
            <w:r>
              <w:t xml:space="preserve">3,012</w:t>
            </w:r>
          </w:p>
        </w:tc>
        <w:tc>
          <w:tcPr/>
          <w:p>
            <w:pPr>
              <w:pStyle w:val="Compact"/>
              <w:jc w:val="right"/>
            </w:pPr>
            <w:r>
              <w:t xml:space="preserve">0.8%</w:t>
            </w:r>
          </w:p>
        </w:tc>
      </w:tr>
      <w:tr>
        <w:tc>
          <w:tcPr/>
          <w:p>
            <w:pPr>
              <w:pStyle w:val="Compact"/>
              <w:jc w:val="left"/>
            </w:pPr>
            <w:r>
              <w:t xml:space="preserve">Construction: transport to site</w:t>
            </w:r>
          </w:p>
        </w:tc>
        <w:tc>
          <w:tcPr/>
          <w:p>
            <w:pPr>
              <w:pStyle w:val="Compact"/>
              <w:jc w:val="right"/>
            </w:pPr>
            <w:r>
              <w:t xml:space="preserve">0.004</w:t>
            </w:r>
          </w:p>
        </w:tc>
        <w:tc>
          <w:tcPr/>
          <w:p>
            <w:pPr>
              <w:pStyle w:val="Compact"/>
              <w:jc w:val="right"/>
            </w:pPr>
            <w:r>
              <w:t xml:space="preserve">570</w:t>
            </w:r>
          </w:p>
        </w:tc>
        <w:tc>
          <w:tcPr/>
          <w:p>
            <w:pPr>
              <w:pStyle w:val="Compact"/>
              <w:jc w:val="right"/>
            </w:pPr>
            <w:r>
              <w:t xml:space="preserve">0.1%</w:t>
            </w:r>
          </w:p>
        </w:tc>
      </w:tr>
      <w:tr>
        <w:tc>
          <w:tcPr/>
          <w:p>
            <w:pPr>
              <w:pStyle w:val="Compact"/>
              <w:jc w:val="left"/>
            </w:pPr>
            <w:r>
              <w:rPr>
                <w:bCs/>
                <w:b/>
              </w:rPr>
              <w:t xml:space="preserve">Total</w:t>
            </w:r>
          </w:p>
        </w:tc>
        <w:tc>
          <w:tcPr/>
          <w:p>
            <w:pPr>
              <w:pStyle w:val="Compact"/>
              <w:jc w:val="right"/>
            </w:pPr>
            <w:r>
              <w:rPr>
                <w:bCs/>
                <w:b/>
              </w:rPr>
              <w:t xml:space="preserve">2.701</w:t>
            </w:r>
          </w:p>
        </w:tc>
        <w:tc>
          <w:tcPr/>
          <w:p>
            <w:pPr>
              <w:pStyle w:val="Compact"/>
              <w:jc w:val="right"/>
            </w:pPr>
            <w:r>
              <w:rPr>
                <w:bCs/>
                <w:b/>
              </w:rPr>
              <w:t xml:space="preserve">383,243</w:t>
            </w:r>
          </w:p>
        </w:tc>
        <w:tc>
          <w:tcPr/>
          <w:p>
            <w:pPr>
              <w:pStyle w:val="Compact"/>
              <w:jc w:val="right"/>
            </w:pPr>
            <w:r>
              <w:rPr>
                <w:bCs/>
                <w:b/>
              </w:rPr>
              <w:t xml:space="preserve">100%</w:t>
            </w:r>
          </w:p>
        </w:tc>
      </w:tr>
      <w:tr>
        <w:tc>
          <w:tcPr/>
          <w:p>
            <w:pPr>
              <w:pStyle w:val="Compact"/>
              <w:jc w:val="left"/>
            </w:pPr>
            <w:r>
              <w:rPr>
                <w:iCs/>
                <w:i/>
              </w:rPr>
              <w:t xml:space="preserve">Of which C1 target concrete (DPSC infill + forebay)</w:t>
            </w:r>
          </w:p>
        </w:tc>
        <w:tc>
          <w:tcPr/>
          <w:p>
            <w:pPr>
              <w:pStyle w:val="Compact"/>
              <w:jc w:val="right"/>
            </w:pPr>
            <w:r>
              <w:rPr>
                <w:iCs/>
                <w:i/>
              </w:rPr>
              <w:t xml:space="preserve">0.036</w:t>
            </w:r>
          </w:p>
        </w:tc>
        <w:tc>
          <w:tcPr/>
          <w:p>
            <w:pPr>
              <w:pStyle w:val="Compact"/>
              <w:jc w:val="right"/>
            </w:pPr>
            <w:r>
              <w:rPr>
                <w:iCs/>
                <w:i/>
              </w:rPr>
              <w:t xml:space="preserve">5,078</w:t>
            </w:r>
          </w:p>
        </w:tc>
        <w:tc>
          <w:tcPr/>
          <w:p>
            <w:pPr>
              <w:pStyle w:val="Compact"/>
              <w:jc w:val="right"/>
            </w:pPr>
            <w:r>
              <w:rPr>
                <w:iCs/>
                <w:i/>
              </w:rPr>
              <w:t xml:space="preserve">1.3%</w:t>
            </w:r>
          </w:p>
        </w:tc>
      </w:tr>
    </w:tbl>
    <w:p>
      <w:pPr>
        <w:pStyle w:val="BodyText"/>
      </w:pPr>
      <w:r>
        <w:t xml:space="preserve">Grouped (mode case): fuel front end 1.458 g/kWh (54.0%); back end and decommissioning 0.670 (24.8%); O&amp;M 0.330 (12.2%); construction 0.242 (9.0%).</w:t>
      </w:r>
    </w:p>
    <w:bookmarkEnd w:id="58"/>
    <w:bookmarkStart w:id="59" w:name="Xcbf3e6739bbfec93458e6285538cb024706ce2d"/>
    <w:p>
      <w:pPr>
        <w:pStyle w:val="Heading3"/>
      </w:pPr>
      <w:r>
        <w:t xml:space="preserve">A9. Granta EduPack Eco Audit cross-check [TODO: Granta cross-check, H2 due Thu 12:00; cut if not run]</w:t>
      </w:r>
    </w:p>
    <w:p>
      <w:pPr>
        <w:pStyle w:val="FirstParagraph"/>
      </w:pPr>
      <w:r>
        <w:rPr>
          <w:bCs/>
          <w:b/>
        </w:rPr>
        <w:t xml:space="preserve">Status.</w:t>
      </w:r>
      <w:r>
        <w:t xml:space="preserve"> </w:t>
      </w:r>
      <w:r>
        <w:t xml:space="preserve">A Granta EduPack Eco Audit cross-check of the C1 target structures is set up but</w:t>
      </w:r>
      <w:r>
        <w:t xml:space="preserve"> </w:t>
      </w:r>
      <w:r>
        <w:rPr>
          <w:bCs/>
          <w:b/>
        </w:rPr>
        <w:t xml:space="preserve">has not been run</w:t>
      </w:r>
      <w:r>
        <w:t xml:space="preserve">. Granta runs only on the team’s machines; until the export is saved in</w:t>
      </w:r>
      <w:r>
        <w:t xml:space="preserve"> </w:t>
      </w:r>
      <w:r>
        <w:rPr>
          <w:rStyle w:val="VerbatimChar"/>
        </w:rPr>
        <w:t xml:space="preserve">03_LCA_Calculations/results/granta/</w:t>
      </w:r>
      <w:r>
        <w:t xml:space="preserve">, no number in the report comes from Granta. Purpose: an independent check of the construction-material factors where C1 acts, and the screenshot for this appendix (R2.2).</w:t>
      </w:r>
    </w:p>
    <w:p>
      <w:pPr>
        <w:pStyle w:val="BodyText"/>
      </w:pPr>
      <w:r>
        <w:rPr>
          <w:bCs/>
          <w:b/>
        </w:rPr>
        <w:t xml:space="preserve">Set-up</w:t>
      </w:r>
      <w:r>
        <w:t xml:space="preserve"> </w:t>
      </w:r>
      <w:r>
        <w:t xml:space="preserve">(full instructions in</w:t>
      </w:r>
      <w:r>
        <w:t xml:space="preserve"> </w:t>
      </w:r>
      <w:r>
        <w:rPr>
          <w:rStyle w:val="VerbatimChar"/>
        </w:rPr>
        <w:t xml:space="preserve">results/granta_inputs.md</w:t>
      </w:r>
      <w:r>
        <w:t xml:space="preserve">; under one hour):</w:t>
      </w:r>
      <w:r>
        <w:t xml:space="preserve"> </w:t>
      </w:r>
      <w:r>
        <w:t xml:space="preserve">- Product:</w:t>
      </w:r>
      <w:r>
        <w:t xml:space="preserve"> </w:t>
      </w:r>
      <w:r>
        <w:t xml:space="preserve">“</w:t>
      </w:r>
      <w:r>
        <w:t xml:space="preserve">BWRX-300 Darlington unit, C1 target structures, S0</w:t>
      </w:r>
      <w:r>
        <w:t xml:space="preserve">”</w:t>
      </w:r>
      <w:r>
        <w:t xml:space="preserve">; life 60 years; static (no use-phase energy).</w:t>
      </w:r>
      <w:r>
        <w:t xml:space="preserve"> </w:t>
      </w:r>
      <w:r>
        <w:t xml:space="preserve">- Bill of materials: DPSC infill concrete 21,794 t (9,081 m³ × 2.4 t/m³); forebay concrete 9,600 t; forebay rebar 1,000 t (recycled content from the CRSI EPD [TODO]); DPSC basemat steel 953 t. Shaft-wall module steel is unknown and left out.</w:t>
      </w:r>
      <w:r>
        <w:t xml:space="preserve"> </w:t>
      </w:r>
      <w:r>
        <w:t xml:space="preserve">- Transport: concrete 15 km and steel 500 km by heavy truck.</w:t>
      </w:r>
      <w:r>
        <w:t xml:space="preserve"> </w:t>
      </w:r>
      <w:r>
        <w:t xml:space="preserve">- End of life: concrete downcycled, steel recycled; the end-of-life potential is reported separately and not netted (cut-off approach, §6.1).</w:t>
      </w:r>
      <w:r>
        <w:t xml:space="preserve"> </w:t>
      </w:r>
      <w:r>
        <w:t xml:space="preserve">- Scenarios, if custom materials are allowed: scale the concrete record’s CO₂ footprint by 0.693 (S1) and 0.657 (S2) for the infill, and 0.699 (S1) and 0.664 (S2) for the forebay.</w:t>
      </w:r>
      <w:r>
        <w:t xml:space="preserve"> </w:t>
      </w:r>
      <w:r>
        <w:t xml:space="preserve">- Record: EduPack version, database, date and operator [TODO].</w:t>
      </w:r>
    </w:p>
    <w:p>
      <w:pPr>
        <w:pStyle w:val="BodyText"/>
      </w:pPr>
      <w:r>
        <w:rPr>
          <w:iCs/>
          <w:i/>
        </w:rPr>
        <w:t xml:space="preserve">Table A10. Granta Eco Audit against the model (EN 15804 A1–A3 materials, central case, S0 as defined in A6). No Granta values exist yet; the table is ready to fill from the export. [TODO: Granta cross-check, H2 due Thu 12:00; cut if not run]</w:t>
      </w:r>
      <w:r>
        <w:t xml:space="preserve"> </w:t>
      </w:r>
      <w:r>
        <w:rPr>
          <w:iCs/>
          <w:i/>
        </w:rPr>
        <w:t xml:space="preserve">Source: model values from</w:t>
      </w:r>
      <w:r>
        <w:rPr>
          <w:iCs/>
          <w:i/>
        </w:rPr>
        <w:t xml:space="preserve"> </w:t>
      </w:r>
      <w:r>
        <w:rPr>
          <w:rStyle w:val="VerbatimChar"/>
          <w:iCs/>
          <w:i/>
        </w:rPr>
        <w:t xml:space="preserve">results/granta_inputs.md</w:t>
      </w:r>
      <w:r>
        <w:rPr>
          <w:iCs/>
          <w:i/>
        </w:rPr>
        <w:t xml:space="preserve"> </w:t>
      </w:r>
      <w:r>
        <w:rPr>
          <w:iCs/>
          <w:i/>
        </w:rPr>
        <w:t xml:space="preserve">§7; Granta values [TODO: results pending, H2].</w:t>
      </w:r>
    </w:p>
    <w:tbl>
      <w:tblPr>
        <w:tblStyle w:val="Table"/>
        <w:tblW w:type="pct" w:w="5000"/>
        <w:tblLook w:firstRow="1" w:lastRow="0" w:firstColumn="0" w:lastColumn="0" w:noHBand="0" w:noVBand="0" w:val="0020"/>
        <w:jc w:val="start"/>
      </w:tblPr>
      <w:tblGrid>
        <w:gridCol w:w="1397"/>
        <w:gridCol w:w="1863"/>
        <w:gridCol w:w="1863"/>
        <w:gridCol w:w="1397"/>
        <w:gridCol w:w="1397"/>
      </w:tblGrid>
      <w:tr>
        <w:trPr>
          <w:tblHeader w:val="true"/>
        </w:trPr>
        <w:tc>
          <w:tcPr/>
          <w:p>
            <w:pPr>
              <w:pStyle w:val="Compact"/>
              <w:jc w:val="left"/>
            </w:pPr>
            <w:r>
              <w:t xml:space="preserve">Row</w:t>
            </w:r>
          </w:p>
        </w:tc>
        <w:tc>
          <w:tcPr/>
          <w:p>
            <w:pPr>
              <w:pStyle w:val="Compact"/>
              <w:jc w:val="right"/>
            </w:pPr>
            <w:r>
              <w:t xml:space="preserve">Model t CO₂e</w:t>
            </w:r>
          </w:p>
        </w:tc>
        <w:tc>
          <w:tcPr/>
          <w:p>
            <w:pPr>
              <w:pStyle w:val="Compact"/>
              <w:jc w:val="right"/>
            </w:pPr>
            <w:r>
              <w:t xml:space="preserve">Model kg CO₂e/kg</w:t>
            </w:r>
          </w:p>
        </w:tc>
        <w:tc>
          <w:tcPr/>
          <w:p>
            <w:pPr>
              <w:pStyle w:val="Compact"/>
              <w:jc w:val="left"/>
            </w:pPr>
            <w:r>
              <w:t xml:space="preserve">Granta t CO₂e</w:t>
            </w:r>
          </w:p>
        </w:tc>
        <w:tc>
          <w:tcPr/>
          <w:p>
            <w:pPr>
              <w:pStyle w:val="Compact"/>
              <w:jc w:val="left"/>
            </w:pPr>
            <w:r>
              <w:t xml:space="preserve">Difference</w:t>
            </w:r>
          </w:p>
        </w:tc>
      </w:tr>
      <w:tr>
        <w:tc>
          <w:tcPr/>
          <w:p>
            <w:pPr>
              <w:pStyle w:val="Compact"/>
              <w:jc w:val="left"/>
            </w:pPr>
            <w:r>
              <w:t xml:space="preserve">DPSC infill concrete (S0)</w:t>
            </w:r>
          </w:p>
        </w:tc>
        <w:tc>
          <w:tcPr/>
          <w:p>
            <w:pPr>
              <w:pStyle w:val="Compact"/>
              <w:jc w:val="right"/>
            </w:pPr>
            <w:r>
              <w:t xml:space="preserve">3,762</w:t>
            </w:r>
          </w:p>
        </w:tc>
        <w:tc>
          <w:tcPr/>
          <w:p>
            <w:pPr>
              <w:pStyle w:val="Compact"/>
              <w:jc w:val="right"/>
            </w:pPr>
            <w:r>
              <w:t xml:space="preserve">0.173</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Forebay concrete (S0)</w:t>
            </w:r>
          </w:p>
        </w:tc>
        <w:tc>
          <w:tcPr/>
          <w:p>
            <w:pPr>
              <w:pStyle w:val="Compact"/>
              <w:jc w:val="right"/>
            </w:pPr>
            <w:r>
              <w:t xml:space="preserve">1,316</w:t>
            </w:r>
          </w:p>
        </w:tc>
        <w:tc>
          <w:tcPr/>
          <w:p>
            <w:pPr>
              <w:pStyle w:val="Compact"/>
              <w:jc w:val="right"/>
            </w:pPr>
            <w:r>
              <w:t xml:space="preserve">0.137</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Forebay rebar</w:t>
            </w:r>
          </w:p>
        </w:tc>
        <w:tc>
          <w:tcPr/>
          <w:p>
            <w:pPr>
              <w:pStyle w:val="Compact"/>
              <w:jc w:val="right"/>
            </w:pPr>
            <w:r>
              <w:t xml:space="preserve">970</w:t>
            </w:r>
          </w:p>
        </w:tc>
        <w:tc>
          <w:tcPr/>
          <w:p>
            <w:pPr>
              <w:pStyle w:val="Compact"/>
              <w:jc w:val="right"/>
            </w:pPr>
            <w:r>
              <w:t xml:space="preserve">0.97</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DPSC basemat steel</w:t>
            </w:r>
          </w:p>
        </w:tc>
        <w:tc>
          <w:tcPr/>
          <w:p>
            <w:pPr>
              <w:pStyle w:val="Compact"/>
              <w:jc w:val="right"/>
            </w:pPr>
            <w:r>
              <w:t xml:space="preserve">1,649</w:t>
            </w:r>
          </w:p>
        </w:tc>
        <w:tc>
          <w:tcPr/>
          <w:p>
            <w:pPr>
              <w:pStyle w:val="Compact"/>
              <w:jc w:val="right"/>
            </w:pPr>
            <w:r>
              <w:t xml:space="preserve">1.73</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rPr>
                <w:bCs/>
                <w:b/>
              </w:rPr>
              <w:t xml:space="preserve">Total, materials</w:t>
            </w:r>
          </w:p>
        </w:tc>
        <w:tc>
          <w:tcPr/>
          <w:p>
            <w:pPr>
              <w:pStyle w:val="Compact"/>
              <w:jc w:val="right"/>
            </w:pPr>
            <w:r>
              <w:rPr>
                <w:bCs/>
                <w:b/>
              </w:rPr>
              <w:t xml:space="preserve">7,697</w:t>
            </w:r>
          </w:p>
        </w:tc>
        <w:tc>
          <w:tcPr/>
          <w:p>
            <w:pPr>
              <w:pStyle w:val="Compact"/>
            </w:pP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Transport</w:t>
            </w:r>
          </w:p>
        </w:tc>
        <w:tc>
          <w:tcPr/>
          <w:p>
            <w:pPr>
              <w:pStyle w:val="Compact"/>
              <w:jc w:val="right"/>
            </w:pPr>
            <w:r>
              <w:t xml:space="preserve">about 145</w:t>
            </w:r>
          </w:p>
        </w:tc>
        <w:tc>
          <w:tcPr/>
          <w:p>
            <w:pPr>
              <w:pStyle w:val="Compact"/>
            </w:pP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S2 LC3 saving, concrete rows</w:t>
            </w:r>
          </w:p>
        </w:tc>
        <w:tc>
          <w:tcPr/>
          <w:p>
            <w:pPr>
              <w:pStyle w:val="Compact"/>
              <w:jc w:val="right"/>
            </w:pPr>
            <w:r>
              <w:t xml:space="preserve">1,734</w:t>
            </w:r>
          </w:p>
        </w:tc>
        <w:tc>
          <w:tcPr/>
          <w:p>
            <w:pPr>
              <w:pStyle w:val="Compact"/>
            </w:pPr>
          </w:p>
        </w:tc>
        <w:tc>
          <w:tcPr/>
          <w:p>
            <w:pPr>
              <w:pStyle w:val="Compact"/>
              <w:jc w:val="left"/>
            </w:pPr>
            <w:r>
              <w:t xml:space="preserve">[TODO: results pending]</w:t>
            </w:r>
          </w:p>
        </w:tc>
        <w:tc>
          <w:tcPr/>
          <w:p>
            <w:pPr>
              <w:pStyle w:val="Compact"/>
              <w:jc w:val="left"/>
            </w:pPr>
            <w:r>
              <w:t xml:space="preserve">[TODO]</w:t>
            </w:r>
          </w:p>
        </w:tc>
      </w:tr>
    </w:tbl>
    <w:p>
      <w:pPr>
        <w:pStyle w:val="BodyText"/>
      </w:pPr>
      <w:r>
        <w:t xml:space="preserve">How the comparison will be read: within about ±30% per row, Granta confirms the model. If Granta’s concrete is much lower, its generic concrete probably has less cement than a nuclear self-consolidating mix; if its steel is much higher, its default is probably virgin steel. Either way both values are reported and the model is not adjusted to match. If the run is not done by the freeze, this subsection is cut and §6 relies on the equivalent analysis alone.</w:t>
      </w:r>
    </w:p>
    <w:p>
      <w:r>
        <w:pict>
          <v:rect style="width:0;height:1.5pt" o:hralign="center" o:hrstd="t" o:hr="t"/>
        </w:pict>
      </w:r>
    </w:p>
    <w:bookmarkEnd w:id="59"/>
    <w:bookmarkEnd w:id="60"/>
    <w:bookmarkStart w:id="102" w:name="X7e33b522909f8daae3037d2691d3cd94d9b7c55"/>
    <w:p>
      <w:pPr>
        <w:pStyle w:val="Heading2"/>
      </w:pPr>
      <w:r>
        <w:t xml:space="preserve">Appendix B. Working for the policy and supply-chain analysis</w:t>
      </w:r>
    </w:p>
    <w:p>
      <w:pPr>
        <w:pStyle w:val="FirstParagraph"/>
      </w:pPr>
      <w:r>
        <w:t xml:space="preserve">This appendix gives the full working behind §8.1 (law and licensing), §8.3 (fuel-supply concentration), §8.4–8.5 (social licence and stakeholders, B8), §7 (displacement, the value of schedule and the same money) and §9 (the multi-criteria analysis). Every number is produced by a script in</w:t>
      </w:r>
      <w:r>
        <w:t xml:space="preserve"> </w:t>
      </w:r>
      <w:r>
        <w:rPr>
          <w:rStyle w:val="VerbatimChar"/>
        </w:rPr>
        <w:t xml:space="preserve">03_LCA_Calculations/scripts/</w:t>
      </w:r>
      <w:r>
        <w:t xml:space="preserve"> </w:t>
      </w:r>
      <w:r>
        <w:t xml:space="preserve">from a parameter file, so it can be re-run.</w:t>
      </w:r>
      <w:r>
        <w:t xml:space="preserve"> </w:t>
      </w:r>
      <w:r>
        <w:rPr>
          <w:bCs/>
          <w:b/>
        </w:rPr>
        <w:t xml:space="preserve">No input has yet been checked against its primary source</w:t>
      </w:r>
      <w:r>
        <w:t xml:space="preserve"> </w:t>
      </w:r>
      <w:r>
        <w:t xml:space="preserve">(</w:t>
      </w:r>
      <w:r>
        <w:rPr>
          <w:rStyle w:val="VerbatimChar"/>
        </w:rPr>
        <w:t xml:space="preserve">status: TO VERIFY</w:t>
      </w:r>
      <w:r>
        <w:t xml:space="preserve"> </w:t>
      </w:r>
      <w:r>
        <w:t xml:space="preserve">in</w:t>
      </w:r>
      <w:r>
        <w:t xml:space="preserve"> </w:t>
      </w:r>
      <w:r>
        <w:rPr>
          <w:rStyle w:val="VerbatimChar"/>
        </w:rPr>
        <w:t xml:space="preserve">parameters_run1.yaml</w:t>
      </w:r>
      <w:r>
        <w:t xml:space="preserve">,</w:t>
      </w:r>
      <w:r>
        <w:t xml:space="preserve"> </w:t>
      </w:r>
      <w:r>
        <w:rPr>
          <w:rStyle w:val="VerbatimChar"/>
        </w:rPr>
        <w:t xml:space="preserve">parameters_run2.yaml</w:t>
      </w:r>
      <w:r>
        <w:t xml:space="preserve"> </w:t>
      </w:r>
      <w:r>
        <w:t xml:space="preserve">and</w:t>
      </w:r>
      <w:r>
        <w:t xml:space="preserve"> </w:t>
      </w:r>
      <w:r>
        <w:rPr>
          <w:rStyle w:val="VerbatimChar"/>
        </w:rPr>
        <w:t xml:space="preserve">parameters_run5.yaml</w:t>
      </w:r>
      <w:r>
        <w:t xml:space="preserve">;</w:t>
      </w:r>
      <w:r>
        <w:t xml:space="preserve"> </w:t>
      </w:r>
      <w:r>
        <w:rPr>
          <w:rStyle w:val="VerbatimChar"/>
        </w:rPr>
        <w:t xml:space="preserve">verified: false</w:t>
      </w:r>
      <w:r>
        <w:t xml:space="preserve"> </w:t>
      </w:r>
      <w:r>
        <w:t xml:space="preserve">in</w:t>
      </w:r>
      <w:r>
        <w:t xml:space="preserve"> </w:t>
      </w:r>
      <w:r>
        <w:rPr>
          <w:rStyle w:val="VerbatimChar"/>
        </w:rPr>
        <w:t xml:space="preserve">parameters_run3.yaml</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Subsection</w:t>
            </w:r>
          </w:p>
        </w:tc>
        <w:tc>
          <w:tcPr/>
          <w:p>
            <w:pPr>
              <w:pStyle w:val="Compact"/>
              <w:jc w:val="left"/>
            </w:pPr>
            <w:r>
              <w:t xml:space="preserve">Script (run from the repository root)</w:t>
            </w:r>
          </w:p>
        </w:tc>
        <w:tc>
          <w:tcPr/>
          <w:p>
            <w:pPr>
              <w:pStyle w:val="Compact"/>
              <w:jc w:val="left"/>
            </w:pPr>
            <w:r>
              <w:t xml:space="preserve">Inputs</w:t>
            </w:r>
          </w:p>
        </w:tc>
        <w:tc>
          <w:tcPr/>
          <w:p>
            <w:pPr>
              <w:pStyle w:val="Compact"/>
              <w:jc w:val="left"/>
            </w:pPr>
            <w:r>
              <w:t xml:space="preserve">Output</w:t>
            </w:r>
          </w:p>
        </w:tc>
      </w:tr>
      <w:tr>
        <w:tc>
          <w:tcPr/>
          <w:p>
            <w:pPr>
              <w:pStyle w:val="Compact"/>
              <w:jc w:val="left"/>
            </w:pPr>
            <w:r>
              <w:t xml:space="preserve">B1 Legal and political pathway</w:t>
            </w:r>
          </w:p>
        </w:tc>
        <w:tc>
          <w:tcPr/>
          <w:p>
            <w:pPr>
              <w:pStyle w:val="Compact"/>
              <w:jc w:val="left"/>
            </w:pPr>
            <w:r>
              <w:rPr>
                <w:rStyle w:val="VerbatimChar"/>
              </w:rPr>
              <w:t xml:space="preserve">python3 -I 03_LCA_Calculations/scripts/law_timelines.py</w:t>
            </w:r>
          </w:p>
        </w:tc>
        <w:tc>
          <w:tcPr/>
          <w:p>
            <w:pPr>
              <w:pStyle w:val="Compact"/>
              <w:jc w:val="left"/>
            </w:pPr>
            <w:r>
              <w:rPr>
                <w:rStyle w:val="VerbatimChar"/>
              </w:rPr>
              <w:t xml:space="preserve">03_LCA_Calculations/parameters_run2.yaml</w:t>
            </w:r>
          </w:p>
        </w:tc>
        <w:tc>
          <w:tcPr/>
          <w:p>
            <w:pPr>
              <w:pStyle w:val="Compact"/>
              <w:jc w:val="left"/>
            </w:pPr>
            <w:r>
              <w:rPr>
                <w:rStyle w:val="VerbatimChar"/>
              </w:rPr>
              <w:t xml:space="preserve">03_LCA_Calculations/results/law_timelines.csv</w:t>
            </w:r>
          </w:p>
        </w:tc>
      </w:tr>
      <w:tr>
        <w:tc>
          <w:tcPr/>
          <w:p>
            <w:pPr>
              <w:pStyle w:val="Compact"/>
              <w:jc w:val="left"/>
            </w:pPr>
            <w:r>
              <w:t xml:space="preserve">B2 Supply concentration (HHI)</w:t>
            </w:r>
          </w:p>
        </w:tc>
        <w:tc>
          <w:tcPr/>
          <w:p>
            <w:pPr>
              <w:pStyle w:val="Compact"/>
              <w:jc w:val="left"/>
            </w:pPr>
            <w:r>
              <w:rPr>
                <w:rStyle w:val="VerbatimChar"/>
              </w:rPr>
              <w:t xml:space="preserve">python3 -I 03_LCA_Calculations/scripts/hhi.py</w:t>
            </w:r>
          </w:p>
        </w:tc>
        <w:tc>
          <w:tcPr/>
          <w:p>
            <w:pPr>
              <w:pStyle w:val="Compact"/>
              <w:jc w:val="left"/>
            </w:pPr>
            <w:r>
              <w:rPr>
                <w:rStyle w:val="VerbatimChar"/>
              </w:rPr>
              <w:t xml:space="preserve">03_LCA_Calculations/parameters_run3.yaml</w:t>
            </w:r>
          </w:p>
        </w:tc>
        <w:tc>
          <w:tcPr/>
          <w:p>
            <w:pPr>
              <w:pStyle w:val="Compact"/>
              <w:jc w:val="left"/>
            </w:pPr>
            <w:r>
              <w:rPr>
                <w:rStyle w:val="VerbatimChar"/>
              </w:rPr>
              <w:t xml:space="preserve">03_LCA_Calculations/results/hhi.md</w:t>
            </w:r>
            <w:r>
              <w:t xml:space="preserve">,</w:t>
            </w:r>
            <w:r>
              <w:t xml:space="preserve"> </w:t>
            </w:r>
            <w:r>
              <w:rPr>
                <w:rStyle w:val="VerbatimChar"/>
              </w:rPr>
              <w:t xml:space="preserve">hhi_summary.csv</w:t>
            </w:r>
          </w:p>
        </w:tc>
      </w:tr>
      <w:tr>
        <w:tc>
          <w:tcPr/>
          <w:p>
            <w:pPr>
              <w:pStyle w:val="Compact"/>
              <w:jc w:val="left"/>
            </w:pPr>
            <w:r>
              <w:t xml:space="preserve">B3 Routes to a licensable SMR in Australia</w:t>
            </w:r>
          </w:p>
        </w:tc>
        <w:tc>
          <w:tcPr/>
          <w:p>
            <w:pPr>
              <w:pStyle w:val="Compact"/>
              <w:jc w:val="left"/>
            </w:pPr>
            <w:r>
              <w:t xml:space="preserve">none: hand calculation (qualitative scoring; totals checked in fact-check batch 1a)</w:t>
            </w:r>
          </w:p>
        </w:tc>
        <w:tc>
          <w:tcPr/>
          <w:p>
            <w:pPr>
              <w:pStyle w:val="Compact"/>
              <w:jc w:val="left"/>
            </w:pPr>
            <w:r>
              <w:t xml:space="preserve">Law brief §5</w:t>
            </w:r>
          </w:p>
        </w:tc>
        <w:tc>
          <w:tcPr/>
          <w:p>
            <w:pPr>
              <w:pStyle w:val="Compact"/>
              <w:jc w:val="left"/>
            </w:pPr>
            <w:r>
              <w:t xml:space="preserve">This appendix</w:t>
            </w:r>
          </w:p>
        </w:tc>
      </w:tr>
      <w:tr>
        <w:tc>
          <w:tcPr/>
          <w:p>
            <w:pPr>
              <w:pStyle w:val="Compact"/>
              <w:jc w:val="left"/>
            </w:pPr>
            <w:r>
              <w:t xml:space="preserve">B4 Displacement</w:t>
            </w:r>
          </w:p>
        </w:tc>
        <w:tc>
          <w:tcPr/>
          <w:p>
            <w:pPr>
              <w:pStyle w:val="Compact"/>
              <w:jc w:val="left"/>
            </w:pPr>
            <w:r>
              <w:rPr>
                <w:rStyle w:val="VerbatimChar"/>
              </w:rPr>
              <w:t xml:space="preserve">python3 -I 03_LCA_Calculations/scripts/displacement.py</w:t>
            </w:r>
          </w:p>
        </w:tc>
        <w:tc>
          <w:tcPr/>
          <w:p>
            <w:pPr>
              <w:pStyle w:val="Compact"/>
              <w:jc w:val="left"/>
            </w:pPr>
            <w:r>
              <w:rPr>
                <w:rStyle w:val="VerbatimChar"/>
              </w:rPr>
              <w:t xml:space="preserve">03_LCA_Calculations/parameters_run1.yaml</w:t>
            </w:r>
          </w:p>
        </w:tc>
        <w:tc>
          <w:tcPr/>
          <w:p>
            <w:pPr>
              <w:pStyle w:val="Compact"/>
              <w:jc w:val="left"/>
            </w:pPr>
            <w:r>
              <w:rPr>
                <w:rStyle w:val="VerbatimChar"/>
              </w:rPr>
              <w:t xml:space="preserve">03_LCA_Calculations/results/displacement.md</w:t>
            </w:r>
          </w:p>
        </w:tc>
      </w:tr>
      <w:tr>
        <w:tc>
          <w:tcPr/>
          <w:p>
            <w:pPr>
              <w:pStyle w:val="Compact"/>
              <w:jc w:val="left"/>
            </w:pPr>
            <w:r>
              <w:t xml:space="preserve">B5 Value of schedule</w:t>
            </w:r>
          </w:p>
        </w:tc>
        <w:tc>
          <w:tcPr/>
          <w:p>
            <w:pPr>
              <w:pStyle w:val="Compact"/>
              <w:jc w:val="left"/>
            </w:pPr>
            <w:r>
              <w:rPr>
                <w:rStyle w:val="VerbatimChar"/>
              </w:rPr>
              <w:t xml:space="preserve">python3 -I 03_LCA_Calculations/scripts/schedule_value.py</w:t>
            </w:r>
          </w:p>
        </w:tc>
        <w:tc>
          <w:tcPr/>
          <w:p>
            <w:pPr>
              <w:pStyle w:val="Compact"/>
              <w:jc w:val="left"/>
            </w:pPr>
            <w:r>
              <w:rPr>
                <w:rStyle w:val="VerbatimChar"/>
              </w:rPr>
              <w:t xml:space="preserve">parameters_run1.yaml</w:t>
            </w:r>
            <w:r>
              <w:t xml:space="preserve"> </w:t>
            </w:r>
            <w:r>
              <w:t xml:space="preserve">(cost inputs read from</w:t>
            </w:r>
            <w:r>
              <w:t xml:space="preserve"> </w:t>
            </w:r>
            <w:r>
              <w:rPr>
                <w:rStyle w:val="VerbatimChar"/>
              </w:rPr>
              <w:t xml:space="preserve">parameters_run5.yaml</w:t>
            </w:r>
            <w:r>
              <w:t xml:space="preserve">)</w:t>
            </w:r>
          </w:p>
        </w:tc>
        <w:tc>
          <w:tcPr/>
          <w:p>
            <w:pPr>
              <w:pStyle w:val="Compact"/>
              <w:jc w:val="left"/>
            </w:pPr>
            <w:r>
              <w:rPr>
                <w:rStyle w:val="VerbatimChar"/>
              </w:rPr>
              <w:t xml:space="preserve">results/schedule_value.md</w:t>
            </w:r>
          </w:p>
        </w:tc>
      </w:tr>
      <w:tr>
        <w:tc>
          <w:tcPr/>
          <w:p>
            <w:pPr>
              <w:pStyle w:val="Compact"/>
              <w:jc w:val="left"/>
            </w:pPr>
            <w:r>
              <w:t xml:space="preserve">B6 Same money</w:t>
            </w:r>
          </w:p>
        </w:tc>
        <w:tc>
          <w:tcPr/>
          <w:p>
            <w:pPr>
              <w:pStyle w:val="Compact"/>
              <w:jc w:val="left"/>
            </w:pPr>
            <w:r>
              <w:rPr>
                <w:rStyle w:val="VerbatimChar"/>
              </w:rPr>
              <w:t xml:space="preserve">python3 -I 03_LCA_Calculations/scripts/same_money.py</w:t>
            </w:r>
          </w:p>
        </w:tc>
        <w:tc>
          <w:tcPr/>
          <w:p>
            <w:pPr>
              <w:pStyle w:val="Compact"/>
              <w:jc w:val="left"/>
            </w:pPr>
            <w:r>
              <w:rPr>
                <w:rStyle w:val="VerbatimChar"/>
              </w:rPr>
              <w:t xml:space="preserve">parameters_run1.yaml</w:t>
            </w:r>
          </w:p>
        </w:tc>
        <w:tc>
          <w:tcPr/>
          <w:p>
            <w:pPr>
              <w:pStyle w:val="Compact"/>
              <w:jc w:val="left"/>
            </w:pPr>
            <w:r>
              <w:rPr>
                <w:rStyle w:val="VerbatimChar"/>
              </w:rPr>
              <w:t xml:space="preserve">results/same_money.md</w:t>
            </w:r>
            <w:r>
              <w:t xml:space="preserve"> </w:t>
            </w:r>
            <w:r>
              <w:t xml:space="preserve">(cross-check:</w:t>
            </w:r>
            <w:r>
              <w:t xml:space="preserve"> </w:t>
            </w:r>
            <w:r>
              <w:rPr>
                <w:rStyle w:val="VerbatimChar"/>
              </w:rPr>
              <w:t xml:space="preserve">results/lcoe.md</w:t>
            </w:r>
            <w:r>
              <w:t xml:space="preserve">)</w:t>
            </w:r>
          </w:p>
        </w:tc>
      </w:tr>
      <w:tr>
        <w:tc>
          <w:tcPr/>
          <w:p>
            <w:pPr>
              <w:pStyle w:val="Compact"/>
              <w:jc w:val="left"/>
            </w:pPr>
            <w:r>
              <w:t xml:space="preserve">B7 Multi-criteria analysis</w:t>
            </w:r>
          </w:p>
        </w:tc>
        <w:tc>
          <w:tcPr/>
          <w:p>
            <w:pPr>
              <w:pStyle w:val="Compact"/>
              <w:jc w:val="left"/>
            </w:pPr>
            <w:r>
              <w:rPr>
                <w:rStyle w:val="VerbatimChar"/>
              </w:rPr>
              <w:t xml:space="preserve">python3 -I 03_LCA_Calculations/scripts/mcda.py --c1-case new_2200</w:t>
            </w:r>
          </w:p>
        </w:tc>
        <w:tc>
          <w:tcPr/>
          <w:p>
            <w:pPr>
              <w:pStyle w:val="Compact"/>
              <w:jc w:val="left"/>
            </w:pPr>
            <w:r>
              <w:rPr>
                <w:rStyle w:val="VerbatimChar"/>
              </w:rPr>
              <w:t xml:space="preserve">parameters_run9.yaml</w:t>
            </w:r>
            <w:r>
              <w:t xml:space="preserve"> </w:t>
            </w:r>
            <w:r>
              <w:t xml:space="preserve">(with run 6 consent routes)</w:t>
            </w:r>
          </w:p>
        </w:tc>
        <w:tc>
          <w:tcPr/>
          <w:p>
            <w:pPr>
              <w:pStyle w:val="Compact"/>
              <w:jc w:val="left"/>
            </w:pPr>
            <w:r>
              <w:rPr>
                <w:rStyle w:val="VerbatimChar"/>
              </w:rPr>
              <w:t xml:space="preserve">results/mcda.md</w:t>
            </w:r>
            <w:r>
              <w:t xml:space="preserve">,</w:t>
            </w:r>
            <w:r>
              <w:t xml:space="preserve"> </w:t>
            </w:r>
            <w:r>
              <w:rPr>
                <w:rStyle w:val="VerbatimChar"/>
              </w:rPr>
              <w:t xml:space="preserve">results/mcda_scores.csv</w:t>
            </w:r>
          </w:p>
        </w:tc>
      </w:tr>
      <w:tr>
        <w:tc>
          <w:tcPr/>
          <w:p>
            <w:pPr>
              <w:pStyle w:val="Compact"/>
              <w:jc w:val="left"/>
            </w:pPr>
            <w:r>
              <w:t xml:space="preserve">B8 Social licence and stakeholder working</w:t>
            </w:r>
          </w:p>
        </w:tc>
        <w:tc>
          <w:tcPr/>
          <w:p>
            <w:pPr>
              <w:pStyle w:val="Compact"/>
              <w:jc w:val="left"/>
            </w:pPr>
            <w:r>
              <w:rPr>
                <w:rStyle w:val="VerbatimChar"/>
              </w:rPr>
              <w:t xml:space="preserve">python3 -I 03_LCA_Calculations/scripts/social_licence.py</w:t>
            </w:r>
          </w:p>
        </w:tc>
        <w:tc>
          <w:tcPr/>
          <w:p>
            <w:pPr>
              <w:pStyle w:val="Compact"/>
              <w:jc w:val="left"/>
            </w:pPr>
            <w:r>
              <w:rPr>
                <w:rStyle w:val="VerbatimChar"/>
              </w:rPr>
              <w:t xml:space="preserve">03_LCA_Calculations/parameters_run6.yaml</w:t>
            </w:r>
          </w:p>
        </w:tc>
        <w:tc>
          <w:tcPr/>
          <w:p>
            <w:pPr>
              <w:pStyle w:val="Compact"/>
              <w:jc w:val="left"/>
            </w:pPr>
            <w:r>
              <w:rPr>
                <w:rStyle w:val="VerbatimChar"/>
              </w:rPr>
              <w:t xml:space="preserve">results/social_licence.md</w:t>
            </w:r>
            <w:r>
              <w:t xml:space="preserve">,</w:t>
            </w:r>
            <w:r>
              <w:t xml:space="preserve"> </w:t>
            </w:r>
            <w:r>
              <w:rPr>
                <w:rStyle w:val="VerbatimChar"/>
              </w:rPr>
              <w:t xml:space="preserve">F8_stakeholder_map.png</w:t>
            </w:r>
          </w:p>
        </w:tc>
      </w:tr>
    </w:tbl>
    <w:p>
      <w:r>
        <w:pict>
          <v:rect style="width:0;height:1.5pt" o:hralign="center" o:hrstd="t" o:hr="t"/>
        </w:pict>
      </w:r>
    </w:p>
    <w:bookmarkStart w:id="65" w:name="b1.-legal-and-political-pathway"/>
    <w:p>
      <w:pPr>
        <w:pStyle w:val="Heading3"/>
      </w:pPr>
      <w:r>
        <w:t xml:space="preserve">B1. Legal and political pathway</w:t>
      </w:r>
    </w:p>
    <w:p>
      <w:pPr>
        <w:pStyle w:val="FirstParagraph"/>
      </w:pPr>
      <w:r>
        <w:rPr>
          <w:bCs/>
          <w:b/>
        </w:rPr>
        <w:t xml:space="preserve">Result.</w:t>
      </w:r>
      <w:r>
        <w:t xml:space="preserve"> </w:t>
      </w:r>
      <w:r>
        <w:t xml:space="preserve">Three laws bar an SMR at Liddell, and each has a different veto holder. On current party positions, the federal repeal is 7 Senate votes short (3 short even with every other crossbencher) [TO VERIFY at aph.gov.au: 39/37 or 40/36; either way it fails], and the NSW repeal bill is stalled. For comparison, Darlington’s licence to construct took about 29 months, 17.9 years after its environmental assessment began.</w:t>
      </w:r>
    </w:p>
    <w:bookmarkStart w:id="61" w:name="X3978bcd65168dfde624f3a3e20dbe906af3d815"/>
    <w:p>
      <w:pPr>
        <w:pStyle w:val="Heading4"/>
      </w:pPr>
      <w:r>
        <w:t xml:space="preserve">B1.1 The three legal barriers and what removes each</w:t>
      </w:r>
    </w:p>
    <w:p>
      <w:pPr>
        <w:pStyle w:val="FirstParagraph"/>
      </w:pPr>
      <w:r>
        <w:rPr>
          <w:iCs/>
          <w:i/>
        </w:rPr>
        <w:t xml:space="preserve">Table B1. The legal barriers to an SMR at Liddell, what removes each, and who holds the veto.</w:t>
      </w:r>
      <w:r>
        <w:t xml:space="preserve"> </w:t>
      </w:r>
      <w:r>
        <w:rPr>
          <w:iCs/>
          <w:i/>
        </w:rPr>
        <w:t xml:space="preserve">Source: legislation as named [TO VERIFY wording in the current compilations]; ARPANSA (n.d.); Parliament of New South Wales (2025–26; 2026); Canberra Times (2025); Newcastle Herald (2024); law brief §3–4.</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Barrier</w:t>
            </w:r>
          </w:p>
        </w:tc>
        <w:tc>
          <w:tcPr/>
          <w:p>
            <w:pPr>
              <w:pStyle w:val="Compact"/>
              <w:jc w:val="left"/>
            </w:pPr>
            <w:r>
              <w:t xml:space="preserve">Instrument and effect (as extracted)</w:t>
            </w:r>
          </w:p>
        </w:tc>
        <w:tc>
          <w:tcPr/>
          <w:p>
            <w:pPr>
              <w:pStyle w:val="Compact"/>
              <w:jc w:val="left"/>
            </w:pPr>
            <w:r>
              <w:t xml:space="preserve">What removes it</w:t>
            </w:r>
          </w:p>
        </w:tc>
        <w:tc>
          <w:tcPr/>
          <w:p>
            <w:pPr>
              <w:pStyle w:val="Compact"/>
              <w:jc w:val="left"/>
            </w:pPr>
            <w:r>
              <w:t xml:space="preserve">Who decides (veto holder)</w:t>
            </w:r>
          </w:p>
        </w:tc>
        <w:tc>
          <w:tcPr/>
          <w:p>
            <w:pPr>
              <w:pStyle w:val="Compact"/>
              <w:jc w:val="left"/>
            </w:pPr>
            <w:r>
              <w:t xml:space="preserve">Status, October 2026</w:t>
            </w:r>
          </w:p>
        </w:tc>
      </w:tr>
      <w:tr>
        <w:tc>
          <w:tcPr/>
          <w:p>
            <w:pPr>
              <w:pStyle w:val="Compact"/>
              <w:jc w:val="left"/>
            </w:pPr>
            <w:r>
              <w:t xml:space="preserve">1</w:t>
            </w:r>
          </w:p>
        </w:tc>
        <w:tc>
          <w:tcPr/>
          <w:p>
            <w:pPr>
              <w:pStyle w:val="Compact"/>
              <w:jc w:val="left"/>
            </w:pPr>
            <w:r>
              <w:t xml:space="preserve">Federal environmental approval</w:t>
            </w:r>
          </w:p>
        </w:tc>
        <w:tc>
          <w:tcPr/>
          <w:p>
            <w:pPr>
              <w:pStyle w:val="Compact"/>
              <w:jc w:val="left"/>
            </w:pPr>
            <w:r>
              <w:rPr>
                <w:iCs/>
                <w:i/>
              </w:rPr>
              <w:t xml:space="preserve">Environment Protection and Biodiversity Conservation Act 1999</w:t>
            </w:r>
            <w:r>
              <w:t xml:space="preserve"> </w:t>
            </w:r>
            <w:r>
              <w:t xml:space="preserve">(Cth) s 140A (parallel bars in ss 37J and 146M): the Minister</w:t>
            </w:r>
            <w:r>
              <w:t xml:space="preserve"> </w:t>
            </w:r>
            <w:r>
              <w:t xml:space="preserve">“</w:t>
            </w:r>
            <w:r>
              <w:t xml:space="preserve">must not approve</w:t>
            </w:r>
            <w:r>
              <w:t xml:space="preserve">”</w:t>
            </w:r>
            <w:r>
              <w:t xml:space="preserve"> </w:t>
            </w:r>
            <w:r>
              <w:t xml:space="preserve">an action involving the construction or operation of a nuclear power plant [TO VERIFY]</w:t>
            </w:r>
          </w:p>
        </w:tc>
        <w:tc>
          <w:tcPr/>
          <w:p>
            <w:pPr>
              <w:pStyle w:val="Compact"/>
              <w:jc w:val="left"/>
            </w:pPr>
            <w:r>
              <w:t xml:space="preserve">Amendment of ss 37J, 140A and 146M</w:t>
            </w:r>
          </w:p>
        </w:tc>
        <w:tc>
          <w:tcPr/>
          <w:p>
            <w:pPr>
              <w:pStyle w:val="Compact"/>
              <w:jc w:val="left"/>
            </w:pPr>
            <w:r>
              <w:t xml:space="preserve">Commonwealth Parliament; in practice the Senate (B1.2)</w:t>
            </w:r>
          </w:p>
        </w:tc>
        <w:tc>
          <w:tcPr/>
          <w:p>
            <w:pPr>
              <w:pStyle w:val="Compact"/>
              <w:jc w:val="left"/>
            </w:pPr>
            <w:r>
              <w:t xml:space="preserve">In force. Whether the 2025 EPBC reforms changed s 140A is unchecked (Norton Rose Fulbright, 2025) [TO VERIFY]</w:t>
            </w:r>
          </w:p>
        </w:tc>
      </w:tr>
      <w:tr>
        <w:tc>
          <w:tcPr/>
          <w:p>
            <w:pPr>
              <w:pStyle w:val="Compact"/>
              <w:jc w:val="left"/>
            </w:pPr>
            <w:r>
              <w:t xml:space="preserve">2</w:t>
            </w:r>
          </w:p>
        </w:tc>
        <w:tc>
          <w:tcPr/>
          <w:p>
            <w:pPr>
              <w:pStyle w:val="Compact"/>
              <w:jc w:val="left"/>
            </w:pPr>
            <w:r>
              <w:t xml:space="preserve">Federal radiation licensing</w:t>
            </w:r>
          </w:p>
        </w:tc>
        <w:tc>
          <w:tcPr/>
          <w:p>
            <w:pPr>
              <w:pStyle w:val="Compact"/>
              <w:jc w:val="left"/>
            </w:pPr>
            <w:r>
              <w:rPr>
                <w:iCs/>
                <w:i/>
              </w:rPr>
              <w:t xml:space="preserve">Australian Radiation Protection and Nuclear Safety Act 1998</w:t>
            </w:r>
            <w:r>
              <w:t xml:space="preserve"> </w:t>
            </w:r>
            <w:r>
              <w:t xml:space="preserve">(Cth) s 10(2): the CEO</w:t>
            </w:r>
            <w:r>
              <w:t xml:space="preserve"> </w:t>
            </w:r>
            <w:r>
              <w:t xml:space="preserve">“</w:t>
            </w:r>
            <w:r>
              <w:t xml:space="preserve">must not issue a licence</w:t>
            </w:r>
            <w:r>
              <w:t xml:space="preserve">”</w:t>
            </w:r>
            <w:r>
              <w:t xml:space="preserve"> </w:t>
            </w:r>
            <w:r>
              <w:t xml:space="preserve">for a nuclear power plant [TO VERIFY]. ARPANSA licenses only Commonwealth-controlled bodies (s 13,</w:t>
            </w:r>
            <w:r>
              <w:t xml:space="preserve"> </w:t>
            </w:r>
            <w:r>
              <w:t xml:space="preserve">“</w:t>
            </w:r>
            <w:r>
              <w:t xml:space="preserve">controlled person</w:t>
            </w:r>
            <w:r>
              <w:t xml:space="preserve">”</w:t>
            </w:r>
            <w:r>
              <w:t xml:space="preserve">) (ARPANSA, n.d.) [TO VERIFY]</w:t>
            </w:r>
          </w:p>
        </w:tc>
        <w:tc>
          <w:tcPr/>
          <w:p>
            <w:pPr>
              <w:pStyle w:val="Compact"/>
              <w:jc w:val="left"/>
            </w:pPr>
            <w:r>
              <w:t xml:space="preserve">Repeal of s 10,</w:t>
            </w:r>
            <w:r>
              <w:t xml:space="preserve"> </w:t>
            </w:r>
            <w:r>
              <w:rPr>
                <w:bCs/>
                <w:b/>
              </w:rPr>
              <w:t xml:space="preserve">and</w:t>
            </w:r>
            <w:r>
              <w:t xml:space="preserve"> </w:t>
            </w:r>
            <w:r>
              <w:t xml:space="preserve">a regulator with power over private operators (route choice, B3)</w:t>
            </w:r>
          </w:p>
        </w:tc>
        <w:tc>
          <w:tcPr/>
          <w:p>
            <w:pPr>
              <w:pStyle w:val="Compact"/>
              <w:jc w:val="left"/>
            </w:pPr>
            <w:r>
              <w:t xml:space="preserve">Commonwealth Parliament (Senate)</w:t>
            </w:r>
          </w:p>
        </w:tc>
        <w:tc>
          <w:tcPr/>
          <w:p>
            <w:pPr>
              <w:pStyle w:val="Compact"/>
              <w:jc w:val="left"/>
            </w:pPr>
            <w:r>
              <w:t xml:space="preserve">In force. A Senate committee recommended against the 2022 repeal bill (Senate Environment and Communications Legislation Committee, 2023) [TO VERIFY]; the bill lapsed at prorogation [TODO: source needed: ParlInfo bill page]</w:t>
            </w:r>
          </w:p>
        </w:tc>
      </w:tr>
      <w:tr>
        <w:tc>
          <w:tcPr/>
          <w:p>
            <w:pPr>
              <w:pStyle w:val="Compact"/>
              <w:jc w:val="left"/>
            </w:pPr>
            <w:r>
              <w:t xml:space="preserve">3</w:t>
            </w:r>
          </w:p>
        </w:tc>
        <w:tc>
          <w:tcPr/>
          <w:p>
            <w:pPr>
              <w:pStyle w:val="Compact"/>
              <w:jc w:val="left"/>
            </w:pPr>
            <w:r>
              <w:t xml:space="preserve">State ban</w:t>
            </w:r>
          </w:p>
        </w:tc>
        <w:tc>
          <w:tcPr/>
          <w:p>
            <w:pPr>
              <w:pStyle w:val="Compact"/>
              <w:jc w:val="left"/>
            </w:pPr>
            <w:r>
              <w:rPr>
                <w:iCs/>
                <w:i/>
              </w:rPr>
              <w:t xml:space="preserve">Uranium Mining and Nuclear Facilities (Prohibitions) Act 1986</w:t>
            </w:r>
            <w:r>
              <w:t xml:space="preserve"> </w:t>
            </w:r>
            <w:r>
              <w:t xml:space="preserve">(NSW) s 8: offence to build or operate a nuclear reactor, except for the s 8(3) exceptions (the Commonwealth’s AAEC successors, such as ANSTO); s 9: other Acts do not authorise a state authority to build or approve one [TO VERIFY]</w:t>
            </w:r>
          </w:p>
        </w:tc>
        <w:tc>
          <w:tcPr/>
          <w:p>
            <w:pPr>
              <w:pStyle w:val="Compact"/>
              <w:jc w:val="left"/>
            </w:pPr>
            <w:r>
              <w:t xml:space="preserve">NSW repeal, or a Commonwealth override under Constitution s 109 [TODO: add the Constitution to sources.md], which may face a High Court challenge (Canberra Times, 2025) [TO VERIFY]</w:t>
            </w:r>
          </w:p>
        </w:tc>
        <w:tc>
          <w:tcPr/>
          <w:p>
            <w:pPr>
              <w:pStyle w:val="Compact"/>
              <w:jc w:val="left"/>
            </w:pPr>
            <w:r>
              <w:t xml:space="preserve">NSW Parliament (Legislative Assembly), or the Commonwealth</w:t>
            </w:r>
          </w:p>
        </w:tc>
        <w:tc>
          <w:tcPr/>
          <w:p>
            <w:pPr>
              <w:pStyle w:val="Compact"/>
              <w:jc w:val="left"/>
            </w:pPr>
            <w:r>
              <w:t xml:space="preserve">Repeal bill passed the Legislative Council; stalled in the Assembly (B1.3)</w:t>
            </w:r>
          </w:p>
        </w:tc>
      </w:tr>
      <w:tr>
        <w:tc>
          <w:tcPr/>
          <w:p>
            <w:pPr>
              <w:pStyle w:val="Compact"/>
              <w:jc w:val="left"/>
            </w:pPr>
            <w:r>
              <w:t xml:space="preserve">(4)</w:t>
            </w:r>
          </w:p>
        </w:tc>
        <w:tc>
          <w:tcPr/>
          <w:p>
            <w:pPr>
              <w:pStyle w:val="Compact"/>
              <w:jc w:val="left"/>
            </w:pPr>
            <w:r>
              <w:t xml:space="preserve">Site (not a law)</w:t>
            </w:r>
          </w:p>
        </w:tc>
        <w:tc>
          <w:tcPr/>
          <w:p>
            <w:pPr>
              <w:pStyle w:val="Compact"/>
              <w:jc w:val="left"/>
            </w:pPr>
            <w:r>
              <w:t xml:space="preserve">AGL owns Liddell and has ruled out nuclear there (Newcastle Herald, 2024) [TO VERIFY]</w:t>
            </w:r>
          </w:p>
        </w:tc>
        <w:tc>
          <w:tcPr/>
          <w:p>
            <w:pPr>
              <w:pStyle w:val="Compact"/>
              <w:jc w:val="left"/>
            </w:pPr>
            <w:r>
              <w:t xml:space="preserve">AGL’s consent, or compulsory acquisition by the Commonwealth</w:t>
            </w:r>
          </w:p>
        </w:tc>
        <w:tc>
          <w:tcPr/>
          <w:p>
            <w:pPr>
              <w:pStyle w:val="Compact"/>
              <w:jc w:val="left"/>
            </w:pPr>
            <w:r>
              <w:t xml:space="preserve">AGL, or the Commonwealth</w:t>
            </w:r>
          </w:p>
        </w:tc>
        <w:tc>
          <w:tcPr/>
          <w:p>
            <w:pPr>
              <w:pStyle w:val="Compact"/>
              <w:jc w:val="left"/>
            </w:pPr>
            <w:r>
              <w:t xml:space="preserve">AGL opposed</w:t>
            </w:r>
          </w:p>
        </w:tc>
      </w:tr>
    </w:tbl>
    <w:p>
      <w:pPr>
        <w:pStyle w:val="BodyText"/>
      </w:pPr>
      <w:r>
        <w:t xml:space="preserve">Order of removal: federal repeal (1 and 2) → choice of regulator → state repeal or override (3) → site (4) → environmental assessment → licensing (law brief §4). Each step has a different veto holder, so all must agree.</w:t>
      </w:r>
    </w:p>
    <w:bookmarkEnd w:id="61"/>
    <w:bookmarkStart w:id="62" w:name="X52641d6a275743723c641fbdfc2158d68a6cd0a"/>
    <w:p>
      <w:pPr>
        <w:pStyle w:val="Heading4"/>
      </w:pPr>
      <w:r>
        <w:t xml:space="preserve">B1.2 Senate arithmetic for federal repeal</w:t>
      </w:r>
    </w:p>
    <w:p>
      <w:pPr>
        <w:pStyle w:val="FirstParagraph"/>
      </w:pPr>
      <w:r>
        <w:rPr>
          <w:iCs/>
          <w:i/>
        </w:rPr>
        <w:t xml:space="preserve">Table B2. Senate composition used for the repeal arithmetic.</w:t>
      </w:r>
      <w:r>
        <w:t xml:space="preserve"> </w:t>
      </w:r>
      <w:r>
        <w:rPr>
          <w:iCs/>
          <w:i/>
        </w:rPr>
        <w:t xml:space="preserve">Source: Parliament of Australia (2026) [TO VERIFY; composition as at 14 May 2026];</w:t>
      </w:r>
      <w:r>
        <w:rPr>
          <w:iCs/>
          <w:i/>
        </w:rPr>
        <w:t xml:space="preserve"> </w:t>
      </w:r>
      <w:r>
        <w:rPr>
          <w:rStyle w:val="VerbatimChar"/>
          <w:iCs/>
          <w:i/>
        </w:rPr>
        <w:t xml:space="preserve">parameters_run2.yaml</w:t>
      </w:r>
      <w:r>
        <w:rPr>
          <w:iCs/>
          <w:i/>
        </w:rPr>
        <w:t xml:space="preserve">.</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t xml:space="preserve">Party or group</w:t>
            </w:r>
          </w:p>
        </w:tc>
        <w:tc>
          <w:tcPr/>
          <w:p>
            <w:pPr>
              <w:pStyle w:val="Compact"/>
              <w:jc w:val="right"/>
            </w:pPr>
            <w:r>
              <w:t xml:space="preserve">Seats</w:t>
            </w:r>
          </w:p>
        </w:tc>
        <w:tc>
          <w:tcPr/>
          <w:p>
            <w:pPr>
              <w:pStyle w:val="Compact"/>
              <w:jc w:val="left"/>
            </w:pPr>
            <w:r>
              <w:t xml:space="preserve">Position on repeal</w:t>
            </w:r>
          </w:p>
        </w:tc>
        <w:tc>
          <w:tcPr/>
          <w:p>
            <w:pPr>
              <w:pStyle w:val="Compact"/>
              <w:jc w:val="left"/>
            </w:pPr>
            <w:r>
              <w:t xml:space="preserve">Source of position</w:t>
            </w:r>
          </w:p>
        </w:tc>
      </w:tr>
      <w:tr>
        <w:tc>
          <w:tcPr/>
          <w:p>
            <w:pPr>
              <w:pStyle w:val="Compact"/>
              <w:jc w:val="left"/>
            </w:pPr>
            <w:r>
              <w:t xml:space="preserve">Australian Labor Party</w:t>
            </w:r>
          </w:p>
        </w:tc>
        <w:tc>
          <w:tcPr/>
          <w:p>
            <w:pPr>
              <w:pStyle w:val="Compact"/>
              <w:jc w:val="right"/>
            </w:pPr>
            <w:r>
              <w:t xml:space="preserve">30</w:t>
            </w:r>
          </w:p>
        </w:tc>
        <w:tc>
          <w:tcPr/>
          <w:p>
            <w:pPr>
              <w:pStyle w:val="Compact"/>
              <w:jc w:val="left"/>
            </w:pPr>
            <w:r>
              <w:t xml:space="preserve">Opposed</w:t>
            </w:r>
          </w:p>
        </w:tc>
        <w:tc>
          <w:tcPr/>
          <w:p>
            <w:pPr>
              <w:pStyle w:val="Compact"/>
              <w:jc w:val="left"/>
            </w:pPr>
            <w:r>
              <w:t xml:space="preserve">Bowen (2025) [TO VERIFY date; no 2026 statement found]</w:t>
            </w:r>
          </w:p>
        </w:tc>
      </w:tr>
      <w:tr>
        <w:tc>
          <w:tcPr/>
          <w:p>
            <w:pPr>
              <w:pStyle w:val="Compact"/>
              <w:jc w:val="left"/>
            </w:pPr>
            <w:r>
              <w:t xml:space="preserve">Coalition</w:t>
            </w:r>
          </w:p>
        </w:tc>
        <w:tc>
          <w:tcPr/>
          <w:p>
            <w:pPr>
              <w:pStyle w:val="Compact"/>
              <w:jc w:val="right"/>
            </w:pPr>
            <w:r>
              <w:t xml:space="preserve">27</w:t>
            </w:r>
          </w:p>
        </w:tc>
        <w:tc>
          <w:tcPr/>
          <w:p>
            <w:pPr>
              <w:pStyle w:val="Compact"/>
              <w:jc w:val="left"/>
            </w:pPr>
            <w:r>
              <w:t xml:space="preserve">For</w:t>
            </w:r>
          </w:p>
        </w:tc>
        <w:tc>
          <w:tcPr/>
          <w:p>
            <w:pPr>
              <w:pStyle w:val="Compact"/>
              <w:jc w:val="left"/>
            </w:pPr>
            <w:r>
              <w:t xml:space="preserve">Liberal Party of Australia (2026); ABC News (2026) [TO VERIFY]</w:t>
            </w:r>
          </w:p>
        </w:tc>
      </w:tr>
      <w:tr>
        <w:tc>
          <w:tcPr/>
          <w:p>
            <w:pPr>
              <w:pStyle w:val="Compact"/>
              <w:jc w:val="left"/>
            </w:pPr>
            <w:r>
              <w:t xml:space="preserve">Australian Greens</w:t>
            </w:r>
          </w:p>
        </w:tc>
        <w:tc>
          <w:tcPr/>
          <w:p>
            <w:pPr>
              <w:pStyle w:val="Compact"/>
              <w:jc w:val="right"/>
            </w:pPr>
            <w:r>
              <w:t xml:space="preserve">10</w:t>
            </w:r>
          </w:p>
        </w:tc>
        <w:tc>
          <w:tcPr/>
          <w:p>
            <w:pPr>
              <w:pStyle w:val="Compact"/>
              <w:jc w:val="left"/>
            </w:pPr>
            <w:r>
              <w:t xml:space="preserve">Opposed</w:t>
            </w:r>
          </w:p>
        </w:tc>
        <w:tc>
          <w:tcPr/>
          <w:p>
            <w:pPr>
              <w:pStyle w:val="Compact"/>
              <w:jc w:val="left"/>
            </w:pPr>
            <w:r>
              <w:t xml:space="preserve">Australian Greens (2025) [TO VERIFY]</w:t>
            </w:r>
          </w:p>
        </w:tc>
      </w:tr>
      <w:tr>
        <w:tc>
          <w:tcPr/>
          <w:p>
            <w:pPr>
              <w:pStyle w:val="Compact"/>
              <w:jc w:val="left"/>
            </w:pPr>
            <w:r>
              <w:t xml:space="preserve">One Nation</w:t>
            </w:r>
          </w:p>
        </w:tc>
        <w:tc>
          <w:tcPr/>
          <w:p>
            <w:pPr>
              <w:pStyle w:val="Compact"/>
              <w:jc w:val="right"/>
            </w:pPr>
            <w:r>
              <w:t xml:space="preserve">4</w:t>
            </w:r>
          </w:p>
        </w:tc>
        <w:tc>
          <w:tcPr/>
          <w:p>
            <w:pPr>
              <w:pStyle w:val="Compact"/>
              <w:jc w:val="left"/>
            </w:pPr>
            <w:r>
              <w:t xml:space="preserve">Assumed for</w:t>
            </w:r>
          </w:p>
        </w:tc>
        <w:tc>
          <w:tcPr/>
          <w:p>
            <w:pPr>
              <w:pStyle w:val="Compact"/>
              <w:jc w:val="left"/>
            </w:pPr>
            <w:r>
              <w:rPr>
                <w:bCs/>
                <w:b/>
              </w:rPr>
              <w:t xml:space="preserve">Assumption</w:t>
            </w:r>
            <w:r>
              <w:t xml:space="preserve"> </w:t>
            </w:r>
            <w:r>
              <w:t xml:space="preserve">[TODO: source needed: ABC, 31 August 2026, is in the law brief but not in sources.md]</w:t>
            </w:r>
          </w:p>
        </w:tc>
      </w:tr>
      <w:tr>
        <w:tc>
          <w:tcPr/>
          <w:p>
            <w:pPr>
              <w:pStyle w:val="Compact"/>
              <w:jc w:val="left"/>
            </w:pPr>
            <w:r>
              <w:t xml:space="preserve">Senator Babet</w:t>
            </w:r>
          </w:p>
        </w:tc>
        <w:tc>
          <w:tcPr/>
          <w:p>
            <w:pPr>
              <w:pStyle w:val="Compact"/>
              <w:jc w:val="right"/>
            </w:pPr>
            <w:r>
              <w:t xml:space="preserve">1</w:t>
            </w:r>
          </w:p>
        </w:tc>
        <w:tc>
          <w:tcPr/>
          <w:p>
            <w:pPr>
              <w:pStyle w:val="Compact"/>
              <w:jc w:val="left"/>
            </w:pPr>
            <w:r>
              <w:t xml:space="preserve">Assumed for</w:t>
            </w:r>
          </w:p>
        </w:tc>
        <w:tc>
          <w:tcPr/>
          <w:p>
            <w:pPr>
              <w:pStyle w:val="Compact"/>
              <w:jc w:val="left"/>
            </w:pPr>
            <w:r>
              <w:rPr>
                <w:bCs/>
                <w:b/>
              </w:rPr>
              <w:t xml:space="preserve">Assumption</w:t>
            </w:r>
            <w:r>
              <w:t xml:space="preserve"> </w:t>
            </w:r>
            <w:r>
              <w:t xml:space="preserve">(no source)</w:t>
            </w:r>
          </w:p>
        </w:tc>
      </w:tr>
      <w:tr>
        <w:tc>
          <w:tcPr/>
          <w:p>
            <w:pPr>
              <w:pStyle w:val="Compact"/>
              <w:jc w:val="left"/>
            </w:pPr>
            <w:r>
              <w:t xml:space="preserve">Lambie, Payman, Pocock, Thorpe</w:t>
            </w:r>
          </w:p>
        </w:tc>
        <w:tc>
          <w:tcPr/>
          <w:p>
            <w:pPr>
              <w:pStyle w:val="Compact"/>
              <w:jc w:val="right"/>
            </w:pPr>
            <w:r>
              <w:t xml:space="preserve">4 (1 each)</w:t>
            </w:r>
          </w:p>
        </w:tc>
        <w:tc>
          <w:tcPr/>
          <w:p>
            <w:pPr>
              <w:pStyle w:val="Compact"/>
              <w:jc w:val="left"/>
            </w:pPr>
            <w:r>
              <w:t xml:space="preserve">Not assumed</w:t>
            </w:r>
          </w:p>
        </w:tc>
        <w:tc>
          <w:tcPr/>
          <w:p>
            <w:pPr>
              <w:pStyle w:val="Compact"/>
              <w:jc w:val="left"/>
            </w:pPr>
            <w:r>
              <w:t xml:space="preserve">—</w:t>
            </w:r>
          </w:p>
        </w:tc>
      </w:tr>
      <w:tr>
        <w:tc>
          <w:tcPr/>
          <w:p>
            <w:pPr>
              <w:pStyle w:val="Compact"/>
              <w:jc w:val="left"/>
            </w:pPr>
            <w:r>
              <w:rPr>
                <w:bCs/>
                <w:b/>
              </w:rPr>
              <w:t xml:space="preserve">Total</w:t>
            </w:r>
          </w:p>
        </w:tc>
        <w:tc>
          <w:tcPr/>
          <w:p>
            <w:pPr>
              <w:pStyle w:val="Compact"/>
              <w:jc w:val="right"/>
            </w:pPr>
            <w:r>
              <w:rPr>
                <w:bCs/>
                <w:b/>
              </w:rPr>
              <w:t xml:space="preserve">76</w:t>
            </w:r>
          </w:p>
        </w:tc>
        <w:tc>
          <w:tcPr/>
          <w:p>
            <w:pPr>
              <w:pStyle w:val="Compact"/>
            </w:pPr>
          </w:p>
        </w:tc>
        <w:tc>
          <w:tcPr/>
          <w:p>
            <w:pPr>
              <w:pStyle w:val="Compact"/>
              <w:jc w:val="left"/>
            </w:pPr>
            <w:r>
              <w:t xml:space="preserve">Script asserts the parts sum to 76</w:t>
            </w:r>
          </w:p>
        </w:tc>
      </w:tr>
    </w:tbl>
    <w:p>
      <w:pPr>
        <w:pStyle w:val="BodyText"/>
      </w:pPr>
      <w:r>
        <w:t xml:space="preserve">Steps (</w:t>
      </w:r>
      <w:r>
        <w:rPr>
          <w:rStyle w:val="VerbatimChar"/>
        </w:rPr>
        <w:t xml:space="preserve">law_timelines.py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Working</w:t>
            </w:r>
          </w:p>
        </w:tc>
        <w:tc>
          <w:tcPr/>
          <w:p>
            <w:pPr>
              <w:pStyle w:val="Compact"/>
              <w:jc w:val="left"/>
            </w:pPr>
            <w:r>
              <w:t xml:space="preserve">Result</w:t>
            </w:r>
          </w:p>
        </w:tc>
      </w:tr>
      <w:tr>
        <w:tc>
          <w:tcPr/>
          <w:p>
            <w:pPr>
              <w:pStyle w:val="Compact"/>
              <w:jc w:val="left"/>
            </w:pPr>
            <w:r>
              <w:t xml:space="preserve">1. Majority needed, all 76 voting</w:t>
            </w:r>
          </w:p>
        </w:tc>
        <w:tc>
          <w:tcPr/>
          <w:p>
            <w:pPr>
              <w:pStyle w:val="Compact"/>
              <w:jc w:val="left"/>
            </w:pPr>
            <w:r>
              <w:t xml:space="preserve">⌊76 / 2⌋ + 1 (a tied vote fails, Constitution s 23 [TO VERIFY wording])</w:t>
            </w:r>
          </w:p>
        </w:tc>
        <w:tc>
          <w:tcPr/>
          <w:p>
            <w:pPr>
              <w:pStyle w:val="Compact"/>
              <w:jc w:val="left"/>
            </w:pPr>
            <w:r>
              <w:rPr>
                <w:bCs/>
                <w:b/>
              </w:rPr>
              <w:t xml:space="preserve">39</w:t>
            </w:r>
          </w:p>
        </w:tc>
      </w:tr>
      <w:tr>
        <w:tc>
          <w:tcPr/>
          <w:p>
            <w:pPr>
              <w:pStyle w:val="Compact"/>
              <w:jc w:val="left"/>
            </w:pPr>
            <w:r>
              <w:t xml:space="preserve">2. Largest pro-repeal bloc (upper bound)</w:t>
            </w:r>
          </w:p>
        </w:tc>
        <w:tc>
          <w:tcPr/>
          <w:p>
            <w:pPr>
              <w:pStyle w:val="Compact"/>
              <w:jc w:val="left"/>
            </w:pPr>
            <w:r>
              <w:t xml:space="preserve">Coalition 27 + One Nation 4 + Babet 1</w:t>
            </w:r>
          </w:p>
        </w:tc>
        <w:tc>
          <w:tcPr/>
          <w:p>
            <w:pPr>
              <w:pStyle w:val="Compact"/>
              <w:jc w:val="left"/>
            </w:pPr>
            <w:r>
              <w:rPr>
                <w:bCs/>
                <w:b/>
              </w:rPr>
              <w:t xml:space="preserve">32</w:t>
            </w:r>
          </w:p>
        </w:tc>
      </w:tr>
      <w:tr>
        <w:tc>
          <w:tcPr/>
          <w:p>
            <w:pPr>
              <w:pStyle w:val="Compact"/>
              <w:jc w:val="left"/>
            </w:pPr>
            <w:r>
              <w:t xml:space="preserve">3. Shortfall</w:t>
            </w:r>
          </w:p>
        </w:tc>
        <w:tc>
          <w:tcPr/>
          <w:p>
            <w:pPr>
              <w:pStyle w:val="Compact"/>
              <w:jc w:val="left"/>
            </w:pPr>
            <w:r>
              <w:t xml:space="preserve">39 − 32</w:t>
            </w:r>
          </w:p>
        </w:tc>
        <w:tc>
          <w:tcPr/>
          <w:p>
            <w:pPr>
              <w:pStyle w:val="Compact"/>
              <w:jc w:val="left"/>
            </w:pPr>
            <w:r>
              <w:rPr>
                <w:bCs/>
                <w:b/>
              </w:rPr>
              <w:t xml:space="preserve">7</w:t>
            </w:r>
          </w:p>
        </w:tc>
      </w:tr>
      <w:tr>
        <w:tc>
          <w:tcPr/>
          <w:p>
            <w:pPr>
              <w:pStyle w:val="Compact"/>
              <w:jc w:val="left"/>
            </w:pPr>
            <w:r>
              <w:t xml:space="preserve">4. Bloc plus every other crossbencher</w:t>
            </w:r>
          </w:p>
        </w:tc>
        <w:tc>
          <w:tcPr/>
          <w:p>
            <w:pPr>
              <w:pStyle w:val="Compact"/>
              <w:jc w:val="left"/>
            </w:pPr>
            <w:r>
              <w:t xml:space="preserve">32 + 4</w:t>
            </w:r>
          </w:p>
        </w:tc>
        <w:tc>
          <w:tcPr/>
          <w:p>
            <w:pPr>
              <w:pStyle w:val="Compact"/>
              <w:jc w:val="left"/>
            </w:pPr>
            <w:r>
              <w:rPr>
                <w:bCs/>
                <w:b/>
              </w:rPr>
              <w:t xml:space="preserve">36</w:t>
            </w:r>
            <w:r>
              <w:t xml:space="preserve"> </w:t>
            </w:r>
            <w:r>
              <w:t xml:space="preserve">(still 3 short) [TO VERIFY at aph.gov.au: 39/37 or 40/36; a search lead counts six other crossbenchers, giving 37 and 2 short]</w:t>
            </w:r>
          </w:p>
        </w:tc>
      </w:tr>
      <w:tr>
        <w:tc>
          <w:tcPr/>
          <w:p>
            <w:pPr>
              <w:pStyle w:val="Compact"/>
              <w:jc w:val="left"/>
            </w:pPr>
            <w:r>
              <w:t xml:space="preserve">5. Can repeal pass without Labor or the Greens?</w:t>
            </w:r>
          </w:p>
        </w:tc>
        <w:tc>
          <w:tcPr/>
          <w:p>
            <w:pPr>
              <w:pStyle w:val="Compact"/>
              <w:jc w:val="left"/>
            </w:pPr>
            <w:r>
              <w:t xml:space="preserve">36 ≥ 39?</w:t>
            </w:r>
          </w:p>
        </w:tc>
        <w:tc>
          <w:tcPr/>
          <w:p>
            <w:pPr>
              <w:pStyle w:val="Compact"/>
              <w:jc w:val="left"/>
            </w:pPr>
            <w:r>
              <w:rPr>
                <w:bCs/>
                <w:b/>
              </w:rPr>
              <w:t xml:space="preserve">No</w:t>
            </w:r>
          </w:p>
        </w:tc>
      </w:tr>
      <w:tr>
        <w:tc>
          <w:tcPr/>
          <w:p>
            <w:pPr>
              <w:pStyle w:val="Compact"/>
              <w:jc w:val="left"/>
            </w:pPr>
            <w:r>
              <w:t xml:space="preserve">6. Would the Greens alone be enough (arithmetic only)?</w:t>
            </w:r>
          </w:p>
        </w:tc>
        <w:tc>
          <w:tcPr/>
          <w:p>
            <w:pPr>
              <w:pStyle w:val="Compact"/>
              <w:jc w:val="left"/>
            </w:pPr>
            <w:r>
              <w:t xml:space="preserve">32 + 10 = 42 ≥ 39?</w:t>
            </w:r>
          </w:p>
        </w:tc>
        <w:tc>
          <w:tcPr/>
          <w:p>
            <w:pPr>
              <w:pStyle w:val="Compact"/>
              <w:jc w:val="left"/>
            </w:pPr>
            <w:r>
              <w:t xml:space="preserve">Yes, but the Greens oppose (policy, not arithmetic)</w:t>
            </w:r>
          </w:p>
        </w:tc>
      </w:tr>
      <w:tr>
        <w:tc>
          <w:tcPr/>
          <w:p>
            <w:pPr>
              <w:pStyle w:val="Compact"/>
              <w:jc w:val="left"/>
            </w:pPr>
            <w:r>
              <w:t xml:space="preserve">7. Opposed bloc</w:t>
            </w:r>
          </w:p>
        </w:tc>
        <w:tc>
          <w:tcPr/>
          <w:p>
            <w:pPr>
              <w:pStyle w:val="Compact"/>
              <w:jc w:val="left"/>
            </w:pPr>
            <w:r>
              <w:t xml:space="preserve">Labor 30 + Greens 10 = 40 ≥ 39 [TO VERIFY at aph.gov.au: 39/37 or 40/36; a search lead gives 39]</w:t>
            </w:r>
          </w:p>
        </w:tc>
        <w:tc>
          <w:tcPr/>
          <w:p>
            <w:pPr>
              <w:pStyle w:val="Compact"/>
              <w:jc w:val="left"/>
            </w:pPr>
            <w:r>
              <w:t xml:space="preserve">A blocking majority on its own</w:t>
            </w:r>
          </w:p>
        </w:tc>
      </w:tr>
    </w:tbl>
    <w:p>
      <w:pPr>
        <w:pStyle w:val="BodyText"/>
      </w:pPr>
      <w:r>
        <w:t xml:space="preserve">Result 4 makes the conclusion independent of the One Nation and Babet assumption (it holds on either count of seats). In the House, Labor holds 94 of 150 seats (Australian Electoral Commission, 2025) [TO VERIFY], so a repeal bill would also need the Government’s support there.</w:t>
      </w:r>
    </w:p>
    <w:bookmarkEnd w:id="62"/>
    <w:bookmarkStart w:id="63" w:name="b1.3-nsw-repeal-bill-status"/>
    <w:p>
      <w:pPr>
        <w:pStyle w:val="Heading4"/>
      </w:pPr>
      <w:r>
        <w:t xml:space="preserve">B1.3 NSW repeal bill status</w:t>
      </w:r>
    </w:p>
    <w:p>
      <w:pPr>
        <w:pStyle w:val="FirstParagraph"/>
      </w:pPr>
      <w:r>
        <w:rPr>
          <w:iCs/>
          <w:i/>
        </w:rPr>
        <w:t xml:space="preserve">Table B3. Progress of the NSW repeal bill (private member’s bill).</w:t>
      </w:r>
      <w:r>
        <w:t xml:space="preserve"> </w:t>
      </w:r>
      <w:r>
        <w:rPr>
          <w:iCs/>
          <w:i/>
        </w:rPr>
        <w:t xml:space="preserve">Source: Parliament of New South Wales (2025–26; 2026) [TO VERIFY];</w:t>
      </w:r>
      <w:r>
        <w:rPr>
          <w:iCs/>
          <w:i/>
        </w:rPr>
        <w:t xml:space="preserve"> </w:t>
      </w:r>
      <w:r>
        <w:rPr>
          <w:rStyle w:val="VerbatimChar"/>
          <w:iCs/>
          <w:i/>
        </w:rPr>
        <w:t xml:space="preserve">parameters_run2.yaml</w:t>
      </w:r>
      <w:r>
        <w:rPr>
          <w:iCs/>
          <w:i/>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Event</w:t>
            </w:r>
          </w:p>
        </w:tc>
        <w:tc>
          <w:tcPr/>
          <w:p>
            <w:pPr>
              <w:pStyle w:val="Compact"/>
              <w:jc w:val="left"/>
            </w:pPr>
            <w:r>
              <w:t xml:space="preserve">Date</w:t>
            </w:r>
          </w:p>
        </w:tc>
        <w:tc>
          <w:tcPr/>
          <w:p>
            <w:pPr>
              <w:pStyle w:val="Compact"/>
              <w:jc w:val="left"/>
            </w:pPr>
            <w:r>
              <w:t xml:space="preserve">Note</w:t>
            </w:r>
          </w:p>
        </w:tc>
      </w:tr>
      <w:tr>
        <w:tc>
          <w:tcPr/>
          <w:p>
            <w:pPr>
              <w:pStyle w:val="Compact"/>
              <w:jc w:val="left"/>
            </w:pPr>
            <w:r>
              <w:t xml:space="preserve">Introduced in the Legislative Council</w:t>
            </w:r>
          </w:p>
        </w:tc>
        <w:tc>
          <w:tcPr/>
          <w:p>
            <w:pPr>
              <w:pStyle w:val="Compact"/>
              <w:jc w:val="left"/>
            </w:pPr>
            <w:r>
              <w:t xml:space="preserve">19 November 2025</w:t>
            </w:r>
          </w:p>
        </w:tc>
        <w:tc>
          <w:tcPr/>
          <w:p>
            <w:pPr>
              <w:pStyle w:val="Compact"/>
              <w:jc w:val="left"/>
            </w:pPr>
            <w:r>
              <w:t xml:space="preserve">—</w:t>
            </w:r>
          </w:p>
        </w:tc>
      </w:tr>
      <w:tr>
        <w:tc>
          <w:tcPr/>
          <w:p>
            <w:pPr>
              <w:pStyle w:val="Compact"/>
              <w:jc w:val="left"/>
            </w:pPr>
            <w:r>
              <w:t xml:space="preserve">Passed the Legislative Council</w:t>
            </w:r>
          </w:p>
        </w:tc>
        <w:tc>
          <w:tcPr/>
          <w:p>
            <w:pPr>
              <w:pStyle w:val="Compact"/>
              <w:jc w:val="left"/>
            </w:pPr>
            <w:r>
              <w:t xml:space="preserve">6 May 2026</w:t>
            </w:r>
          </w:p>
        </w:tc>
        <w:tc>
          <w:tcPr/>
          <w:p>
            <w:pPr>
              <w:pStyle w:val="Compact"/>
              <w:jc w:val="left"/>
            </w:pPr>
            <w:r>
              <w:t xml:space="preserve">About 5.5 months after introduction (law brief §4). All Liberal and National MLCs voted for it [TO VERIFY]</w:t>
            </w:r>
          </w:p>
        </w:tc>
      </w:tr>
      <w:tr>
        <w:tc>
          <w:tcPr/>
          <w:p>
            <w:pPr>
              <w:pStyle w:val="Compact"/>
              <w:jc w:val="left"/>
            </w:pPr>
            <w:r>
              <w:t xml:space="preserve">Legislative Assembly</w:t>
            </w:r>
          </w:p>
        </w:tc>
        <w:tc>
          <w:tcPr/>
          <w:p>
            <w:pPr>
              <w:pStyle w:val="Compact"/>
              <w:jc w:val="left"/>
            </w:pPr>
            <w:r>
              <w:t xml:space="preserve">Awaiting the second reading speech (notice paper reported 27 May 2026)</w:t>
            </w:r>
          </w:p>
        </w:tc>
        <w:tc>
          <w:tcPr/>
          <w:p>
            <w:pPr>
              <w:pStyle w:val="Compact"/>
              <w:jc w:val="left"/>
            </w:pPr>
            <w:r>
              <w:t xml:space="preserve">The Minns Labor Government opposes repeal and holds an Assembly majority [TO VERIFY; Minns quote is secondary, Canberra Times (n.d.)]</w:t>
            </w:r>
          </w:p>
        </w:tc>
      </w:tr>
      <w:tr>
        <w:tc>
          <w:tcPr/>
          <w:p>
            <w:pPr>
              <w:pStyle w:val="Compact"/>
              <w:jc w:val="left"/>
            </w:pPr>
            <w:r>
              <w:t xml:space="preserve">Lapses</w:t>
            </w:r>
          </w:p>
        </w:tc>
        <w:tc>
          <w:tcPr/>
          <w:p>
            <w:pPr>
              <w:pStyle w:val="Compact"/>
              <w:jc w:val="left"/>
            </w:pPr>
            <w:r>
              <w:t xml:space="preserve">28 November 2026</w:t>
            </w:r>
          </w:p>
        </w:tc>
        <w:tc>
          <w:tcPr/>
          <w:p>
            <w:pPr>
              <w:pStyle w:val="Compact"/>
              <w:jc w:val="left"/>
            </w:pPr>
            <w:r>
              <w:t xml:space="preserve">Unless the Assembly acts first [TO VERIFY against the latest notice paper]</w:t>
            </w:r>
          </w:p>
        </w:tc>
      </w:tr>
    </w:tbl>
    <w:bookmarkEnd w:id="63"/>
    <w:bookmarkStart w:id="64" w:name="X1a74a4ec34d97d2cc7de09de2586d1d2b22092c"/>
    <w:p>
      <w:pPr>
        <w:pStyle w:val="Heading4"/>
      </w:pPr>
      <w:r>
        <w:t xml:space="preserve">B1.4 Licensing timelines: Darlington (Canada)</w:t>
      </w:r>
    </w:p>
    <w:p>
      <w:pPr>
        <w:pStyle w:val="FirstParagraph"/>
      </w:pPr>
      <w:r>
        <w:rPr>
          <w:iCs/>
          <w:i/>
        </w:rPr>
        <w:t xml:space="preserve">Table B4. CNSC licensing milestones for the Darlington New Nuclear Project.</w:t>
      </w:r>
      <w:r>
        <w:t xml:space="preserve"> </w:t>
      </w:r>
      <w:r>
        <w:rPr>
          <w:iCs/>
          <w:i/>
        </w:rPr>
        <w:t xml:space="preserve">Source: Canadian Nuclear Safety Commission [CNSC] (2021; 2025; 2026a; 2026b) [TO VERIFY];</w:t>
      </w:r>
      <w:r>
        <w:rPr>
          <w:iCs/>
          <w:i/>
        </w:rPr>
        <w:t xml:space="preserve"> </w:t>
      </w:r>
      <w:r>
        <w:rPr>
          <w:rStyle w:val="VerbatimChar"/>
          <w:iCs/>
          <w:i/>
        </w:rPr>
        <w:t xml:space="preserve">parameters_run2.yaml</w:t>
      </w:r>
      <w:r>
        <w:rPr>
          <w:iCs/>
          <w:i/>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Parameter key</w:t>
            </w:r>
          </w:p>
        </w:tc>
      </w:tr>
      <w:tr>
        <w:tc>
          <w:tcPr/>
          <w:p>
            <w:pPr>
              <w:pStyle w:val="Compact"/>
              <w:jc w:val="left"/>
            </w:pPr>
            <w:r>
              <w:t xml:space="preserve">Environmental assessment begins (joint review panel)</w:t>
            </w:r>
          </w:p>
        </w:tc>
        <w:tc>
          <w:tcPr/>
          <w:p>
            <w:pPr>
              <w:pStyle w:val="Compact"/>
              <w:jc w:val="left"/>
            </w:pPr>
            <w:r>
              <w:t xml:space="preserve">May 2007 (taken as 1 May)</w:t>
            </w:r>
          </w:p>
        </w:tc>
        <w:tc>
          <w:tcPr/>
          <w:p>
            <w:pPr>
              <w:pStyle w:val="Compact"/>
              <w:jc w:val="left"/>
            </w:pPr>
            <w:r>
              <w:rPr>
                <w:rStyle w:val="VerbatimChar"/>
              </w:rPr>
              <w:t xml:space="preserve">dnnp_ea_start</w:t>
            </w:r>
          </w:p>
        </w:tc>
      </w:tr>
      <w:tr>
        <w:tc>
          <w:tcPr/>
          <w:p>
            <w:pPr>
              <w:pStyle w:val="Compact"/>
              <w:jc w:val="left"/>
            </w:pPr>
            <w:r>
              <w:t xml:space="preserve">Licence to prepare site issued</w:t>
            </w:r>
          </w:p>
        </w:tc>
        <w:tc>
          <w:tcPr/>
          <w:p>
            <w:pPr>
              <w:pStyle w:val="Compact"/>
              <w:jc w:val="left"/>
            </w:pPr>
            <w:r>
              <w:t xml:space="preserve">17 August 2012</w:t>
            </w:r>
          </w:p>
        </w:tc>
        <w:tc>
          <w:tcPr/>
          <w:p>
            <w:pPr>
              <w:pStyle w:val="Compact"/>
              <w:jc w:val="left"/>
            </w:pPr>
            <w:r>
              <w:rPr>
                <w:rStyle w:val="VerbatimChar"/>
              </w:rPr>
              <w:t xml:space="preserve">dnnp_lpts_issued</w:t>
            </w:r>
          </w:p>
        </w:tc>
      </w:tr>
      <w:tr>
        <w:tc>
          <w:tcPr/>
          <w:p>
            <w:pPr>
              <w:pStyle w:val="Compact"/>
              <w:jc w:val="left"/>
            </w:pPr>
            <w:r>
              <w:t xml:space="preserve">Site licence renewed, valid to 11 October 2031</w:t>
            </w:r>
          </w:p>
        </w:tc>
        <w:tc>
          <w:tcPr/>
          <w:p>
            <w:pPr>
              <w:pStyle w:val="Compact"/>
              <w:jc w:val="left"/>
            </w:pPr>
            <w:r>
              <w:t xml:space="preserve">12 October 2021</w:t>
            </w:r>
          </w:p>
        </w:tc>
        <w:tc>
          <w:tcPr/>
          <w:p>
            <w:pPr>
              <w:pStyle w:val="Compact"/>
              <w:jc w:val="left"/>
            </w:pPr>
            <w:r>
              <w:rPr>
                <w:rStyle w:val="VerbatimChar"/>
              </w:rPr>
              <w:t xml:space="preserve">dnnp_lpts_renewed</w:t>
            </w:r>
          </w:p>
        </w:tc>
      </w:tr>
      <w:tr>
        <w:tc>
          <w:tcPr/>
          <w:p>
            <w:pPr>
              <w:pStyle w:val="Compact"/>
              <w:jc w:val="left"/>
            </w:pPr>
            <w:r>
              <w:t xml:space="preserve">Licence-to-construct application (one unit, in packages)</w:t>
            </w:r>
          </w:p>
        </w:tc>
        <w:tc>
          <w:tcPr/>
          <w:p>
            <w:pPr>
              <w:pStyle w:val="Compact"/>
              <w:jc w:val="left"/>
            </w:pPr>
            <w:r>
              <w:t xml:space="preserve">October 2022 (taken as 31 October)</w:t>
            </w:r>
          </w:p>
        </w:tc>
        <w:tc>
          <w:tcPr/>
          <w:p>
            <w:pPr>
              <w:pStyle w:val="Compact"/>
              <w:jc w:val="left"/>
            </w:pPr>
            <w:r>
              <w:rPr>
                <w:rStyle w:val="VerbatimChar"/>
              </w:rPr>
              <w:t xml:space="preserve">dnnp_ltc_application</w:t>
            </w:r>
          </w:p>
        </w:tc>
      </w:tr>
      <w:tr>
        <w:tc>
          <w:tcPr/>
          <w:p>
            <w:pPr>
              <w:pStyle w:val="Compact"/>
              <w:jc w:val="left"/>
            </w:pPr>
            <w:r>
              <w:t xml:space="preserve">Hearing part 2 begins (Ajax)</w:t>
            </w:r>
          </w:p>
        </w:tc>
        <w:tc>
          <w:tcPr/>
          <w:p>
            <w:pPr>
              <w:pStyle w:val="Compact"/>
              <w:jc w:val="left"/>
            </w:pPr>
            <w:r>
              <w:t xml:space="preserve">8 January 2025</w:t>
            </w:r>
          </w:p>
        </w:tc>
        <w:tc>
          <w:tcPr/>
          <w:p>
            <w:pPr>
              <w:pStyle w:val="Compact"/>
              <w:jc w:val="left"/>
            </w:pPr>
            <w:r>
              <w:rPr>
                <w:rStyle w:val="VerbatimChar"/>
              </w:rPr>
              <w:t xml:space="preserve">dnnp_ltc_hearing_part2_start</w:t>
            </w:r>
          </w:p>
        </w:tc>
      </w:tr>
      <w:tr>
        <w:tc>
          <w:tcPr/>
          <w:p>
            <w:pPr>
              <w:pStyle w:val="Compact"/>
              <w:jc w:val="left"/>
            </w:pPr>
            <w:r>
              <w:t xml:space="preserve">Licence to construct issued (PRCL 32.00/2035, one BWRX-300)</w:t>
            </w:r>
          </w:p>
        </w:tc>
        <w:tc>
          <w:tcPr/>
          <w:p>
            <w:pPr>
              <w:pStyle w:val="Compact"/>
              <w:jc w:val="left"/>
            </w:pPr>
            <w:r>
              <w:t xml:space="preserve">4 April 2025</w:t>
            </w:r>
          </w:p>
        </w:tc>
        <w:tc>
          <w:tcPr/>
          <w:p>
            <w:pPr>
              <w:pStyle w:val="Compact"/>
              <w:jc w:val="left"/>
            </w:pPr>
            <w:r>
              <w:rPr>
                <w:rStyle w:val="VerbatimChar"/>
              </w:rPr>
              <w:t xml:space="preserve">dnnp_ltc_decision</w:t>
            </w:r>
          </w:p>
        </w:tc>
      </w:tr>
      <w:tr>
        <w:tc>
          <w:tcPr/>
          <w:p>
            <w:pPr>
              <w:pStyle w:val="Compact"/>
              <w:jc w:val="left"/>
            </w:pPr>
            <w:r>
              <w:t xml:space="preserve">Regulatory hold point 1 lifted (reactor building foundation)</w:t>
            </w:r>
          </w:p>
        </w:tc>
        <w:tc>
          <w:tcPr/>
          <w:p>
            <w:pPr>
              <w:pStyle w:val="Compact"/>
              <w:jc w:val="left"/>
            </w:pPr>
            <w:r>
              <w:t xml:space="preserve">30 March 2026</w:t>
            </w:r>
          </w:p>
        </w:tc>
        <w:tc>
          <w:tcPr/>
          <w:p>
            <w:pPr>
              <w:pStyle w:val="Compact"/>
              <w:jc w:val="left"/>
            </w:pPr>
            <w:r>
              <w:rPr>
                <w:rStyle w:val="VerbatimChar"/>
              </w:rPr>
              <w:t xml:space="preserve">dnnp_rhp1_lifted</w:t>
            </w:r>
          </w:p>
        </w:tc>
      </w:tr>
      <w:tr>
        <w:tc>
          <w:tcPr/>
          <w:p>
            <w:pPr>
              <w:pStyle w:val="Compact"/>
              <w:jc w:val="left"/>
            </w:pPr>
            <w:r>
              <w:t xml:space="preserve">Licence to construct expires</w:t>
            </w:r>
          </w:p>
        </w:tc>
        <w:tc>
          <w:tcPr/>
          <w:p>
            <w:pPr>
              <w:pStyle w:val="Compact"/>
              <w:jc w:val="left"/>
            </w:pPr>
            <w:r>
              <w:t xml:space="preserve">31 March 2035</w:t>
            </w:r>
          </w:p>
        </w:tc>
        <w:tc>
          <w:tcPr/>
          <w:p>
            <w:pPr>
              <w:pStyle w:val="Compact"/>
              <w:jc w:val="left"/>
            </w:pPr>
            <w:r>
              <w:rPr>
                <w:rStyle w:val="VerbatimChar"/>
              </w:rPr>
              <w:t xml:space="preserve">dnnp_ltc_expiry</w:t>
            </w:r>
          </w:p>
        </w:tc>
      </w:tr>
    </w:tbl>
    <w:p>
      <w:pPr>
        <w:pStyle w:val="BodyText"/>
      </w:pPr>
      <w:r>
        <w:t xml:space="preserve">Method: months = days between two dates ÷ (365.25 / 12); years = months ÷ 12.</w:t>
      </w:r>
    </w:p>
    <w:p>
      <w:pPr>
        <w:pStyle w:val="BodyText"/>
      </w:pPr>
      <w:r>
        <w:rPr>
          <w:iCs/>
          <w:i/>
        </w:rPr>
        <w:t xml:space="preserve">Table B5. Licensing durations calculated from Table B4.</w:t>
      </w:r>
      <w:r>
        <w:t xml:space="preserve"> </w:t>
      </w:r>
      <w:r>
        <w:rPr>
          <w:iCs/>
          <w:i/>
        </w:rPr>
        <w:t xml:space="preserve">Source:</w:t>
      </w:r>
      <w:r>
        <w:rPr>
          <w:iCs/>
          <w:i/>
        </w:rPr>
        <w:t xml:space="preserve"> </w:t>
      </w:r>
      <w:r>
        <w:rPr>
          <w:rStyle w:val="VerbatimChar"/>
          <w:iCs/>
          <w:i/>
        </w:rPr>
        <w:t xml:space="preserve">03_LCA_Calculations/results/law_timelines.csv</w:t>
      </w:r>
      <w:r>
        <w:rPr>
          <w:iCs/>
          <w:i/>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Dates used</w:t>
            </w:r>
          </w:p>
        </w:tc>
        <w:tc>
          <w:tcPr/>
          <w:p>
            <w:pPr>
              <w:pStyle w:val="Compact"/>
              <w:jc w:val="left"/>
            </w:pPr>
            <w:r>
              <w:t xml:space="preserve">Result</w:t>
            </w:r>
          </w:p>
        </w:tc>
      </w:tr>
      <w:tr>
        <w:tc>
          <w:tcPr/>
          <w:p>
            <w:pPr>
              <w:pStyle w:val="Compact"/>
              <w:jc w:val="left"/>
            </w:pPr>
            <w:r>
              <w:t xml:space="preserve">Application to licence to construct</w:t>
            </w:r>
          </w:p>
        </w:tc>
        <w:tc>
          <w:tcPr/>
          <w:p>
            <w:pPr>
              <w:pStyle w:val="Compact"/>
              <w:jc w:val="left"/>
            </w:pPr>
            <w:r>
              <w:t xml:space="preserve">31 Oct 2022 → 4 Apr 2025 (886 days)</w:t>
            </w:r>
          </w:p>
        </w:tc>
        <w:tc>
          <w:tcPr/>
          <w:p>
            <w:pPr>
              <w:pStyle w:val="Compact"/>
              <w:jc w:val="left"/>
            </w:pPr>
            <w:r>
              <w:rPr>
                <w:bCs/>
                <w:b/>
              </w:rPr>
              <w:t xml:space="preserve">29.1 months</w:t>
            </w:r>
            <w:r>
              <w:t xml:space="preserve"> </w:t>
            </w:r>
            <w:r>
              <w:t xml:space="preserve">(2.43 years)</w:t>
            </w:r>
          </w:p>
        </w:tc>
      </w:tr>
      <w:tr>
        <w:tc>
          <w:tcPr/>
          <w:p>
            <w:pPr>
              <w:pStyle w:val="Compact"/>
              <w:jc w:val="left"/>
            </w:pPr>
            <w:r>
              <w:t xml:space="preserve">Sensitivity: application day unknown within October</w:t>
            </w:r>
          </w:p>
        </w:tc>
        <w:tc>
          <w:tcPr/>
          <w:p>
            <w:pPr>
              <w:pStyle w:val="Compact"/>
              <w:jc w:val="left"/>
            </w:pPr>
            <w:r>
              <w:t xml:space="preserve">1 Oct 2022 → 4 Apr 2025</w:t>
            </w:r>
          </w:p>
        </w:tc>
        <w:tc>
          <w:tcPr/>
          <w:p>
            <w:pPr>
              <w:pStyle w:val="Compact"/>
              <w:jc w:val="left"/>
            </w:pPr>
            <w:r>
              <w:t xml:space="preserve">29.1–30.1 months</w:t>
            </w:r>
          </w:p>
        </w:tc>
      </w:tr>
      <w:tr>
        <w:tc>
          <w:tcPr/>
          <w:p>
            <w:pPr>
              <w:pStyle w:val="Compact"/>
              <w:jc w:val="left"/>
            </w:pPr>
            <w:r>
              <w:t xml:space="preserve">Against CNSC’s expected review time (32 months, REGDOC-3.5.1 (CNSC, [year TO VERIFY]); extract ambiguous, another row reads 24 months)</w:t>
            </w:r>
          </w:p>
        </w:tc>
        <w:tc>
          <w:tcPr/>
          <w:p>
            <w:pPr>
              <w:pStyle w:val="Compact"/>
              <w:jc w:val="left"/>
            </w:pPr>
            <w:r>
              <w:t xml:space="preserve">29.1 − 32</w:t>
            </w:r>
          </w:p>
        </w:tc>
        <w:tc>
          <w:tcPr/>
          <w:p>
            <w:pPr>
              <w:pStyle w:val="Compact"/>
              <w:jc w:val="left"/>
            </w:pPr>
            <w:r>
              <w:t xml:space="preserve">−2.9 months (faster) [TO VERIFY benchmark]</w:t>
            </w:r>
          </w:p>
        </w:tc>
      </w:tr>
      <w:tr>
        <w:tc>
          <w:tcPr/>
          <w:p>
            <w:pPr>
              <w:pStyle w:val="Compact"/>
              <w:jc w:val="left"/>
            </w:pPr>
            <w:r>
              <w:t xml:space="preserve">Hearing part 2 to decision</w:t>
            </w:r>
          </w:p>
        </w:tc>
        <w:tc>
          <w:tcPr/>
          <w:p>
            <w:pPr>
              <w:pStyle w:val="Compact"/>
              <w:jc w:val="left"/>
            </w:pPr>
            <w:r>
              <w:t xml:space="preserve">8 Jan 2025 → 4 Apr 2025</w:t>
            </w:r>
          </w:p>
        </w:tc>
        <w:tc>
          <w:tcPr/>
          <w:p>
            <w:pPr>
              <w:pStyle w:val="Compact"/>
              <w:jc w:val="left"/>
            </w:pPr>
            <w:r>
              <w:t xml:space="preserve">2.8 months</w:t>
            </w:r>
          </w:p>
        </w:tc>
      </w:tr>
      <w:tr>
        <w:tc>
          <w:tcPr/>
          <w:p>
            <w:pPr>
              <w:pStyle w:val="Compact"/>
              <w:jc w:val="left"/>
            </w:pPr>
            <w:r>
              <w:t xml:space="preserve">Environmental assessment start to licence to construct</w:t>
            </w:r>
          </w:p>
        </w:tc>
        <w:tc>
          <w:tcPr/>
          <w:p>
            <w:pPr>
              <w:pStyle w:val="Compact"/>
              <w:jc w:val="left"/>
            </w:pPr>
            <w:r>
              <w:t xml:space="preserve">May 2007 → 4 Apr 2025</w:t>
            </w:r>
          </w:p>
        </w:tc>
        <w:tc>
          <w:tcPr/>
          <w:p>
            <w:pPr>
              <w:pStyle w:val="Compact"/>
              <w:jc w:val="left"/>
            </w:pPr>
            <w:r>
              <w:rPr>
                <w:bCs/>
                <w:b/>
              </w:rPr>
              <w:t xml:space="preserve">17.9 years</w:t>
            </w:r>
            <w:r>
              <w:t xml:space="preserve"> </w:t>
            </w:r>
            <w:r>
              <w:t xml:space="preserve">(elapsed, not continuous review)</w:t>
            </w:r>
          </w:p>
        </w:tc>
      </w:tr>
      <w:tr>
        <w:tc>
          <w:tcPr/>
          <w:p>
            <w:pPr>
              <w:pStyle w:val="Compact"/>
              <w:jc w:val="left"/>
            </w:pPr>
            <w:r>
              <w:t xml:space="preserve">Licence validity from issue</w:t>
            </w:r>
          </w:p>
        </w:tc>
        <w:tc>
          <w:tcPr/>
          <w:p>
            <w:pPr>
              <w:pStyle w:val="Compact"/>
              <w:jc w:val="left"/>
            </w:pPr>
            <w:r>
              <w:t xml:space="preserve">4 Apr 2025 → 31 Mar 2035</w:t>
            </w:r>
          </w:p>
        </w:tc>
        <w:tc>
          <w:tcPr/>
          <w:p>
            <w:pPr>
              <w:pStyle w:val="Compact"/>
              <w:jc w:val="left"/>
            </w:pPr>
            <w:r>
              <w:t xml:space="preserve">10.0 years</w:t>
            </w:r>
          </w:p>
        </w:tc>
      </w:tr>
      <w:tr>
        <w:tc>
          <w:tcPr/>
          <w:p>
            <w:pPr>
              <w:pStyle w:val="Compact"/>
              <w:jc w:val="left"/>
            </w:pPr>
            <w:r>
              <w:t xml:space="preserve">Licence validity remaining at the report date</w:t>
            </w:r>
          </w:p>
        </w:tc>
        <w:tc>
          <w:tcPr/>
          <w:p>
            <w:pPr>
              <w:pStyle w:val="Compact"/>
              <w:jc w:val="left"/>
            </w:pPr>
            <w:r>
              <w:t xml:space="preserve">20 Oct 2026 → 31 Mar 2035</w:t>
            </w:r>
          </w:p>
        </w:tc>
        <w:tc>
          <w:tcPr/>
          <w:p>
            <w:pPr>
              <w:pStyle w:val="Compact"/>
              <w:jc w:val="left"/>
            </w:pPr>
            <w:r>
              <w:t xml:space="preserve">8.4 years</w:t>
            </w:r>
          </w:p>
        </w:tc>
      </w:tr>
      <w:tr>
        <w:tc>
          <w:tcPr/>
          <w:p>
            <w:pPr>
              <w:pStyle w:val="Compact"/>
              <w:jc w:val="left"/>
            </w:pPr>
            <w:r>
              <w:t xml:space="preserve">Licence to construct to RHP-1 lifted</w:t>
            </w:r>
          </w:p>
        </w:tc>
        <w:tc>
          <w:tcPr/>
          <w:p>
            <w:pPr>
              <w:pStyle w:val="Compact"/>
              <w:jc w:val="left"/>
            </w:pPr>
            <w:r>
              <w:t xml:space="preserve">4 Apr 2025 → 30 Mar 2026</w:t>
            </w:r>
          </w:p>
        </w:tc>
        <w:tc>
          <w:tcPr/>
          <w:p>
            <w:pPr>
              <w:pStyle w:val="Compact"/>
              <w:jc w:val="left"/>
            </w:pPr>
            <w:r>
              <w:t xml:space="preserve">11.8 months</w:t>
            </w:r>
          </w:p>
        </w:tc>
      </w:tr>
    </w:tbl>
    <w:p>
      <w:pPr>
        <w:pStyle w:val="BodyText"/>
      </w:pPr>
      <w:r>
        <w:t xml:space="preserve">The licence covers one unit. Units 2–4 need a further Commission authorisation, with approval to proceed reported as expected in 2028 (American Nuclear Society, 2026) [TO VERIFY; secondary, and the type of approval is not stated]. No source gives the Units 2–4 review time.</w:t>
      </w:r>
    </w:p>
    <w:p>
      <w:pPr>
        <w:pStyle w:val="BodyText"/>
      </w:pPr>
      <w:r>
        <w:t xml:space="preserve">Australian comparator: the naval nuclear regulator (ANNPSR) began operating on 1 November 2025 under a 2024 Act (Minister for Defence, 2025) [TO VERIFY], about two years after its bill [TODO: bill introduction date from Bills Digest No. 32, 2023–24, to give an exact interval].</w:t>
      </w:r>
    </w:p>
    <w:p>
      <w:r>
        <w:pict>
          <v:rect style="width:0;height:1.5pt" o:hralign="center" o:hrstd="t" o:hr="t"/>
        </w:pict>
      </w:r>
    </w:p>
    <w:bookmarkEnd w:id="64"/>
    <w:bookmarkEnd w:id="65"/>
    <w:bookmarkStart w:id="72" w:name="X372cadb88b67a633233203304eb4ef38d3c0c77"/>
    <w:p>
      <w:pPr>
        <w:pStyle w:val="Heading3"/>
      </w:pPr>
      <w:r>
        <w:t xml:space="preserve">B2. Supply concentration: Herfindahl–Hirschman index (HHI) working</w:t>
      </w:r>
    </w:p>
    <w:p>
      <w:pPr>
        <w:pStyle w:val="FirstParagraph"/>
      </w:pPr>
      <w:r>
        <w:rPr>
          <w:bCs/>
          <w:b/>
        </w:rPr>
        <w:t xml:space="preserve">Result.</w:t>
      </w:r>
      <w:r>
        <w:t xml:space="preserve"> </w:t>
      </w:r>
      <w:r>
        <w:t xml:space="preserve">On the 2023 US merger guidelines, mining by country (2,341), conversion (2,111) and enrichment (3,009) are all</w:t>
      </w:r>
      <w:r>
        <w:t xml:space="preserve"> </w:t>
      </w:r>
      <w:r>
        <w:t xml:space="preserve">“</w:t>
      </w:r>
      <w:r>
        <w:t xml:space="preserve">highly concentrated</w:t>
      </w:r>
      <w:r>
        <w:t xml:space="preserve">”</w:t>
      </w:r>
      <w:r>
        <w:t xml:space="preserve">. On the superseded 2010 guidelines only enrichment is; mining and conversion are</w:t>
      </w:r>
      <w:r>
        <w:t xml:space="preserve"> </w:t>
      </w:r>
      <w:r>
        <w:t xml:space="preserve">“</w:t>
      </w:r>
      <w:r>
        <w:t xml:space="preserve">moderately concentrated</w:t>
      </w:r>
      <w:r>
        <w:t xml:space="preserve">”</w:t>
      </w:r>
      <w:r>
        <w:t xml:space="preserve">. Removing Russia raises the HHI at every stage. Removing Russia and China leaves enrichment as a Urenco–Orano duopoly (5,621). The one case below 1,800 is mining by company (about 850–1,400, from the top three firms only; midpoint 1,118), so mining concentration is a country (geopolitical) risk rather than a market-power risk.</w:t>
      </w:r>
    </w:p>
    <w:bookmarkStart w:id="66" w:name="b2.1-method"/>
    <w:p>
      <w:pPr>
        <w:pStyle w:val="Heading4"/>
      </w:pPr>
      <w:r>
        <w:t xml:space="preserve">B2.1 Method</w:t>
      </w:r>
    </w:p>
    <w:p>
      <w:pPr>
        <w:numPr>
          <w:ilvl w:val="0"/>
          <w:numId w:val="1004"/>
        </w:numPr>
        <w:pStyle w:val="Compact"/>
      </w:pPr>
      <w:r>
        <w:t xml:space="preserve">Share of supplier</w:t>
      </w:r>
      <w:r>
        <w:t xml:space="preserve"> </w:t>
      </w:r>
      <w:r>
        <w:rPr>
          <w:iCs/>
          <w:i/>
        </w:rPr>
        <w:t xml:space="preserve">i</w:t>
      </w:r>
      <w:r>
        <w:t xml:space="preserve">: s</w:t>
      </w:r>
      <w:r>
        <w:rPr>
          <w:iCs/>
          <w:i/>
        </w:rPr>
        <w:t xml:space="preserve">ᵢ</w:t>
      </w:r>
      <w:r>
        <w:t xml:space="preserve"> </w:t>
      </w:r>
      <w:r>
        <w:t xml:space="preserve">= 100 × q</w:t>
      </w:r>
      <w:r>
        <w:rPr>
          <w:iCs/>
          <w:i/>
        </w:rPr>
        <w:t xml:space="preserve">ᵢ</w:t>
      </w:r>
      <w:r>
        <w:t xml:space="preserve"> </w:t>
      </w:r>
      <w:r>
        <w:t xml:space="preserve">/ Σq (per cent), where q is output or capacity.</w:t>
      </w:r>
    </w:p>
    <w:p>
      <w:pPr>
        <w:numPr>
          <w:ilvl w:val="0"/>
          <w:numId w:val="1004"/>
        </w:numPr>
        <w:pStyle w:val="Compact"/>
      </w:pPr>
      <w:r>
        <w:t xml:space="preserve">HHI = Σ s</w:t>
      </w:r>
      <w:r>
        <w:rPr>
          <w:iCs/>
          <w:i/>
        </w:rPr>
        <w:t xml:space="preserve">ᵢ</w:t>
      </w:r>
      <w:r>
        <w:t xml:space="preserve">² (range 0 to 10,000; one supplier = 10,000).</w:t>
      </w:r>
    </w:p>
    <w:p>
      <w:pPr>
        <w:numPr>
          <w:ilvl w:val="0"/>
          <w:numId w:val="1004"/>
        </w:numPr>
        <w:pStyle w:val="Compact"/>
      </w:pPr>
      <w:r>
        <w:t xml:space="preserve">Equivalent number of equal-sized suppliers: N_eq = 10,000 / HHI.</w:t>
      </w:r>
    </w:p>
    <w:p>
      <w:pPr>
        <w:numPr>
          <w:ilvl w:val="0"/>
          <w:numId w:val="1004"/>
        </w:numPr>
        <w:pStyle w:val="Compact"/>
      </w:pPr>
      <w:r>
        <w:t xml:space="preserve">Measures: mining by country (2024 mine output, tU); conversion by company (licensed capacity, tU as UF₆ per year; production as a check); enrichment by company (capacity, thousand SWU per year; 2025 base, 2022 and 2030 as sensitivity).</w:t>
      </w:r>
    </w:p>
    <w:p>
      <w:pPr>
        <w:numPr>
          <w:ilvl w:val="0"/>
          <w:numId w:val="1004"/>
        </w:numPr>
        <w:pStyle w:val="Compact"/>
      </w:pPr>
      <w:r>
        <w:t xml:space="preserve">“</w:t>
      </w:r>
      <w:r>
        <w:t xml:space="preserve">Without Russia</w:t>
      </w:r>
      <w:r>
        <w:t xml:space="preserve">”</w:t>
      </w:r>
      <w:r>
        <w:t xml:space="preserve">: Russian supply removed and the remaining shares renormalised, with no new capacity (the market open to a buyer barred from Russian material).</w:t>
      </w:r>
      <w:r>
        <w:t xml:space="preserve"> </w:t>
      </w:r>
      <w:r>
        <w:t xml:space="preserve">“</w:t>
      </w:r>
      <w:r>
        <w:t xml:space="preserve">Without Russia and China</w:t>
      </w:r>
      <w:r>
        <w:t xml:space="preserve">”</w:t>
      </w:r>
      <w:r>
        <w:t xml:space="preserve"> </w:t>
      </w:r>
      <w:r>
        <w:t xml:space="preserve">also removes CNNC, whose capacity WNA estimates on the assumption that it serves China’s own fleet; this approximates the market open to a Canadian or Australian utility.</w:t>
      </w:r>
    </w:p>
    <w:p>
      <w:pPr>
        <w:numPr>
          <w:ilvl w:val="0"/>
          <w:numId w:val="1004"/>
        </w:numPr>
        <w:pStyle w:val="Compact"/>
      </w:pPr>
      <w:r>
        <w:t xml:space="preserve">“</w:t>
      </w:r>
      <w:r>
        <w:t xml:space="preserve">Others</w:t>
      </w:r>
      <w:r>
        <w:t xml:space="preserve">”</w:t>
      </w:r>
      <w:r>
        <w:t xml:space="preserve"> </w:t>
      </w:r>
      <w:r>
        <w:t xml:space="preserve">or residual rows are bounded: one supplier (upper bound) or many small suppliers (lower bound, about 0). The difference is below 3 HHI points in every 2024/2025 case.</w:t>
      </w:r>
    </w:p>
    <w:p>
      <w:pPr>
        <w:numPr>
          <w:ilvl w:val="0"/>
          <w:numId w:val="1004"/>
        </w:numPr>
        <w:pStyle w:val="Compact"/>
      </w:pPr>
      <w:r>
        <w:t xml:space="preserve">Shares are squared before rounding, so squaring a rounded share in the tables can differ by less than 1 point.</w:t>
      </w:r>
    </w:p>
    <w:p>
      <w:pPr>
        <w:pStyle w:val="FirstParagraph"/>
      </w:pPr>
      <w:r>
        <w:rPr>
          <w:iCs/>
          <w:i/>
        </w:rPr>
        <w:t xml:space="preserve">Table B6. HHI thresholds used as a scale.</w:t>
      </w:r>
      <w:r>
        <w:t xml:space="preserve"> </w:t>
      </w:r>
      <w:r>
        <w:rPr>
          <w:iCs/>
          <w:i/>
        </w:rPr>
        <w:t xml:space="preserve">Source: US Department of Justice and Federal Trade Commission (2023; 2010) [TO VERIFY wording].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Guideline</w:t>
            </w:r>
          </w:p>
        </w:tc>
        <w:tc>
          <w:tcPr/>
          <w:p>
            <w:pPr>
              <w:pStyle w:val="Compact"/>
              <w:jc w:val="left"/>
            </w:pPr>
            <w:r>
              <w:t xml:space="preserve">Unconcentrated</w:t>
            </w:r>
          </w:p>
        </w:tc>
        <w:tc>
          <w:tcPr/>
          <w:p>
            <w:pPr>
              <w:pStyle w:val="Compact"/>
              <w:jc w:val="left"/>
            </w:pPr>
            <w:r>
              <w:t xml:space="preserve">Moderately concentrated</w:t>
            </w:r>
          </w:p>
        </w:tc>
        <w:tc>
          <w:tcPr/>
          <w:p>
            <w:pPr>
              <w:pStyle w:val="Compact"/>
              <w:jc w:val="left"/>
            </w:pPr>
            <w:r>
              <w:t xml:space="preserve">Highly concentrated</w:t>
            </w:r>
          </w:p>
        </w:tc>
        <w:tc>
          <w:tcPr/>
          <w:p>
            <w:pPr>
              <w:pStyle w:val="Compact"/>
              <w:jc w:val="left"/>
            </w:pPr>
            <w:r>
              <w:t xml:space="preserve">Status</w:t>
            </w:r>
          </w:p>
        </w:tc>
      </w:tr>
      <w:tr>
        <w:tc>
          <w:tcPr/>
          <w:p>
            <w:pPr>
              <w:pStyle w:val="Compact"/>
              <w:jc w:val="left"/>
            </w:pPr>
            <w:r>
              <w:rPr>
                <w:iCs/>
                <w:i/>
              </w:rPr>
              <w:t xml:space="preserve">Merger Guidelines</w:t>
            </w:r>
            <w:r>
              <w:t xml:space="preserve"> </w:t>
            </w:r>
            <w:r>
              <w:t xml:space="preserve">(2023), §2.1</w:t>
            </w:r>
          </w:p>
        </w:tc>
        <w:tc>
          <w:tcPr/>
          <w:p>
            <w:pPr>
              <w:pStyle w:val="Compact"/>
              <w:jc w:val="left"/>
            </w:pPr>
            <w:r>
              <w:t xml:space="preserve">—</w:t>
            </w:r>
          </w:p>
        </w:tc>
        <w:tc>
          <w:tcPr/>
          <w:p>
            <w:pPr>
              <w:pStyle w:val="Compact"/>
              <w:jc w:val="left"/>
            </w:pPr>
            <w:r>
              <w:t xml:space="preserve">—</w:t>
            </w:r>
          </w:p>
        </w:tc>
        <w:tc>
          <w:tcPr/>
          <w:p>
            <w:pPr>
              <w:pStyle w:val="Compact"/>
              <w:jc w:val="left"/>
            </w:pPr>
            <w:r>
              <w:t xml:space="preserve">HHI &gt; 1,800 [TO VERIFY:</w:t>
            </w:r>
            <w:r>
              <w:t xml:space="preserve"> </w:t>
            </w:r>
            <w:r>
              <w:t xml:space="preserve">“</w:t>
            </w:r>
            <w:r>
              <w:t xml:space="preserve">greater than</w:t>
            </w:r>
            <w:r>
              <w:t xml:space="preserve">”</w:t>
            </w:r>
            <w:r>
              <w:t xml:space="preserve"> </w:t>
            </w:r>
            <w:r>
              <w:t xml:space="preserve">or</w:t>
            </w:r>
            <w:r>
              <w:t xml:space="preserve"> </w:t>
            </w:r>
            <w:r>
              <w:t xml:space="preserve">“</w:t>
            </w:r>
            <w:r>
              <w:t xml:space="preserve">1,800 or greater</w:t>
            </w:r>
            <w:r>
              <w:t xml:space="preserve">”</w:t>
            </w:r>
            <w:r>
              <w:t xml:space="preserve">]</w:t>
            </w:r>
          </w:p>
        </w:tc>
        <w:tc>
          <w:tcPr/>
          <w:p>
            <w:pPr>
              <w:pStyle w:val="Compact"/>
              <w:jc w:val="left"/>
            </w:pPr>
            <w:r>
              <w:t xml:space="preserve">Current</w:t>
            </w:r>
          </w:p>
        </w:tc>
      </w:tr>
      <w:tr>
        <w:tc>
          <w:tcPr/>
          <w:p>
            <w:pPr>
              <w:pStyle w:val="Compact"/>
              <w:jc w:val="left"/>
            </w:pPr>
            <w:r>
              <w:rPr>
                <w:iCs/>
                <w:i/>
              </w:rPr>
              <w:t xml:space="preserve">Horizontal Merger Guidelines</w:t>
            </w:r>
            <w:r>
              <w:t xml:space="preserve"> </w:t>
            </w:r>
            <w:r>
              <w:t xml:space="preserve">(2010), §5.3</w:t>
            </w:r>
          </w:p>
        </w:tc>
        <w:tc>
          <w:tcPr/>
          <w:p>
            <w:pPr>
              <w:pStyle w:val="Compact"/>
              <w:jc w:val="left"/>
            </w:pPr>
            <w:r>
              <w:t xml:space="preserve">&lt; 1,500</w:t>
            </w:r>
          </w:p>
        </w:tc>
        <w:tc>
          <w:tcPr/>
          <w:p>
            <w:pPr>
              <w:pStyle w:val="Compact"/>
              <w:jc w:val="left"/>
            </w:pPr>
            <w:r>
              <w:t xml:space="preserve">1,500–2,500</w:t>
            </w:r>
          </w:p>
        </w:tc>
        <w:tc>
          <w:tcPr/>
          <w:p>
            <w:pPr>
              <w:pStyle w:val="Compact"/>
              <w:jc w:val="left"/>
            </w:pPr>
            <w:r>
              <w:t xml:space="preserve">&gt; 2,500</w:t>
            </w:r>
          </w:p>
        </w:tc>
        <w:tc>
          <w:tcPr/>
          <w:p>
            <w:pPr>
              <w:pStyle w:val="Compact"/>
              <w:jc w:val="left"/>
            </w:pPr>
            <w:r>
              <w:t xml:space="preserve">Superseded; reported because mining and conversion fall between the two thresholds</w:t>
            </w:r>
          </w:p>
        </w:tc>
      </w:tr>
    </w:tbl>
    <w:p>
      <w:pPr>
        <w:pStyle w:val="BodyText"/>
      </w:pPr>
      <w:r>
        <w:t xml:space="preserve">These are antitrust screens for merger review. Here they are used as a recognised scale for supply concentration, not as a legal test.</w:t>
      </w:r>
    </w:p>
    <w:p>
      <w:pPr>
        <w:pStyle w:val="BodyText"/>
      </w:pPr>
      <w:r>
        <w:rPr>
          <w:bCs/>
          <w:b/>
        </w:rPr>
        <w:t xml:space="preserve">Worked example (enrichment, 2025).</w:t>
      </w:r>
      <w:r>
        <w:t xml:space="preserve"> </w:t>
      </w:r>
      <w:r>
        <w:t xml:space="preserve">1. Rosatom’s share = 100 × 29,133 / 68,077 = 42.79%; squared = 1,831.3.</w:t>
      </w:r>
      <w:r>
        <w:t xml:space="preserve"> </w:t>
      </w:r>
      <w:r>
        <w:t xml:space="preserve">2. Repeat for Urenco, CNNC, Orano and Other; sum = 1,831.3 + 645.8 + 410.3 + 121.4 + 0.3 =</w:t>
      </w:r>
      <w:r>
        <w:t xml:space="preserve"> </w:t>
      </w:r>
      <w:r>
        <w:rPr>
          <w:bCs/>
          <w:b/>
        </w:rPr>
        <w:t xml:space="preserve">3,009</w:t>
      </w:r>
      <w:r>
        <w:t xml:space="preserve">. N_eq = 10,000 / 3,009 = 3.3.</w:t>
      </w:r>
      <w:r>
        <w:t xml:space="preserve"> </w:t>
      </w:r>
      <w:r>
        <w:t xml:space="preserve">3. Without Russia: total = 68,077 − 29,133 = 38,944 kSWU. Urenco’s share = 100 × 17,300 / 38,944 = 44.42%; and so on. HHI =</w:t>
      </w:r>
      <w:r>
        <w:t xml:space="preserve"> </w:t>
      </w:r>
      <w:r>
        <w:rPr>
          <w:bCs/>
          <w:b/>
        </w:rPr>
        <w:t xml:space="preserve">3,599</w:t>
      </w:r>
      <w:r>
        <w:t xml:space="preserve">.</w:t>
      </w:r>
      <w:r>
        <w:t xml:space="preserve"> </w:t>
      </w:r>
      <w:r>
        <w:t xml:space="preserve">4. Without Russia and China: total = 38,944 − 13,789 = 25,155 kSWU. Urenco 68.77%, Orano 29.82%, Other 1.41%. HHI =</w:t>
      </w:r>
      <w:r>
        <w:t xml:space="preserve"> </w:t>
      </w:r>
      <w:r>
        <w:rPr>
          <w:bCs/>
          <w:b/>
        </w:rPr>
        <w:t xml:space="preserve">5,621</w:t>
      </w:r>
      <w:r>
        <w:t xml:space="preserve"> </w:t>
      </w:r>
      <w:r>
        <w:t xml:space="preserve">(N_eq = 1.8).</w:t>
      </w:r>
    </w:p>
    <w:bookmarkEnd w:id="66"/>
    <w:bookmarkStart w:id="67" w:name="b2.2-inputs-and-shares"/>
    <w:p>
      <w:pPr>
        <w:pStyle w:val="Heading4"/>
      </w:pPr>
      <w:r>
        <w:t xml:space="preserve">B2.2 Inputs and shares</w:t>
      </w:r>
    </w:p>
    <w:p>
      <w:pPr>
        <w:pStyle w:val="FirstParagraph"/>
      </w:pPr>
      <w:r>
        <w:rPr>
          <w:iCs/>
          <w:i/>
        </w:rPr>
        <w:t xml:space="preserve">Table B7. Uranium mine output by country, 2024.</w:t>
      </w:r>
      <w:r>
        <w:t xml:space="preserve"> </w:t>
      </w:r>
      <w:r>
        <w:rPr>
          <w:iCs/>
          <w:i/>
        </w:rPr>
        <w:t xml:space="preserve">Source: World Nuclear Association (2026) [TO VERIFY year and every row; several rows are WNA estimates]; calculated in</w:t>
      </w:r>
      <w:r>
        <w:rPr>
          <w:iCs/>
          <w:i/>
        </w:rPr>
        <w:t xml:space="preserve"> </w:t>
      </w:r>
      <w:r>
        <w:rPr>
          <w:rStyle w:val="VerbatimChar"/>
          <w:iCs/>
          <w:i/>
        </w:rPr>
        <w:t xml:space="preserve">hhi.py</w:t>
      </w:r>
      <w:r>
        <w:rPr>
          <w:iCs/>
          <w:i/>
        </w:rPr>
        <w:t xml:space="preserve"> </w:t>
      </w:r>
      <w:r>
        <w:rPr>
          <w:iCs/>
          <w:i/>
        </w:rPr>
        <w:t xml:space="preserve">(</w:t>
      </w:r>
      <w:r>
        <w:rPr>
          <w:rStyle w:val="VerbatimChar"/>
          <w:iCs/>
          <w:i/>
        </w:rPr>
        <w:t xml:space="preserve">results/hhi.md</w:t>
      </w:r>
      <w:r>
        <w:rPr>
          <w:iCs/>
          <w:i/>
        </w:rPr>
        <w:t xml:space="preserve"> </w:t>
      </w:r>
      <w:r>
        <w:rPr>
          <w:iCs/>
          <w:i/>
        </w:rPr>
        <w:t xml:space="preserve">§3.1–3.2). Internal check: the rows sum exactly to 60,213 tU.</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Country</w:t>
            </w:r>
          </w:p>
        </w:tc>
        <w:tc>
          <w:tcPr/>
          <w:p>
            <w:pPr>
              <w:pStyle w:val="Compact"/>
              <w:jc w:val="right"/>
            </w:pPr>
            <w:r>
              <w:t xml:space="preserve">tU</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Share without Russia (%)</w:t>
            </w:r>
          </w:p>
        </w:tc>
        <w:tc>
          <w:tcPr/>
          <w:p>
            <w:pPr>
              <w:pStyle w:val="Compact"/>
              <w:jc w:val="right"/>
            </w:pPr>
            <w:r>
              <w:t xml:space="preserve">Share²</w:t>
            </w:r>
          </w:p>
        </w:tc>
      </w:tr>
      <w:tr>
        <w:tc>
          <w:tcPr/>
          <w:p>
            <w:pPr>
              <w:pStyle w:val="Compact"/>
              <w:jc w:val="left"/>
            </w:pPr>
            <w:r>
              <w:t xml:space="preserve">Kazakhstan</w:t>
            </w:r>
          </w:p>
        </w:tc>
        <w:tc>
          <w:tcPr/>
          <w:p>
            <w:pPr>
              <w:pStyle w:val="Compact"/>
              <w:jc w:val="right"/>
            </w:pPr>
            <w:r>
              <w:t xml:space="preserve">23,270</w:t>
            </w:r>
          </w:p>
        </w:tc>
        <w:tc>
          <w:tcPr/>
          <w:p>
            <w:pPr>
              <w:pStyle w:val="Compact"/>
              <w:jc w:val="right"/>
            </w:pPr>
            <w:r>
              <w:t xml:space="preserve">38.65</w:t>
            </w:r>
          </w:p>
        </w:tc>
        <w:tc>
          <w:tcPr/>
          <w:p>
            <w:pPr>
              <w:pStyle w:val="Compact"/>
              <w:jc w:val="right"/>
            </w:pPr>
            <w:r>
              <w:t xml:space="preserve">1,493.5</w:t>
            </w:r>
          </w:p>
        </w:tc>
        <w:tc>
          <w:tcPr/>
          <w:p>
            <w:pPr>
              <w:pStyle w:val="Compact"/>
              <w:jc w:val="right"/>
            </w:pPr>
            <w:r>
              <w:t xml:space="preserve">40.49</w:t>
            </w:r>
          </w:p>
        </w:tc>
        <w:tc>
          <w:tcPr/>
          <w:p>
            <w:pPr>
              <w:pStyle w:val="Compact"/>
              <w:jc w:val="right"/>
            </w:pPr>
            <w:r>
              <w:t xml:space="preserve">1,639.2</w:t>
            </w:r>
          </w:p>
        </w:tc>
      </w:tr>
      <w:tr>
        <w:tc>
          <w:tcPr/>
          <w:p>
            <w:pPr>
              <w:pStyle w:val="Compact"/>
              <w:jc w:val="left"/>
            </w:pPr>
            <w:r>
              <w:t xml:space="preserve">Canada</w:t>
            </w:r>
          </w:p>
        </w:tc>
        <w:tc>
          <w:tcPr/>
          <w:p>
            <w:pPr>
              <w:pStyle w:val="Compact"/>
              <w:jc w:val="right"/>
            </w:pPr>
            <w:r>
              <w:t xml:space="preserve">14,309</w:t>
            </w:r>
          </w:p>
        </w:tc>
        <w:tc>
          <w:tcPr/>
          <w:p>
            <w:pPr>
              <w:pStyle w:val="Compact"/>
              <w:jc w:val="right"/>
            </w:pPr>
            <w:r>
              <w:t xml:space="preserve">23.76</w:t>
            </w:r>
          </w:p>
        </w:tc>
        <w:tc>
          <w:tcPr/>
          <w:p>
            <w:pPr>
              <w:pStyle w:val="Compact"/>
              <w:jc w:val="right"/>
            </w:pPr>
            <w:r>
              <w:t xml:space="preserve">564.7</w:t>
            </w:r>
          </w:p>
        </w:tc>
        <w:tc>
          <w:tcPr/>
          <w:p>
            <w:pPr>
              <w:pStyle w:val="Compact"/>
              <w:jc w:val="right"/>
            </w:pPr>
            <w:r>
              <w:t xml:space="preserve">24.90</w:t>
            </w:r>
          </w:p>
        </w:tc>
        <w:tc>
          <w:tcPr/>
          <w:p>
            <w:pPr>
              <w:pStyle w:val="Compact"/>
              <w:jc w:val="right"/>
            </w:pPr>
            <w:r>
              <w:t xml:space="preserve">619.8</w:t>
            </w:r>
          </w:p>
        </w:tc>
      </w:tr>
      <w:tr>
        <w:tc>
          <w:tcPr/>
          <w:p>
            <w:pPr>
              <w:pStyle w:val="Compact"/>
              <w:jc w:val="left"/>
            </w:pPr>
            <w:r>
              <w:t xml:space="preserve">Namibia</w:t>
            </w:r>
          </w:p>
        </w:tc>
        <w:tc>
          <w:tcPr/>
          <w:p>
            <w:pPr>
              <w:pStyle w:val="Compact"/>
              <w:jc w:val="right"/>
            </w:pPr>
            <w:r>
              <w:t xml:space="preserve">7,333</w:t>
            </w:r>
          </w:p>
        </w:tc>
        <w:tc>
          <w:tcPr/>
          <w:p>
            <w:pPr>
              <w:pStyle w:val="Compact"/>
              <w:jc w:val="right"/>
            </w:pPr>
            <w:r>
              <w:t xml:space="preserve">12.18</w:t>
            </w:r>
          </w:p>
        </w:tc>
        <w:tc>
          <w:tcPr/>
          <w:p>
            <w:pPr>
              <w:pStyle w:val="Compact"/>
              <w:jc w:val="right"/>
            </w:pPr>
            <w:r>
              <w:t xml:space="preserve">148.3</w:t>
            </w:r>
          </w:p>
        </w:tc>
        <w:tc>
          <w:tcPr/>
          <w:p>
            <w:pPr>
              <w:pStyle w:val="Compact"/>
              <w:jc w:val="right"/>
            </w:pPr>
            <w:r>
              <w:t xml:space="preserve">12.76</w:t>
            </w:r>
          </w:p>
        </w:tc>
        <w:tc>
          <w:tcPr/>
          <w:p>
            <w:pPr>
              <w:pStyle w:val="Compact"/>
              <w:jc w:val="right"/>
            </w:pPr>
            <w:r>
              <w:t xml:space="preserve">162.8</w:t>
            </w:r>
          </w:p>
        </w:tc>
      </w:tr>
      <w:tr>
        <w:tc>
          <w:tcPr/>
          <w:p>
            <w:pPr>
              <w:pStyle w:val="Compact"/>
              <w:jc w:val="left"/>
            </w:pPr>
            <w:r>
              <w:t xml:space="preserve">Australia</w:t>
            </w:r>
          </w:p>
        </w:tc>
        <w:tc>
          <w:tcPr/>
          <w:p>
            <w:pPr>
              <w:pStyle w:val="Compact"/>
              <w:jc w:val="right"/>
            </w:pPr>
            <w:r>
              <w:t xml:space="preserve">4,598</w:t>
            </w:r>
          </w:p>
        </w:tc>
        <w:tc>
          <w:tcPr/>
          <w:p>
            <w:pPr>
              <w:pStyle w:val="Compact"/>
              <w:jc w:val="right"/>
            </w:pPr>
            <w:r>
              <w:t xml:space="preserve">7.64</w:t>
            </w:r>
          </w:p>
        </w:tc>
        <w:tc>
          <w:tcPr/>
          <w:p>
            <w:pPr>
              <w:pStyle w:val="Compact"/>
              <w:jc w:val="right"/>
            </w:pPr>
            <w:r>
              <w:t xml:space="preserve">58.3</w:t>
            </w:r>
          </w:p>
        </w:tc>
        <w:tc>
          <w:tcPr/>
          <w:p>
            <w:pPr>
              <w:pStyle w:val="Compact"/>
              <w:jc w:val="right"/>
            </w:pPr>
            <w:r>
              <w:t xml:space="preserve">8.00</w:t>
            </w:r>
          </w:p>
        </w:tc>
        <w:tc>
          <w:tcPr/>
          <w:p>
            <w:pPr>
              <w:pStyle w:val="Compact"/>
              <w:jc w:val="right"/>
            </w:pPr>
            <w:r>
              <w:t xml:space="preserve">64.0</w:t>
            </w:r>
          </w:p>
        </w:tc>
      </w:tr>
      <w:tr>
        <w:tc>
          <w:tcPr/>
          <w:p>
            <w:pPr>
              <w:pStyle w:val="Compact"/>
              <w:jc w:val="left"/>
            </w:pPr>
            <w:r>
              <w:t xml:space="preserve">Uzbekistan</w:t>
            </w:r>
          </w:p>
        </w:tc>
        <w:tc>
          <w:tcPr/>
          <w:p>
            <w:pPr>
              <w:pStyle w:val="Compact"/>
              <w:jc w:val="right"/>
            </w:pPr>
            <w:r>
              <w:t xml:space="preserve">4,000</w:t>
            </w:r>
          </w:p>
        </w:tc>
        <w:tc>
          <w:tcPr/>
          <w:p>
            <w:pPr>
              <w:pStyle w:val="Compact"/>
              <w:jc w:val="right"/>
            </w:pPr>
            <w:r>
              <w:t xml:space="preserve">6.64</w:t>
            </w:r>
          </w:p>
        </w:tc>
        <w:tc>
          <w:tcPr/>
          <w:p>
            <w:pPr>
              <w:pStyle w:val="Compact"/>
              <w:jc w:val="right"/>
            </w:pPr>
            <w:r>
              <w:t xml:space="preserve">44.1</w:t>
            </w:r>
          </w:p>
        </w:tc>
        <w:tc>
          <w:tcPr/>
          <w:p>
            <w:pPr>
              <w:pStyle w:val="Compact"/>
              <w:jc w:val="right"/>
            </w:pPr>
            <w:r>
              <w:t xml:space="preserve">6.96</w:t>
            </w:r>
          </w:p>
        </w:tc>
        <w:tc>
          <w:tcPr/>
          <w:p>
            <w:pPr>
              <w:pStyle w:val="Compact"/>
              <w:jc w:val="right"/>
            </w:pPr>
            <w:r>
              <w:t xml:space="preserve">48.4</w:t>
            </w:r>
          </w:p>
        </w:tc>
      </w:tr>
      <w:tr>
        <w:tc>
          <w:tcPr/>
          <w:p>
            <w:pPr>
              <w:pStyle w:val="Compact"/>
              <w:jc w:val="left"/>
            </w:pPr>
            <w:r>
              <w:t xml:space="preserve">Russia</w:t>
            </w:r>
          </w:p>
        </w:tc>
        <w:tc>
          <w:tcPr/>
          <w:p>
            <w:pPr>
              <w:pStyle w:val="Compact"/>
              <w:jc w:val="right"/>
            </w:pPr>
            <w:r>
              <w:t xml:space="preserve">2,738</w:t>
            </w:r>
          </w:p>
        </w:tc>
        <w:tc>
          <w:tcPr/>
          <w:p>
            <w:pPr>
              <w:pStyle w:val="Compact"/>
              <w:jc w:val="right"/>
            </w:pPr>
            <w:r>
              <w:t xml:space="preserve">4.55</w:t>
            </w:r>
          </w:p>
        </w:tc>
        <w:tc>
          <w:tcPr/>
          <w:p>
            <w:pPr>
              <w:pStyle w:val="Compact"/>
              <w:jc w:val="right"/>
            </w:pPr>
            <w:r>
              <w:t xml:space="preserve">20.7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China</w:t>
            </w:r>
          </w:p>
        </w:tc>
        <w:tc>
          <w:tcPr/>
          <w:p>
            <w:pPr>
              <w:pStyle w:val="Compact"/>
              <w:jc w:val="right"/>
            </w:pPr>
            <w:r>
              <w:t xml:space="preserve">1,600</w:t>
            </w:r>
          </w:p>
        </w:tc>
        <w:tc>
          <w:tcPr/>
          <w:p>
            <w:pPr>
              <w:pStyle w:val="Compact"/>
              <w:jc w:val="right"/>
            </w:pPr>
            <w:r>
              <w:t xml:space="preserve">2.66</w:t>
            </w:r>
          </w:p>
        </w:tc>
        <w:tc>
          <w:tcPr/>
          <w:p>
            <w:pPr>
              <w:pStyle w:val="Compact"/>
              <w:jc w:val="right"/>
            </w:pPr>
            <w:r>
              <w:t xml:space="preserve">7.1</w:t>
            </w:r>
          </w:p>
        </w:tc>
        <w:tc>
          <w:tcPr/>
          <w:p>
            <w:pPr>
              <w:pStyle w:val="Compact"/>
              <w:jc w:val="right"/>
            </w:pPr>
            <w:r>
              <w:t xml:space="preserve">2.78</w:t>
            </w:r>
          </w:p>
        </w:tc>
        <w:tc>
          <w:tcPr/>
          <w:p>
            <w:pPr>
              <w:pStyle w:val="Compact"/>
              <w:jc w:val="right"/>
            </w:pPr>
            <w:r>
              <w:t xml:space="preserve">7.7</w:t>
            </w:r>
          </w:p>
        </w:tc>
      </w:tr>
      <w:tr>
        <w:tc>
          <w:tcPr/>
          <w:p>
            <w:pPr>
              <w:pStyle w:val="Compact"/>
              <w:jc w:val="left"/>
            </w:pPr>
            <w:r>
              <w:t xml:space="preserve">Niger</w:t>
            </w:r>
          </w:p>
        </w:tc>
        <w:tc>
          <w:tcPr/>
          <w:p>
            <w:pPr>
              <w:pStyle w:val="Compact"/>
              <w:jc w:val="right"/>
            </w:pPr>
            <w:r>
              <w:t xml:space="preserve">962</w:t>
            </w:r>
          </w:p>
        </w:tc>
        <w:tc>
          <w:tcPr/>
          <w:p>
            <w:pPr>
              <w:pStyle w:val="Compact"/>
              <w:jc w:val="right"/>
            </w:pPr>
            <w:r>
              <w:t xml:space="preserve">1.60</w:t>
            </w:r>
          </w:p>
        </w:tc>
        <w:tc>
          <w:tcPr/>
          <w:p>
            <w:pPr>
              <w:pStyle w:val="Compact"/>
              <w:jc w:val="right"/>
            </w:pPr>
            <w:r>
              <w:t xml:space="preserve">2.6</w:t>
            </w:r>
          </w:p>
        </w:tc>
        <w:tc>
          <w:tcPr/>
          <w:p>
            <w:pPr>
              <w:pStyle w:val="Compact"/>
              <w:jc w:val="right"/>
            </w:pPr>
            <w:r>
              <w:t xml:space="preserve">1.67</w:t>
            </w:r>
          </w:p>
        </w:tc>
        <w:tc>
          <w:tcPr/>
          <w:p>
            <w:pPr>
              <w:pStyle w:val="Compact"/>
              <w:jc w:val="right"/>
            </w:pPr>
            <w:r>
              <w:t xml:space="preserve">2.8</w:t>
            </w:r>
          </w:p>
        </w:tc>
      </w:tr>
      <w:tr>
        <w:tc>
          <w:tcPr/>
          <w:p>
            <w:pPr>
              <w:pStyle w:val="Compact"/>
              <w:jc w:val="left"/>
            </w:pPr>
            <w:r>
              <w:t xml:space="preserve">India</w:t>
            </w:r>
          </w:p>
        </w:tc>
        <w:tc>
          <w:tcPr/>
          <w:p>
            <w:pPr>
              <w:pStyle w:val="Compact"/>
              <w:jc w:val="right"/>
            </w:pPr>
            <w:r>
              <w:t xml:space="preserve">500</w:t>
            </w:r>
          </w:p>
        </w:tc>
        <w:tc>
          <w:tcPr/>
          <w:p>
            <w:pPr>
              <w:pStyle w:val="Compact"/>
              <w:jc w:val="right"/>
            </w:pPr>
            <w:r>
              <w:t xml:space="preserve">0.83</w:t>
            </w:r>
          </w:p>
        </w:tc>
        <w:tc>
          <w:tcPr/>
          <w:p>
            <w:pPr>
              <w:pStyle w:val="Compact"/>
              <w:jc w:val="right"/>
            </w:pPr>
            <w:r>
              <w:t xml:space="preserve">0.7</w:t>
            </w:r>
          </w:p>
        </w:tc>
        <w:tc>
          <w:tcPr/>
          <w:p>
            <w:pPr>
              <w:pStyle w:val="Compact"/>
              <w:jc w:val="right"/>
            </w:pPr>
            <w:r>
              <w:t xml:space="preserve">0.87</w:t>
            </w:r>
          </w:p>
        </w:tc>
        <w:tc>
          <w:tcPr/>
          <w:p>
            <w:pPr>
              <w:pStyle w:val="Compact"/>
              <w:jc w:val="right"/>
            </w:pPr>
            <w:r>
              <w:t xml:space="preserve">0.8</w:t>
            </w:r>
          </w:p>
        </w:tc>
      </w:tr>
      <w:tr>
        <w:tc>
          <w:tcPr/>
          <w:p>
            <w:pPr>
              <w:pStyle w:val="Compact"/>
              <w:jc w:val="left"/>
            </w:pPr>
            <w:r>
              <w:t xml:space="preserve">Ukraine</w:t>
            </w:r>
          </w:p>
        </w:tc>
        <w:tc>
          <w:tcPr/>
          <w:p>
            <w:pPr>
              <w:pStyle w:val="Compact"/>
              <w:jc w:val="right"/>
            </w:pPr>
            <w:r>
              <w:t xml:space="preserve">288</w:t>
            </w:r>
          </w:p>
        </w:tc>
        <w:tc>
          <w:tcPr/>
          <w:p>
            <w:pPr>
              <w:pStyle w:val="Compact"/>
              <w:jc w:val="right"/>
            </w:pPr>
            <w:r>
              <w:t xml:space="preserve">0.48</w:t>
            </w:r>
          </w:p>
        </w:tc>
        <w:tc>
          <w:tcPr/>
          <w:p>
            <w:pPr>
              <w:pStyle w:val="Compact"/>
              <w:jc w:val="right"/>
            </w:pPr>
            <w:r>
              <w:t xml:space="preserve">0.2</w:t>
            </w:r>
          </w:p>
        </w:tc>
        <w:tc>
          <w:tcPr/>
          <w:p>
            <w:pPr>
              <w:pStyle w:val="Compact"/>
              <w:jc w:val="right"/>
            </w:pPr>
            <w:r>
              <w:t xml:space="preserve">0.50</w:t>
            </w:r>
          </w:p>
        </w:tc>
        <w:tc>
          <w:tcPr/>
          <w:p>
            <w:pPr>
              <w:pStyle w:val="Compact"/>
              <w:jc w:val="right"/>
            </w:pPr>
            <w:r>
              <w:t xml:space="preserve">0.3</w:t>
            </w:r>
          </w:p>
        </w:tc>
      </w:tr>
      <w:tr>
        <w:tc>
          <w:tcPr/>
          <w:p>
            <w:pPr>
              <w:pStyle w:val="Compact"/>
              <w:jc w:val="left"/>
            </w:pPr>
            <w:r>
              <w:t xml:space="preserve">USA</w:t>
            </w:r>
          </w:p>
        </w:tc>
        <w:tc>
          <w:tcPr/>
          <w:p>
            <w:pPr>
              <w:pStyle w:val="Compact"/>
              <w:jc w:val="right"/>
            </w:pPr>
            <w:r>
              <w:t xml:space="preserve">260</w:t>
            </w:r>
          </w:p>
        </w:tc>
        <w:tc>
          <w:tcPr/>
          <w:p>
            <w:pPr>
              <w:pStyle w:val="Compact"/>
              <w:jc w:val="right"/>
            </w:pPr>
            <w:r>
              <w:t xml:space="preserve">0.43</w:t>
            </w:r>
          </w:p>
        </w:tc>
        <w:tc>
          <w:tcPr/>
          <w:p>
            <w:pPr>
              <w:pStyle w:val="Compact"/>
              <w:jc w:val="right"/>
            </w:pPr>
            <w:r>
              <w:t xml:space="preserve">0.2</w:t>
            </w:r>
          </w:p>
        </w:tc>
        <w:tc>
          <w:tcPr/>
          <w:p>
            <w:pPr>
              <w:pStyle w:val="Compact"/>
              <w:jc w:val="right"/>
            </w:pPr>
            <w:r>
              <w:t xml:space="preserve">0.45</w:t>
            </w:r>
          </w:p>
        </w:tc>
        <w:tc>
          <w:tcPr/>
          <w:p>
            <w:pPr>
              <w:pStyle w:val="Compact"/>
              <w:jc w:val="right"/>
            </w:pPr>
            <w:r>
              <w:t xml:space="preserve">0.2</w:t>
            </w:r>
          </w:p>
        </w:tc>
      </w:tr>
      <w:tr>
        <w:tc>
          <w:tcPr/>
          <w:p>
            <w:pPr>
              <w:pStyle w:val="Compact"/>
              <w:jc w:val="left"/>
            </w:pPr>
            <w:r>
              <w:t xml:space="preserve">South Africa</w:t>
            </w:r>
          </w:p>
        </w:tc>
        <w:tc>
          <w:tcPr/>
          <w:p>
            <w:pPr>
              <w:pStyle w:val="Compact"/>
              <w:jc w:val="right"/>
            </w:pPr>
            <w:r>
              <w:t xml:space="preserve">200</w:t>
            </w:r>
          </w:p>
        </w:tc>
        <w:tc>
          <w:tcPr/>
          <w:p>
            <w:pPr>
              <w:pStyle w:val="Compact"/>
              <w:jc w:val="right"/>
            </w:pPr>
            <w:r>
              <w:t xml:space="preserve">0.33</w:t>
            </w:r>
          </w:p>
        </w:tc>
        <w:tc>
          <w:tcPr/>
          <w:p>
            <w:pPr>
              <w:pStyle w:val="Compact"/>
              <w:jc w:val="right"/>
            </w:pPr>
            <w:r>
              <w:t xml:space="preserve">0.1</w:t>
            </w:r>
          </w:p>
        </w:tc>
        <w:tc>
          <w:tcPr/>
          <w:p>
            <w:pPr>
              <w:pStyle w:val="Compact"/>
              <w:jc w:val="right"/>
            </w:pPr>
            <w:r>
              <w:t xml:space="preserve">0.35</w:t>
            </w:r>
          </w:p>
        </w:tc>
        <w:tc>
          <w:tcPr/>
          <w:p>
            <w:pPr>
              <w:pStyle w:val="Compact"/>
              <w:jc w:val="right"/>
            </w:pPr>
            <w:r>
              <w:t xml:space="preserve">0.1</w:t>
            </w:r>
          </w:p>
        </w:tc>
      </w:tr>
      <w:tr>
        <w:tc>
          <w:tcPr/>
          <w:p>
            <w:pPr>
              <w:pStyle w:val="Compact"/>
              <w:jc w:val="left"/>
            </w:pPr>
            <w:r>
              <w:t xml:space="preserve">Others</w:t>
            </w:r>
          </w:p>
        </w:tc>
        <w:tc>
          <w:tcPr/>
          <w:p>
            <w:pPr>
              <w:pStyle w:val="Compact"/>
              <w:jc w:val="right"/>
            </w:pPr>
            <w:r>
              <w:t xml:space="preserve">155</w:t>
            </w:r>
          </w:p>
        </w:tc>
        <w:tc>
          <w:tcPr/>
          <w:p>
            <w:pPr>
              <w:pStyle w:val="Compact"/>
              <w:jc w:val="right"/>
            </w:pPr>
            <w:r>
              <w:t xml:space="preserve">0.26</w:t>
            </w:r>
          </w:p>
        </w:tc>
        <w:tc>
          <w:tcPr/>
          <w:p>
            <w:pPr>
              <w:pStyle w:val="Compact"/>
              <w:jc w:val="right"/>
            </w:pPr>
            <w:r>
              <w:t xml:space="preserve">0.1</w:t>
            </w:r>
          </w:p>
        </w:tc>
        <w:tc>
          <w:tcPr/>
          <w:p>
            <w:pPr>
              <w:pStyle w:val="Compact"/>
              <w:jc w:val="right"/>
            </w:pPr>
            <w:r>
              <w:t xml:space="preserve">0.27</w:t>
            </w:r>
          </w:p>
        </w:tc>
        <w:tc>
          <w:tcPr/>
          <w:p>
            <w:pPr>
              <w:pStyle w:val="Compact"/>
              <w:jc w:val="right"/>
            </w:pPr>
            <w:r>
              <w:t xml:space="preserve">0.1</w:t>
            </w:r>
          </w:p>
        </w:tc>
      </w:tr>
      <w:tr>
        <w:tc>
          <w:tcPr/>
          <w:p>
            <w:pPr>
              <w:pStyle w:val="Compact"/>
              <w:jc w:val="left"/>
            </w:pPr>
            <w:r>
              <w:rPr>
                <w:bCs/>
                <w:b/>
              </w:rPr>
              <w:t xml:space="preserve">Total (tU) / HHI</w:t>
            </w:r>
          </w:p>
        </w:tc>
        <w:tc>
          <w:tcPr/>
          <w:p>
            <w:pPr>
              <w:pStyle w:val="Compact"/>
              <w:jc w:val="right"/>
            </w:pPr>
            <w:r>
              <w:rPr>
                <w:bCs/>
                <w:b/>
              </w:rPr>
              <w:t xml:space="preserve">60,213</w:t>
            </w:r>
            <w:r>
              <w:t xml:space="preserve"> </w:t>
            </w:r>
            <w:r>
              <w:t xml:space="preserve">(57,475 without Russia)</w:t>
            </w:r>
          </w:p>
        </w:tc>
        <w:tc>
          <w:tcPr/>
          <w:p>
            <w:pPr>
              <w:pStyle w:val="Compact"/>
              <w:jc w:val="right"/>
            </w:pPr>
            <w:r>
              <w:t xml:space="preserve">100.00</w:t>
            </w:r>
          </w:p>
        </w:tc>
        <w:tc>
          <w:tcPr/>
          <w:p>
            <w:pPr>
              <w:pStyle w:val="Compact"/>
              <w:jc w:val="right"/>
            </w:pPr>
            <w:r>
              <w:rPr>
                <w:bCs/>
                <w:b/>
              </w:rPr>
              <w:t xml:space="preserve">2,341</w:t>
            </w:r>
          </w:p>
        </w:tc>
        <w:tc>
          <w:tcPr/>
          <w:p>
            <w:pPr>
              <w:pStyle w:val="Compact"/>
              <w:jc w:val="right"/>
            </w:pPr>
            <w:r>
              <w:t xml:space="preserve">100.00</w:t>
            </w:r>
          </w:p>
        </w:tc>
        <w:tc>
          <w:tcPr/>
          <w:p>
            <w:pPr>
              <w:pStyle w:val="Compact"/>
              <w:jc w:val="right"/>
            </w:pPr>
            <w:r>
              <w:rPr>
                <w:bCs/>
                <w:b/>
              </w:rPr>
              <w:t xml:space="preserve">2,546</w:t>
            </w:r>
          </w:p>
        </w:tc>
      </w:tr>
    </w:tbl>
    <w:p>
      <w:pPr>
        <w:pStyle w:val="BodyText"/>
      </w:pPr>
      <w:r>
        <w:t xml:space="preserve">Without Russia and China, the mining HHI is 2,686 (</w:t>
      </w:r>
      <w:r>
        <w:rPr>
          <w:rStyle w:val="VerbatimChar"/>
        </w:rPr>
        <w:t xml:space="preserve">hhi_summary.csv</w:t>
      </w:r>
      <w:r>
        <w:t xml:space="preserve">;</w:t>
      </w:r>
      <w:r>
        <w:t xml:space="preserve"> </w:t>
      </w:r>
      <w:r>
        <w:rPr>
          <w:rStyle w:val="VerbatimChar"/>
        </w:rPr>
        <w:t xml:space="preserve">hhi.py</w:t>
      </w:r>
      <w:r>
        <w:t xml:space="preserve"> </w:t>
      </w:r>
      <w:r>
        <w:t xml:space="preserve">does not print the share table for this case).</w:t>
      </w:r>
    </w:p>
    <w:p>
      <w:pPr>
        <w:pStyle w:val="BodyText"/>
      </w:pPr>
      <w:r>
        <w:rPr>
          <w:iCs/>
          <w:i/>
        </w:rPr>
        <w:t xml:space="preserve">Table B8. Mining by country, earlier years (only the eight largest rows retrieved; residual bounded).</w:t>
      </w:r>
      <w:r>
        <w:t xml:space="preserve"> </w:t>
      </w:r>
      <w:r>
        <w:rPr>
          <w:iCs/>
          <w:i/>
        </w:rPr>
        <w:t xml:space="preserve">Source: World Nuclear Association (2026) [TO VERIFY];</w:t>
      </w:r>
      <w:r>
        <w:rPr>
          <w:iCs/>
          <w:i/>
        </w:rPr>
        <w:t xml:space="preserve"> </w:t>
      </w:r>
      <w:r>
        <w:rPr>
          <w:rStyle w:val="VerbatimChar"/>
          <w:iCs/>
          <w:i/>
        </w:rPr>
        <w:t xml:space="preserve">results/hhi.md</w:t>
      </w:r>
      <w:r>
        <w:rPr>
          <w:iCs/>
          <w:i/>
        </w:rPr>
        <w:t xml:space="preserve"> </w:t>
      </w:r>
      <w:r>
        <w:rPr>
          <w:iCs/>
          <w:i/>
        </w:rPr>
        <w:t xml:space="preserve">§3.3.</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Year</w:t>
            </w:r>
          </w:p>
        </w:tc>
        <w:tc>
          <w:tcPr/>
          <w:p>
            <w:pPr>
              <w:pStyle w:val="Compact"/>
              <w:jc w:val="right"/>
            </w:pPr>
            <w:r>
              <w:t xml:space="preserve">Residual (tU)</w:t>
            </w:r>
          </w:p>
        </w:tc>
        <w:tc>
          <w:tcPr/>
          <w:p>
            <w:pPr>
              <w:pStyle w:val="Compact"/>
              <w:jc w:val="right"/>
            </w:pPr>
            <w:r>
              <w:t xml:space="preserve">HHI lower bound</w:t>
            </w:r>
          </w:p>
        </w:tc>
        <w:tc>
          <w:tcPr/>
          <w:p>
            <w:pPr>
              <w:pStyle w:val="Compact"/>
              <w:jc w:val="right"/>
            </w:pPr>
            <w:r>
              <w:t xml:space="preserve">HHI upper bound</w:t>
            </w:r>
          </w:p>
        </w:tc>
        <w:tc>
          <w:tcPr/>
          <w:p>
            <w:pPr>
              <w:pStyle w:val="Compact"/>
              <w:jc w:val="right"/>
            </w:pPr>
            <w:r>
              <w:t xml:space="preserve">Russia’s share (%)</w:t>
            </w:r>
          </w:p>
        </w:tc>
      </w:tr>
      <w:tr>
        <w:tc>
          <w:tcPr/>
          <w:p>
            <w:pPr>
              <w:pStyle w:val="Compact"/>
              <w:jc w:val="left"/>
            </w:pPr>
            <w:r>
              <w:t xml:space="preserve">2022</w:t>
            </w:r>
          </w:p>
        </w:tc>
        <w:tc>
          <w:tcPr/>
          <w:p>
            <w:pPr>
              <w:pStyle w:val="Compact"/>
              <w:jc w:val="right"/>
            </w:pPr>
            <w:r>
              <w:t xml:space="preserve">1,083</w:t>
            </w:r>
          </w:p>
        </w:tc>
        <w:tc>
          <w:tcPr/>
          <w:p>
            <w:pPr>
              <w:pStyle w:val="Compact"/>
              <w:jc w:val="right"/>
            </w:pPr>
            <w:r>
              <w:t xml:space="preserve">2,368</w:t>
            </w:r>
          </w:p>
        </w:tc>
        <w:tc>
          <w:tcPr/>
          <w:p>
            <w:pPr>
              <w:pStyle w:val="Compact"/>
              <w:jc w:val="right"/>
            </w:pPr>
            <w:r>
              <w:t xml:space="preserve">2,372</w:t>
            </w:r>
          </w:p>
        </w:tc>
        <w:tc>
          <w:tcPr/>
          <w:p>
            <w:pPr>
              <w:pStyle w:val="Compact"/>
              <w:jc w:val="right"/>
            </w:pPr>
            <w:r>
              <w:t xml:space="preserve">5.1</w:t>
            </w:r>
          </w:p>
        </w:tc>
      </w:tr>
      <w:tr>
        <w:tc>
          <w:tcPr/>
          <w:p>
            <w:pPr>
              <w:pStyle w:val="Compact"/>
              <w:jc w:val="left"/>
            </w:pPr>
            <w:r>
              <w:t xml:space="preserve">2023</w:t>
            </w:r>
          </w:p>
        </w:tc>
        <w:tc>
          <w:tcPr/>
          <w:p>
            <w:pPr>
              <w:pStyle w:val="Compact"/>
              <w:jc w:val="right"/>
            </w:pPr>
            <w:r>
              <w:t xml:space="preserve">1,204</w:t>
            </w:r>
          </w:p>
        </w:tc>
        <w:tc>
          <w:tcPr/>
          <w:p>
            <w:pPr>
              <w:pStyle w:val="Compact"/>
              <w:jc w:val="right"/>
            </w:pPr>
            <w:r>
              <w:t xml:space="preserve">2,243</w:t>
            </w:r>
          </w:p>
        </w:tc>
        <w:tc>
          <w:tcPr/>
          <w:p>
            <w:pPr>
              <w:pStyle w:val="Compact"/>
              <w:jc w:val="right"/>
            </w:pPr>
            <w:r>
              <w:t xml:space="preserve">2,248</w:t>
            </w:r>
          </w:p>
        </w:tc>
        <w:tc>
          <w:tcPr/>
          <w:p>
            <w:pPr>
              <w:pStyle w:val="Compact"/>
              <w:jc w:val="right"/>
            </w:pPr>
            <w:r>
              <w:t xml:space="preserve">5.0</w:t>
            </w:r>
          </w:p>
        </w:tc>
      </w:tr>
    </w:tbl>
    <w:p>
      <w:pPr>
        <w:pStyle w:val="BodyText"/>
      </w:pPr>
      <w:r>
        <w:rPr>
          <w:iCs/>
          <w:i/>
        </w:rPr>
        <w:t xml:space="preserve">Table B9. Conversion by company, licensed capacity (tU as UF₆ per year).</w:t>
      </w:r>
      <w:r>
        <w:t xml:space="preserve"> </w:t>
      </w:r>
      <w:r>
        <w:rPr>
          <w:iCs/>
          <w:i/>
        </w:rPr>
        <w:t xml:space="preserve">Source: World Nuclear Association (2024) [TO VERIFY year and rows; CNNC and Rosatom are WNA estimates];</w:t>
      </w:r>
      <w:r>
        <w:rPr>
          <w:iCs/>
          <w:i/>
        </w:rPr>
        <w:t xml:space="preserve"> </w:t>
      </w:r>
      <w:r>
        <w:rPr>
          <w:rStyle w:val="VerbatimChar"/>
          <w:iCs/>
          <w:i/>
        </w:rPr>
        <w:t xml:space="preserve">results/hhi.md</w:t>
      </w:r>
      <w:r>
        <w:rPr>
          <w:iCs/>
          <w:i/>
        </w:rPr>
        <w:t xml:space="preserve"> </w:t>
      </w:r>
      <w:r>
        <w:rPr>
          <w:iCs/>
          <w:i/>
        </w:rPr>
        <w:t xml:space="preserve">§3.5.</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jc w:val="left"/>
            </w:pPr>
            <w:r>
              <w:t xml:space="preserve">Company (country)</w:t>
            </w:r>
          </w:p>
        </w:tc>
        <w:tc>
          <w:tcPr/>
          <w:p>
            <w:pPr>
              <w:pStyle w:val="Compact"/>
              <w:jc w:val="right"/>
            </w:pPr>
            <w:r>
              <w:t xml:space="preserve">tU/yr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CNNC (China)</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 (France)</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43.48</w:t>
            </w:r>
          </w:p>
        </w:tc>
        <w:tc>
          <w:tcPr/>
          <w:p>
            <w:pPr>
              <w:pStyle w:val="Compact"/>
              <w:jc w:val="right"/>
            </w:pPr>
            <w:r>
              <w:t xml:space="preserve">1,890.4</w:t>
            </w:r>
          </w:p>
        </w:tc>
      </w:tr>
      <w:tr>
        <w:tc>
          <w:tcPr/>
          <w:p>
            <w:pPr>
              <w:pStyle w:val="Compact"/>
              <w:jc w:val="left"/>
            </w:pPr>
            <w:r>
              <w:t xml:space="preserve">Cameco (Canada)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25.25</w:t>
            </w:r>
          </w:p>
        </w:tc>
        <w:tc>
          <w:tcPr/>
          <w:p>
            <w:pPr>
              <w:pStyle w:val="Compact"/>
              <w:jc w:val="right"/>
            </w:pPr>
            <w:r>
              <w:t xml:space="preserve">637.7</w:t>
            </w:r>
          </w:p>
        </w:tc>
        <w:tc>
          <w:tcPr/>
          <w:p>
            <w:pPr>
              <w:pStyle w:val="Compact"/>
              <w:jc w:val="right"/>
            </w:pPr>
            <w:r>
              <w:t xml:space="preserve">36.23</w:t>
            </w:r>
          </w:p>
        </w:tc>
        <w:tc>
          <w:tcPr/>
          <w:p>
            <w:pPr>
              <w:pStyle w:val="Compact"/>
              <w:jc w:val="right"/>
            </w:pPr>
            <w:r>
              <w:t xml:space="preserve">1,312.7</w:t>
            </w:r>
          </w:p>
        </w:tc>
      </w:tr>
      <w:tr>
        <w:tc>
          <w:tcPr/>
          <w:p>
            <w:pPr>
              <w:pStyle w:val="Compact"/>
              <w:jc w:val="left"/>
            </w:pPr>
            <w:r>
              <w:t xml:space="preserve">Rosatom (Russia)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ConverDyn (USA)</w:t>
            </w:r>
          </w:p>
        </w:tc>
        <w:tc>
          <w:tcPr/>
          <w:p>
            <w:pPr>
              <w:pStyle w:val="Compact"/>
              <w:jc w:val="right"/>
            </w:pPr>
            <w:r>
              <w:t xml:space="preserve">7,000</w:t>
            </w:r>
          </w:p>
        </w:tc>
        <w:tc>
          <w:tcPr/>
          <w:p>
            <w:pPr>
              <w:pStyle w:val="Compact"/>
              <w:jc w:val="right"/>
            </w:pPr>
            <w:r>
              <w:t xml:space="preserve">11.29</w:t>
            </w:r>
          </w:p>
        </w:tc>
        <w:tc>
          <w:tcPr/>
          <w:p>
            <w:pPr>
              <w:pStyle w:val="Compact"/>
              <w:jc w:val="right"/>
            </w:pPr>
            <w:r>
              <w:t xml:space="preserve">127.5</w:t>
            </w:r>
          </w:p>
        </w:tc>
        <w:tc>
          <w:tcPr/>
          <w:p>
            <w:pPr>
              <w:pStyle w:val="Compact"/>
              <w:jc w:val="right"/>
            </w:pPr>
            <w:r>
              <w:t xml:space="preserve">14.14</w:t>
            </w:r>
          </w:p>
        </w:tc>
        <w:tc>
          <w:tcPr/>
          <w:p>
            <w:pPr>
              <w:pStyle w:val="Compact"/>
              <w:jc w:val="right"/>
            </w:pPr>
            <w:r>
              <w:t xml:space="preserve">200.0</w:t>
            </w:r>
          </w:p>
        </w:tc>
        <w:tc>
          <w:tcPr/>
          <w:p>
            <w:pPr>
              <w:pStyle w:val="Compact"/>
              <w:jc w:val="right"/>
            </w:pPr>
            <w:r>
              <w:t xml:space="preserve">20.29</w:t>
            </w:r>
          </w:p>
        </w:tc>
        <w:tc>
          <w:tcPr/>
          <w:p>
            <w:pPr>
              <w:pStyle w:val="Compact"/>
              <w:jc w:val="right"/>
            </w:pPr>
            <w:r>
              <w:t xml:space="preserve">411.7</w:t>
            </w:r>
          </w:p>
        </w:tc>
      </w:tr>
      <w:tr>
        <w:tc>
          <w:tcPr/>
          <w:p>
            <w:pPr>
              <w:pStyle w:val="Compact"/>
              <w:jc w:val="left"/>
            </w:pPr>
            <w:r>
              <w:rPr>
                <w:bCs/>
                <w:b/>
              </w:rPr>
              <w:t xml:space="preserve">Market total (tU/yr) / HHI</w:t>
            </w:r>
          </w:p>
        </w:tc>
        <w:tc>
          <w:tcPr/>
          <w:p>
            <w:pPr>
              <w:pStyle w:val="Compact"/>
              <w:jc w:val="right"/>
            </w:pPr>
            <w:r>
              <w:rPr>
                <w:bCs/>
                <w:b/>
              </w:rPr>
              <w:t xml:space="preserve">62,000</w:t>
            </w:r>
          </w:p>
        </w:tc>
        <w:tc>
          <w:tcPr/>
          <w:p>
            <w:pPr>
              <w:pStyle w:val="Compact"/>
              <w:jc w:val="right"/>
            </w:pPr>
            <w:r>
              <w:t xml:space="preserve">100.00</w:t>
            </w:r>
          </w:p>
        </w:tc>
        <w:tc>
          <w:tcPr/>
          <w:p>
            <w:pPr>
              <w:pStyle w:val="Compact"/>
              <w:jc w:val="right"/>
            </w:pPr>
            <w:r>
              <w:rPr>
                <w:bCs/>
                <w:b/>
              </w:rPr>
              <w:t xml:space="preserve">2,111</w:t>
            </w:r>
          </w:p>
        </w:tc>
        <w:tc>
          <w:tcPr/>
          <w:p>
            <w:pPr>
              <w:pStyle w:val="Compact"/>
              <w:jc w:val="right"/>
            </w:pPr>
            <w:r>
              <w:t xml:space="preserve">49,500</w:t>
            </w:r>
          </w:p>
        </w:tc>
        <w:tc>
          <w:tcPr/>
          <w:p>
            <w:pPr>
              <w:pStyle w:val="Compact"/>
              <w:jc w:val="right"/>
            </w:pPr>
            <w:r>
              <w:rPr>
                <w:bCs/>
                <w:b/>
              </w:rPr>
              <w:t xml:space="preserve">2,674</w:t>
            </w:r>
          </w:p>
        </w:tc>
        <w:tc>
          <w:tcPr/>
          <w:p>
            <w:pPr>
              <w:pStyle w:val="Compact"/>
              <w:jc w:val="right"/>
            </w:pPr>
            <w:r>
              <w:t xml:space="preserve">34,500</w:t>
            </w:r>
          </w:p>
        </w:tc>
        <w:tc>
          <w:tcPr/>
          <w:p>
            <w:pPr>
              <w:pStyle w:val="Compact"/>
              <w:jc w:val="right"/>
            </w:pPr>
            <w:r>
              <w:rPr>
                <w:bCs/>
                <w:b/>
              </w:rPr>
              <w:t xml:space="preserve">3,615</w:t>
            </w:r>
          </w:p>
        </w:tc>
      </w:tr>
    </w:tbl>
    <w:p>
      <w:pPr>
        <w:pStyle w:val="BodyText"/>
      </w:pPr>
      <w:r>
        <w:rPr>
          <w:iCs/>
          <w:i/>
        </w:rPr>
        <w:t xml:space="preserve">Table B10. Enrichment by company, 2025 capacity (thousand SWU per year).</w:t>
      </w:r>
      <w:r>
        <w:t xml:space="preserve"> </w:t>
      </w:r>
      <w:r>
        <w:rPr>
          <w:iCs/>
          <w:i/>
        </w:rPr>
        <w:t xml:space="preserve">Source: World Nuclear Association (2025) [TO VERIFY year and rows; CNNC is a WNA estimate; 2030 figures are plans];</w:t>
      </w:r>
      <w:r>
        <w:rPr>
          <w:iCs/>
          <w:i/>
        </w:rPr>
        <w:t xml:space="preserve"> </w:t>
      </w:r>
      <w:r>
        <w:rPr>
          <w:rStyle w:val="VerbatimChar"/>
          <w:iCs/>
          <w:i/>
        </w:rPr>
        <w:t xml:space="preserve">results/hhi.md</w:t>
      </w:r>
      <w:r>
        <w:rPr>
          <w:iCs/>
          <w:i/>
        </w:rPr>
        <w:t xml:space="preserve"> </w:t>
      </w:r>
      <w:r>
        <w:rPr>
          <w:iCs/>
          <w:i/>
        </w:rPr>
        <w:t xml:space="preserve">§3.6.</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jc w:val="left"/>
            </w:pPr>
            <w:r>
              <w:t xml:space="preserve">Company</w:t>
            </w:r>
          </w:p>
        </w:tc>
        <w:tc>
          <w:tcPr/>
          <w:p>
            <w:pPr>
              <w:pStyle w:val="Compact"/>
              <w:jc w:val="right"/>
            </w:pPr>
            <w:r>
              <w:t xml:space="preserve">kSWU/yr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Rosatom</w:t>
            </w:r>
          </w:p>
        </w:tc>
        <w:tc>
          <w:tcPr/>
          <w:p>
            <w:pPr>
              <w:pStyle w:val="Compact"/>
              <w:jc w:val="right"/>
            </w:pPr>
            <w:r>
              <w:t xml:space="preserve">29,133</w:t>
            </w:r>
          </w:p>
        </w:tc>
        <w:tc>
          <w:tcPr/>
          <w:p>
            <w:pPr>
              <w:pStyle w:val="Compact"/>
              <w:jc w:val="right"/>
            </w:pPr>
            <w:r>
              <w:t xml:space="preserve">42.79</w:t>
            </w:r>
          </w:p>
        </w:tc>
        <w:tc>
          <w:tcPr/>
          <w:p>
            <w:pPr>
              <w:pStyle w:val="Compact"/>
              <w:jc w:val="right"/>
            </w:pPr>
            <w:r>
              <w:t xml:space="preserve">1,831.3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Urenco</w:t>
            </w:r>
          </w:p>
        </w:tc>
        <w:tc>
          <w:tcPr/>
          <w:p>
            <w:pPr>
              <w:pStyle w:val="Compact"/>
              <w:jc w:val="right"/>
            </w:pPr>
            <w:r>
              <w:t xml:space="preserve">17,300</w:t>
            </w:r>
          </w:p>
        </w:tc>
        <w:tc>
          <w:tcPr/>
          <w:p>
            <w:pPr>
              <w:pStyle w:val="Compact"/>
              <w:jc w:val="right"/>
            </w:pPr>
            <w:r>
              <w:t xml:space="preserve">25.41</w:t>
            </w:r>
          </w:p>
        </w:tc>
        <w:tc>
          <w:tcPr/>
          <w:p>
            <w:pPr>
              <w:pStyle w:val="Compact"/>
              <w:jc w:val="right"/>
            </w:pPr>
            <w:r>
              <w:t xml:space="preserve">645.8</w:t>
            </w:r>
          </w:p>
        </w:tc>
        <w:tc>
          <w:tcPr/>
          <w:p>
            <w:pPr>
              <w:pStyle w:val="Compact"/>
              <w:jc w:val="right"/>
            </w:pPr>
            <w:r>
              <w:t xml:space="preserve">44.42</w:t>
            </w:r>
          </w:p>
        </w:tc>
        <w:tc>
          <w:tcPr/>
          <w:p>
            <w:pPr>
              <w:pStyle w:val="Compact"/>
              <w:jc w:val="right"/>
            </w:pPr>
            <w:r>
              <w:t xml:space="preserve">1,973.4</w:t>
            </w:r>
          </w:p>
        </w:tc>
        <w:tc>
          <w:tcPr/>
          <w:p>
            <w:pPr>
              <w:pStyle w:val="Compact"/>
              <w:jc w:val="right"/>
            </w:pPr>
            <w:r>
              <w:t xml:space="preserve">68.77</w:t>
            </w:r>
          </w:p>
        </w:tc>
        <w:tc>
          <w:tcPr/>
          <w:p>
            <w:pPr>
              <w:pStyle w:val="Compact"/>
              <w:jc w:val="right"/>
            </w:pPr>
            <w:r>
              <w:t xml:space="preserve">4,729.8</w:t>
            </w:r>
          </w:p>
        </w:tc>
      </w:tr>
      <w:tr>
        <w:tc>
          <w:tcPr/>
          <w:p>
            <w:pPr>
              <w:pStyle w:val="Compact"/>
              <w:jc w:val="left"/>
            </w:pPr>
            <w:r>
              <w:t xml:space="preserve">CNNC</w:t>
            </w:r>
          </w:p>
        </w:tc>
        <w:tc>
          <w:tcPr/>
          <w:p>
            <w:pPr>
              <w:pStyle w:val="Compact"/>
              <w:jc w:val="right"/>
            </w:pPr>
            <w:r>
              <w:t xml:space="preserve">13,789</w:t>
            </w:r>
          </w:p>
        </w:tc>
        <w:tc>
          <w:tcPr/>
          <w:p>
            <w:pPr>
              <w:pStyle w:val="Compact"/>
              <w:jc w:val="right"/>
            </w:pPr>
            <w:r>
              <w:t xml:space="preserve">20.26</w:t>
            </w:r>
          </w:p>
        </w:tc>
        <w:tc>
          <w:tcPr/>
          <w:p>
            <w:pPr>
              <w:pStyle w:val="Compact"/>
              <w:jc w:val="right"/>
            </w:pPr>
            <w:r>
              <w:t xml:space="preserve">410.3</w:t>
            </w:r>
          </w:p>
        </w:tc>
        <w:tc>
          <w:tcPr/>
          <w:p>
            <w:pPr>
              <w:pStyle w:val="Compact"/>
              <w:jc w:val="right"/>
            </w:pPr>
            <w:r>
              <w:t xml:space="preserve">35.41</w:t>
            </w:r>
          </w:p>
        </w:tc>
        <w:tc>
          <w:tcPr/>
          <w:p>
            <w:pPr>
              <w:pStyle w:val="Compact"/>
              <w:jc w:val="right"/>
            </w:pPr>
            <w:r>
              <w:t xml:space="preserve">1,253.7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w:t>
            </w:r>
          </w:p>
        </w:tc>
        <w:tc>
          <w:tcPr/>
          <w:p>
            <w:pPr>
              <w:pStyle w:val="Compact"/>
              <w:jc w:val="right"/>
            </w:pPr>
            <w:r>
              <w:t xml:space="preserve">7,500</w:t>
            </w:r>
          </w:p>
        </w:tc>
        <w:tc>
          <w:tcPr/>
          <w:p>
            <w:pPr>
              <w:pStyle w:val="Compact"/>
              <w:jc w:val="right"/>
            </w:pPr>
            <w:r>
              <w:t xml:space="preserve">11.02</w:t>
            </w:r>
          </w:p>
        </w:tc>
        <w:tc>
          <w:tcPr/>
          <w:p>
            <w:pPr>
              <w:pStyle w:val="Compact"/>
              <w:jc w:val="right"/>
            </w:pPr>
            <w:r>
              <w:t xml:space="preserve">121.4</w:t>
            </w:r>
          </w:p>
        </w:tc>
        <w:tc>
          <w:tcPr/>
          <w:p>
            <w:pPr>
              <w:pStyle w:val="Compact"/>
              <w:jc w:val="right"/>
            </w:pPr>
            <w:r>
              <w:t xml:space="preserve">19.26</w:t>
            </w:r>
          </w:p>
        </w:tc>
        <w:tc>
          <w:tcPr/>
          <w:p>
            <w:pPr>
              <w:pStyle w:val="Compact"/>
              <w:jc w:val="right"/>
            </w:pPr>
            <w:r>
              <w:t xml:space="preserve">370.9</w:t>
            </w:r>
          </w:p>
        </w:tc>
        <w:tc>
          <w:tcPr/>
          <w:p>
            <w:pPr>
              <w:pStyle w:val="Compact"/>
              <w:jc w:val="right"/>
            </w:pPr>
            <w:r>
              <w:t xml:space="preserve">29.82</w:t>
            </w:r>
          </w:p>
        </w:tc>
        <w:tc>
          <w:tcPr/>
          <w:p>
            <w:pPr>
              <w:pStyle w:val="Compact"/>
              <w:jc w:val="right"/>
            </w:pPr>
            <w:r>
              <w:t xml:space="preserve">888.9</w:t>
            </w:r>
          </w:p>
        </w:tc>
      </w:tr>
      <w:tr>
        <w:tc>
          <w:tcPr/>
          <w:p>
            <w:pPr>
              <w:pStyle w:val="Compact"/>
              <w:jc w:val="left"/>
            </w:pPr>
            <w:r>
              <w:t xml:space="preserve">Other (INB, JNFL)</w:t>
            </w:r>
          </w:p>
        </w:tc>
        <w:tc>
          <w:tcPr/>
          <w:p>
            <w:pPr>
              <w:pStyle w:val="Compact"/>
              <w:jc w:val="right"/>
            </w:pPr>
            <w:r>
              <w:t xml:space="preserve">355</w:t>
            </w:r>
          </w:p>
        </w:tc>
        <w:tc>
          <w:tcPr/>
          <w:p>
            <w:pPr>
              <w:pStyle w:val="Compact"/>
              <w:jc w:val="right"/>
            </w:pPr>
            <w:r>
              <w:t xml:space="preserve">0.52</w:t>
            </w:r>
          </w:p>
        </w:tc>
        <w:tc>
          <w:tcPr/>
          <w:p>
            <w:pPr>
              <w:pStyle w:val="Compact"/>
              <w:jc w:val="right"/>
            </w:pPr>
            <w:r>
              <w:t xml:space="preserve">0.3</w:t>
            </w:r>
          </w:p>
        </w:tc>
        <w:tc>
          <w:tcPr/>
          <w:p>
            <w:pPr>
              <w:pStyle w:val="Compact"/>
              <w:jc w:val="right"/>
            </w:pPr>
            <w:r>
              <w:t xml:space="preserve">0.91</w:t>
            </w:r>
          </w:p>
        </w:tc>
        <w:tc>
          <w:tcPr/>
          <w:p>
            <w:pPr>
              <w:pStyle w:val="Compact"/>
              <w:jc w:val="right"/>
            </w:pPr>
            <w:r>
              <w:t xml:space="preserve">0.8</w:t>
            </w:r>
          </w:p>
        </w:tc>
        <w:tc>
          <w:tcPr/>
          <w:p>
            <w:pPr>
              <w:pStyle w:val="Compact"/>
              <w:jc w:val="right"/>
            </w:pPr>
            <w:r>
              <w:t xml:space="preserve">1.41</w:t>
            </w:r>
          </w:p>
        </w:tc>
        <w:tc>
          <w:tcPr/>
          <w:p>
            <w:pPr>
              <w:pStyle w:val="Compact"/>
              <w:jc w:val="right"/>
            </w:pPr>
            <w:r>
              <w:t xml:space="preserve">2.0</w:t>
            </w:r>
          </w:p>
        </w:tc>
      </w:tr>
      <w:tr>
        <w:tc>
          <w:tcPr/>
          <w:p>
            <w:pPr>
              <w:pStyle w:val="Compact"/>
              <w:jc w:val="left"/>
            </w:pPr>
            <w:r>
              <w:rPr>
                <w:bCs/>
                <w:b/>
              </w:rPr>
              <w:t xml:space="preserve">Market total (kSWU/yr) / HHI</w:t>
            </w:r>
          </w:p>
        </w:tc>
        <w:tc>
          <w:tcPr/>
          <w:p>
            <w:pPr>
              <w:pStyle w:val="Compact"/>
              <w:jc w:val="right"/>
            </w:pPr>
            <w:r>
              <w:rPr>
                <w:bCs/>
                <w:b/>
              </w:rPr>
              <w:t xml:space="preserve">68,077</w:t>
            </w:r>
          </w:p>
        </w:tc>
        <w:tc>
          <w:tcPr/>
          <w:p>
            <w:pPr>
              <w:pStyle w:val="Compact"/>
              <w:jc w:val="right"/>
            </w:pPr>
            <w:r>
              <w:t xml:space="preserve">100.00</w:t>
            </w:r>
          </w:p>
        </w:tc>
        <w:tc>
          <w:tcPr/>
          <w:p>
            <w:pPr>
              <w:pStyle w:val="Compact"/>
              <w:jc w:val="right"/>
            </w:pPr>
            <w:r>
              <w:rPr>
                <w:bCs/>
                <w:b/>
              </w:rPr>
              <w:t xml:space="preserve">3,009</w:t>
            </w:r>
          </w:p>
        </w:tc>
        <w:tc>
          <w:tcPr/>
          <w:p>
            <w:pPr>
              <w:pStyle w:val="Compact"/>
              <w:jc w:val="right"/>
            </w:pPr>
            <w:r>
              <w:t xml:space="preserve">38,944</w:t>
            </w:r>
          </w:p>
        </w:tc>
        <w:tc>
          <w:tcPr/>
          <w:p>
            <w:pPr>
              <w:pStyle w:val="Compact"/>
              <w:jc w:val="right"/>
            </w:pPr>
            <w:r>
              <w:rPr>
                <w:bCs/>
                <w:b/>
              </w:rPr>
              <w:t xml:space="preserve">3,599</w:t>
            </w:r>
          </w:p>
        </w:tc>
        <w:tc>
          <w:tcPr/>
          <w:p>
            <w:pPr>
              <w:pStyle w:val="Compact"/>
              <w:jc w:val="right"/>
            </w:pPr>
            <w:r>
              <w:t xml:space="preserve">25,155</w:t>
            </w:r>
          </w:p>
        </w:tc>
        <w:tc>
          <w:tcPr/>
          <w:p>
            <w:pPr>
              <w:pStyle w:val="Compact"/>
              <w:jc w:val="right"/>
            </w:pPr>
            <w:r>
              <w:rPr>
                <w:bCs/>
                <w:b/>
              </w:rPr>
              <w:t xml:space="preserve">5,621</w:t>
            </w:r>
          </w:p>
        </w:tc>
      </w:tr>
    </w:tbl>
    <w:p>
      <w:pPr>
        <w:pStyle w:val="BodyText"/>
      </w:pPr>
      <w:r>
        <w:t xml:space="preserve">Russia’s enrichment share is 43.3% in 2022 and 38.3% in the 2030 plans (World Nuclear Association, 2025) [TO VERIFY]. [TODO: analyst. Add the CRAI (2025) Rosatom and CNNC capacities to</w:t>
      </w:r>
      <w:r>
        <w:t xml:space="preserve"> </w:t>
      </w:r>
      <w:r>
        <w:rPr>
          <w:rStyle w:val="VerbatimChar"/>
        </w:rPr>
        <w:t xml:space="preserve">hhi.py</w:t>
      </w:r>
      <w:r>
        <w:t xml:space="preserve"> </w:t>
      </w:r>
      <w:r>
        <w:t xml:space="preserve">and</w:t>
      </w:r>
      <w:r>
        <w:t xml:space="preserve"> </w:t>
      </w:r>
      <w:r>
        <w:rPr>
          <w:rStyle w:val="VerbatimChar"/>
        </w:rPr>
        <w:t xml:space="preserve">sources.md</w:t>
      </w:r>
      <w:r>
        <w:t xml:space="preserve">, and report Russia’s share as a range (review.md §8.3 point 2; R1.3).]</w:t>
      </w:r>
    </w:p>
    <w:bookmarkEnd w:id="67"/>
    <w:bookmarkStart w:id="68" w:name="b2.3-headline-results"/>
    <w:p>
      <w:pPr>
        <w:pStyle w:val="Heading4"/>
      </w:pPr>
      <w:r>
        <w:t xml:space="preserve">B2.3 Headline results</w:t>
      </w:r>
    </w:p>
    <w:p>
      <w:pPr>
        <w:pStyle w:val="FirstParagraph"/>
      </w:pPr>
      <w:r>
        <w:rPr>
          <w:iCs/>
          <w:i/>
        </w:rPr>
        <w:t xml:space="preserve">Table B11. HHI of the uranium front end by stage, with and without Russia and China.</w:t>
      </w:r>
      <w:r>
        <w:t xml:space="preserve"> </w:t>
      </w:r>
      <w:r>
        <w:rPr>
          <w:iCs/>
          <w:i/>
        </w:rPr>
        <w:t xml:space="preserve">Source:</w:t>
      </w:r>
      <w:r>
        <w:rPr>
          <w:iCs/>
          <w:i/>
        </w:rPr>
        <w:t xml:space="preserve"> </w:t>
      </w:r>
      <w:r>
        <w:rPr>
          <w:rStyle w:val="VerbatimChar"/>
          <w:iCs/>
          <w:i/>
        </w:rPr>
        <w:t xml:space="preserve">03_LCA_Calculations/results/hhi.md</w:t>
      </w:r>
      <w:r>
        <w:rPr>
          <w:iCs/>
          <w:i/>
        </w:rPr>
        <w:t xml:space="preserve"> </w:t>
      </w:r>
      <w:r>
        <w:rPr>
          <w:iCs/>
          <w:i/>
        </w:rPr>
        <w:t xml:space="preserve">§2 and</w:t>
      </w:r>
      <w:r>
        <w:rPr>
          <w:iCs/>
          <w:i/>
        </w:rPr>
        <w:t xml:space="preserve"> </w:t>
      </w:r>
      <w:r>
        <w:rPr>
          <w:rStyle w:val="VerbatimChar"/>
          <w:iCs/>
          <w:i/>
        </w:rPr>
        <w:t xml:space="preserve">hhi_summary.csv</w:t>
      </w:r>
      <w:r>
        <w:rPr>
          <w:iCs/>
          <w:i/>
        </w:rPr>
        <w:t xml:space="preserve">, from the inputs in Tables B7–B10 [all TO VERIFY].</w:t>
      </w:r>
    </w:p>
    <w:tbl>
      <w:tblPr>
        <w:tblStyle w:val="Table"/>
        <w:tblW w:type="pct" w:w="5000"/>
        <w:tblLook w:firstRow="1" w:lastRow="0" w:firstColumn="0" w:lastColumn="0" w:noHBand="0" w:noVBand="0" w:val="0020"/>
        <w:jc w:val="start"/>
      </w:tblPr>
      <w:tblGrid>
        <w:gridCol w:w="819"/>
        <w:gridCol w:w="1092"/>
        <w:gridCol w:w="1092"/>
        <w:gridCol w:w="819"/>
        <w:gridCol w:w="819"/>
        <w:gridCol w:w="1092"/>
        <w:gridCol w:w="1092"/>
        <w:gridCol w:w="1092"/>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right"/>
            </w:pPr>
            <w:r>
              <w:t xml:space="preserve">Without Russia</w:t>
            </w:r>
          </w:p>
        </w:tc>
        <w:tc>
          <w:tcPr/>
          <w:p>
            <w:pPr>
              <w:pStyle w:val="Compact"/>
              <w:jc w:val="right"/>
            </w:pPr>
            <w:r>
              <w:t xml:space="preserve">Without Russia and China</w:t>
            </w:r>
          </w:p>
        </w:tc>
        <w:tc>
          <w:tcPr/>
          <w:p>
            <w:pPr>
              <w:pStyle w:val="Compact"/>
              <w:jc w:val="right"/>
            </w:pPr>
            <w:r>
              <w:t xml:space="preserve">Russia’s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2,546 (highly under both)</w:t>
            </w:r>
          </w:p>
        </w:tc>
        <w:tc>
          <w:tcPr/>
          <w:p>
            <w:pPr>
              <w:pStyle w:val="Compact"/>
              <w:jc w:val="right"/>
            </w:pPr>
            <w:r>
              <w:t xml:space="preserve">2,686</w:t>
            </w:r>
          </w:p>
        </w:tc>
        <w:tc>
          <w:tcPr/>
          <w:p>
            <w:pPr>
              <w:pStyle w:val="Compact"/>
              <w:jc w:val="right"/>
            </w:pPr>
            <w:r>
              <w:t xml:space="preserve">4.5%</w:t>
            </w:r>
          </w:p>
        </w:tc>
      </w:tr>
      <w:tr>
        <w:tc>
          <w:tcPr/>
          <w:p>
            <w:pPr>
              <w:pStyle w:val="Compact"/>
              <w:jc w:val="left"/>
            </w:pPr>
            <w:r>
              <w:t xml:space="preserve">Conversion (capacity by company, [year TO VERIFY])</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2,674 (highly under both)</w:t>
            </w:r>
          </w:p>
        </w:tc>
        <w:tc>
          <w:tcPr/>
          <w:p>
            <w:pPr>
              <w:pStyle w:val="Compact"/>
              <w:jc w:val="right"/>
            </w:pPr>
            <w:r>
              <w:t xml:space="preserve">3,615</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rPr>
                <w:bCs/>
                <w:b/>
              </w:rPr>
              <w:t xml:space="preserve">42.8%</w:t>
            </w:r>
          </w:p>
        </w:tc>
      </w:tr>
    </w:tbl>
    <w:p>
      <w:pPr>
        <w:pStyle w:val="BodyText"/>
      </w:pPr>
      <w:r>
        <w:t xml:space="preserve">Shares for the two producer countries in the comparison: Canada mined 23.8% of world uranium in 2024 and holds 20.2% of world conversion capacity (36.2% of the capacity open to a Western buyer), with no enrichment. Australia mined 7.6% (4,598 tU) and has no conversion or enrichment capacity. Australia holds 28% of identified recoverable resources at &lt; USD 130/kgU (OECD NEA and IAEA, 2025) [TO VERIFY; Red Book 2026 gives 29% or 27% in two WNA tabulations; team to choose the edition, §8.3 TODO 4].</w:t>
      </w:r>
    </w:p>
    <w:bookmarkEnd w:id="68"/>
    <w:bookmarkStart w:id="69" w:name="b2.4-sensitivity"/>
    <w:p>
      <w:pPr>
        <w:pStyle w:val="Heading4"/>
      </w:pPr>
      <w:r>
        <w:t xml:space="preserve">B2.4 Sensitivity</w:t>
      </w:r>
    </w:p>
    <w:p>
      <w:pPr>
        <w:pStyle w:val="FirstParagraph"/>
      </w:pPr>
      <w:r>
        <w:rPr>
          <w:iCs/>
          <w:i/>
        </w:rPr>
        <w:t xml:space="preserve">Table B12. HHI under every tested scenario.</w:t>
      </w:r>
      <w:r>
        <w:t xml:space="preserve"> </w:t>
      </w:r>
      <w:r>
        <w:rPr>
          <w:iCs/>
          <w:i/>
        </w:rPr>
        <w:t xml:space="preserve">Source:</w:t>
      </w:r>
      <w:r>
        <w:rPr>
          <w:iCs/>
          <w:i/>
        </w:rPr>
        <w:t xml:space="preserve"> </w:t>
      </w:r>
      <w:r>
        <w:rPr>
          <w:rStyle w:val="VerbatimChar"/>
          <w:iCs/>
          <w:i/>
        </w:rPr>
        <w:t xml:space="preserve">03_LCA_Calculations/results/hhi_summary.csv</w:t>
      </w:r>
      <w:r>
        <w:rPr>
          <w:iCs/>
          <w:i/>
        </w:rPr>
        <w:t xml:space="preserve"> </w:t>
      </w:r>
      <w:r>
        <w:rPr>
          <w:iCs/>
          <w:i/>
        </w:rPr>
        <w:t xml:space="preserve">[inputs TO VERIFY].</w:t>
      </w:r>
    </w:p>
    <w:tbl>
      <w:tblPr>
        <w:tblStyle w:val="Table"/>
        <w:tblW w:type="pct" w:w="5000"/>
        <w:tblLook w:firstRow="1" w:lastRow="0" w:firstColumn="0" w:lastColumn="0" w:noHBand="0" w:noVBand="0" w:val="0020"/>
        <w:jc w:val="start"/>
      </w:tblPr>
      <w:tblGrid>
        <w:gridCol w:w="1033"/>
        <w:gridCol w:w="1033"/>
        <w:gridCol w:w="1377"/>
        <w:gridCol w:w="1377"/>
        <w:gridCol w:w="1033"/>
        <w:gridCol w:w="1033"/>
        <w:gridCol w:w="1033"/>
      </w:tblGrid>
      <w:tr>
        <w:trPr>
          <w:tblHeader w:val="true"/>
        </w:trPr>
        <w:tc>
          <w:tcPr/>
          <w:p>
            <w:pPr>
              <w:pStyle w:val="Compact"/>
              <w:jc w:val="left"/>
            </w:pPr>
            <w:r>
              <w:t xml:space="preserve">Stage</w:t>
            </w:r>
          </w:p>
        </w:tc>
        <w:tc>
          <w:tcPr/>
          <w:p>
            <w:pPr>
              <w:pStyle w:val="Compact"/>
              <w:jc w:val="left"/>
            </w:pPr>
            <w:r>
              <w:t xml:space="preserve">Scenario</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left"/>
            </w:pPr>
            <w:r>
              <w:t xml:space="preserve">Note</w:t>
            </w:r>
          </w:p>
        </w:tc>
      </w:tr>
      <w:tr>
        <w:tc>
          <w:tcPr/>
          <w:p>
            <w:pPr>
              <w:pStyle w:val="Compact"/>
              <w:jc w:val="left"/>
            </w:pPr>
            <w:r>
              <w:t xml:space="preserve">Mining (country)</w:t>
            </w:r>
          </w:p>
        </w:tc>
        <w:tc>
          <w:tcPr/>
          <w:p>
            <w:pPr>
              <w:pStyle w:val="Compact"/>
              <w:jc w:val="left"/>
            </w:pPr>
            <w:r>
              <w:t xml:space="preserve">2024 base</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Mining (country)</w:t>
            </w:r>
          </w:p>
        </w:tc>
        <w:tc>
          <w:tcPr/>
          <w:p>
            <w:pPr>
              <w:pStyle w:val="Compact"/>
              <w:jc w:val="left"/>
            </w:pPr>
            <w:r>
              <w:t xml:space="preserve">2024 base,</w:t>
            </w:r>
            <w:r>
              <w:t xml:space="preserve"> </w:t>
            </w:r>
            <w:r>
              <w:t xml:space="preserve">“</w:t>
            </w:r>
            <w:r>
              <w:t xml:space="preserve">Others</w:t>
            </w:r>
            <w:r>
              <w:t xml:space="preserve">”</w:t>
            </w:r>
            <w:r>
              <w:t xml:space="preserve"> </w:t>
            </w:r>
            <w:r>
              <w:t xml:space="preserve">atomistic</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Lower bound</w:t>
            </w:r>
          </w:p>
        </w:tc>
      </w:tr>
      <w:tr>
        <w:tc>
          <w:tcPr/>
          <w:p>
            <w:pPr>
              <w:pStyle w:val="Compact"/>
              <w:jc w:val="left"/>
            </w:pPr>
            <w:r>
              <w:t xml:space="preserve">Mining (country)</w:t>
            </w:r>
          </w:p>
        </w:tc>
        <w:tc>
          <w:tcPr/>
          <w:p>
            <w:pPr>
              <w:pStyle w:val="Compact"/>
              <w:jc w:val="left"/>
            </w:pPr>
            <w:r>
              <w:t xml:space="preserve">2024 without Russia</w:t>
            </w:r>
          </w:p>
        </w:tc>
        <w:tc>
          <w:tcPr/>
          <w:p>
            <w:pPr>
              <w:pStyle w:val="Compact"/>
              <w:jc w:val="right"/>
            </w:pPr>
            <w:r>
              <w:t xml:space="preserve">2,546</w:t>
            </w:r>
          </w:p>
        </w:tc>
        <w:tc>
          <w:tcPr/>
          <w:p>
            <w:pPr>
              <w:pStyle w:val="Compact"/>
              <w:jc w:val="right"/>
            </w:pPr>
            <w:r>
              <w:t xml:space="preserve">3.9</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and China</w:t>
            </w:r>
          </w:p>
        </w:tc>
        <w:tc>
          <w:tcPr/>
          <w:p>
            <w:pPr>
              <w:pStyle w:val="Compact"/>
              <w:jc w:val="right"/>
            </w:pPr>
            <w:r>
              <w:t xml:space="preserve">2,686</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China and Niger</w:t>
            </w:r>
          </w:p>
        </w:tc>
        <w:tc>
          <w:tcPr/>
          <w:p>
            <w:pPr>
              <w:pStyle w:val="Compact"/>
              <w:jc w:val="right"/>
            </w:pPr>
            <w:r>
              <w:t xml:space="preserve">2,778</w:t>
            </w:r>
          </w:p>
        </w:tc>
        <w:tc>
          <w:tcPr/>
          <w:p>
            <w:pPr>
              <w:pStyle w:val="Compact"/>
              <w:jc w:val="right"/>
            </w:pPr>
            <w:r>
              <w:t xml:space="preserve">3.6</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Niger: exports disrupted since the 2023 coup (secondary) [TO VERIFY]</w:t>
            </w:r>
          </w:p>
        </w:tc>
      </w:tr>
      <w:tr>
        <w:tc>
          <w:tcPr/>
          <w:p>
            <w:pPr>
              <w:pStyle w:val="Compact"/>
              <w:jc w:val="left"/>
            </w:pPr>
            <w:r>
              <w:t xml:space="preserve">Mining (country)</w:t>
            </w:r>
          </w:p>
        </w:tc>
        <w:tc>
          <w:tcPr/>
          <w:p>
            <w:pPr>
              <w:pStyle w:val="Compact"/>
              <w:jc w:val="left"/>
            </w:pPr>
            <w:r>
              <w:t xml:space="preserve">2022 (residual bounds)</w:t>
            </w:r>
          </w:p>
        </w:tc>
        <w:tc>
          <w:tcPr/>
          <w:p>
            <w:pPr>
              <w:pStyle w:val="Compact"/>
              <w:jc w:val="right"/>
            </w:pPr>
            <w:r>
              <w:t xml:space="preserve">2,370</w:t>
            </w:r>
          </w:p>
        </w:tc>
        <w:tc>
          <w:tcPr/>
          <w:p>
            <w:pPr>
              <w:pStyle w:val="Compact"/>
              <w:jc w:val="right"/>
            </w:pPr>
            <w:r>
              <w:t xml:space="preserve">4.2</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2,368–2,372</w:t>
            </w:r>
          </w:p>
        </w:tc>
      </w:tr>
      <w:tr>
        <w:tc>
          <w:tcPr/>
          <w:p>
            <w:pPr>
              <w:pStyle w:val="Compact"/>
              <w:jc w:val="left"/>
            </w:pPr>
            <w:r>
              <w:t xml:space="preserve">Mining (country)</w:t>
            </w:r>
          </w:p>
        </w:tc>
        <w:tc>
          <w:tcPr/>
          <w:p>
            <w:pPr>
              <w:pStyle w:val="Compact"/>
              <w:jc w:val="left"/>
            </w:pPr>
            <w:r>
              <w:t xml:space="preserve">2022 without Russia</w:t>
            </w:r>
          </w:p>
        </w:tc>
        <w:tc>
          <w:tcPr/>
          <w:p>
            <w:pPr>
              <w:pStyle w:val="Compact"/>
              <w:jc w:val="right"/>
            </w:pPr>
            <w:r>
              <w:t xml:space="preserve">2,601</w:t>
            </w:r>
          </w:p>
        </w:tc>
        <w:tc>
          <w:tcPr/>
          <w:p>
            <w:pPr>
              <w:pStyle w:val="Compact"/>
              <w:jc w:val="right"/>
            </w:pPr>
            <w:r>
              <w:t xml:space="preserve">3.8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Range 2,598–2,603</w:t>
            </w:r>
          </w:p>
        </w:tc>
      </w:tr>
      <w:tr>
        <w:tc>
          <w:tcPr/>
          <w:p>
            <w:pPr>
              <w:pStyle w:val="Compact"/>
              <w:jc w:val="left"/>
            </w:pPr>
            <w:r>
              <w:t xml:space="preserve">Mining (country)</w:t>
            </w:r>
          </w:p>
        </w:tc>
        <w:tc>
          <w:tcPr/>
          <w:p>
            <w:pPr>
              <w:pStyle w:val="Compact"/>
              <w:jc w:val="left"/>
            </w:pPr>
            <w:r>
              <w:t xml:space="preserve">2023 (residual bounds)</w:t>
            </w:r>
          </w:p>
        </w:tc>
        <w:tc>
          <w:tcPr/>
          <w:p>
            <w:pPr>
              <w:pStyle w:val="Compact"/>
              <w:jc w:val="right"/>
            </w:pPr>
            <w:r>
              <w:t xml:space="preserve">2,246</w:t>
            </w:r>
          </w:p>
        </w:tc>
        <w:tc>
          <w:tcPr/>
          <w:p>
            <w:pPr>
              <w:pStyle w:val="Compact"/>
              <w:jc w:val="right"/>
            </w:pPr>
            <w:r>
              <w:t xml:space="preserve">4.5</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2,243–2,248</w:t>
            </w:r>
          </w:p>
        </w:tc>
      </w:tr>
      <w:tr>
        <w:tc>
          <w:tcPr/>
          <w:p>
            <w:pPr>
              <w:pStyle w:val="Compact"/>
              <w:jc w:val="left"/>
            </w:pPr>
            <w:r>
              <w:t xml:space="preserve">Mining (country)</w:t>
            </w:r>
          </w:p>
        </w:tc>
        <w:tc>
          <w:tcPr/>
          <w:p>
            <w:pPr>
              <w:pStyle w:val="Compact"/>
              <w:jc w:val="left"/>
            </w:pPr>
            <w:r>
              <w:t xml:space="preserve">2023 without Russia</w:t>
            </w:r>
          </w:p>
        </w:tc>
        <w:tc>
          <w:tcPr/>
          <w:p>
            <w:pPr>
              <w:pStyle w:val="Compact"/>
              <w:jc w:val="right"/>
            </w:pPr>
            <w:r>
              <w:t xml:space="preserve">2,460</w:t>
            </w:r>
          </w:p>
        </w:tc>
        <w:tc>
          <w:tcPr/>
          <w:p>
            <w:pPr>
              <w:pStyle w:val="Compact"/>
              <w:jc w:val="right"/>
            </w:pPr>
            <w:r>
              <w:t xml:space="preserve">4.1</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2,457–2,462</w:t>
            </w:r>
          </w:p>
        </w:tc>
      </w:tr>
      <w:tr>
        <w:tc>
          <w:tcPr/>
          <w:p>
            <w:pPr>
              <w:pStyle w:val="Compact"/>
              <w:jc w:val="left"/>
            </w:pPr>
            <w:r>
              <w:rPr>
                <w:bCs/>
                <w:b/>
              </w:rPr>
              <w:t xml:space="preserve">Mining (company)</w:t>
            </w:r>
          </w:p>
        </w:tc>
        <w:tc>
          <w:tcPr/>
          <w:p>
            <w:pPr>
              <w:pStyle w:val="Compact"/>
              <w:jc w:val="left"/>
            </w:pPr>
            <w:r>
              <w:rPr>
                <w:bCs/>
                <w:b/>
              </w:rPr>
              <w:t xml:space="preserve">2024 bounds (top three known)</w:t>
            </w:r>
          </w:p>
        </w:tc>
        <w:tc>
          <w:tcPr/>
          <w:p>
            <w:pPr>
              <w:pStyle w:val="Compact"/>
              <w:jc w:val="right"/>
            </w:pPr>
            <w:r>
              <w:rPr>
                <w:bCs/>
                <w:b/>
              </w:rPr>
              <w:t xml:space="preserve">1,118</w:t>
            </w:r>
          </w:p>
        </w:tc>
        <w:tc>
          <w:tcPr/>
          <w:p>
            <w:pPr>
              <w:pStyle w:val="Compact"/>
              <w:jc w:val="right"/>
            </w:pPr>
            <w:r>
              <w:rPr>
                <w:bCs/>
                <w:b/>
              </w:rPr>
              <w:t xml:space="preserve">8.9</w:t>
            </w:r>
          </w:p>
        </w:tc>
        <w:tc>
          <w:tcPr/>
          <w:p>
            <w:pPr>
              <w:pStyle w:val="Compact"/>
              <w:jc w:val="left"/>
            </w:pPr>
            <w:r>
              <w:rPr>
                <w:bCs/>
                <w:b/>
              </w:rPr>
              <w:t xml:space="preserve">Not highly</w:t>
            </w:r>
          </w:p>
        </w:tc>
        <w:tc>
          <w:tcPr/>
          <w:p>
            <w:pPr>
              <w:pStyle w:val="Compact"/>
              <w:jc w:val="left"/>
            </w:pPr>
            <w:r>
              <w:rPr>
                <w:bCs/>
                <w:b/>
              </w:rPr>
              <w:t xml:space="preserve">Unconcentrated</w:t>
            </w:r>
          </w:p>
        </w:tc>
        <w:tc>
          <w:tcPr/>
          <w:p>
            <w:pPr>
              <w:pStyle w:val="Compact"/>
              <w:jc w:val="left"/>
            </w:pPr>
            <w:r>
              <w:rPr>
                <w:bCs/>
                <w:b/>
              </w:rPr>
              <w:t xml:space="preserve">Range 851–1,384; partial data</w:t>
            </w:r>
          </w:p>
        </w:tc>
      </w:tr>
      <w:tr>
        <w:tc>
          <w:tcPr/>
          <w:p>
            <w:pPr>
              <w:pStyle w:val="Compact"/>
              <w:jc w:val="left"/>
            </w:pPr>
            <w:r>
              <w:t xml:space="preserve">Conversion</w:t>
            </w:r>
          </w:p>
        </w:tc>
        <w:tc>
          <w:tcPr/>
          <w:p>
            <w:pPr>
              <w:pStyle w:val="Compact"/>
              <w:jc w:val="left"/>
            </w:pPr>
            <w:r>
              <w:t xml:space="preserve">Capacity base</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Capacity without Russia</w:t>
            </w:r>
          </w:p>
        </w:tc>
        <w:tc>
          <w:tcPr/>
          <w:p>
            <w:pPr>
              <w:pStyle w:val="Compact"/>
              <w:jc w:val="right"/>
            </w:pPr>
            <w:r>
              <w:t xml:space="preserve">2,674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Capacity without Russia and China</w:t>
            </w:r>
          </w:p>
        </w:tc>
        <w:tc>
          <w:tcPr/>
          <w:p>
            <w:pPr>
              <w:pStyle w:val="Compact"/>
              <w:jc w:val="right"/>
            </w:pPr>
            <w:r>
              <w:t xml:space="preserve">3,615</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Conversion</w:t>
            </w:r>
          </w:p>
        </w:tc>
        <w:tc>
          <w:tcPr/>
          <w:p>
            <w:pPr>
              <w:pStyle w:val="Compact"/>
              <w:jc w:val="left"/>
            </w:pPr>
            <w:r>
              <w:t xml:space="preserve">Production base</w:t>
            </w:r>
          </w:p>
        </w:tc>
        <w:tc>
          <w:tcPr/>
          <w:p>
            <w:pPr>
              <w:pStyle w:val="Compact"/>
              <w:jc w:val="right"/>
            </w:pPr>
            <w:r>
              <w:t xml:space="preserve">2,109</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Production without Russia</w:t>
            </w:r>
          </w:p>
        </w:tc>
        <w:tc>
          <w:tcPr/>
          <w:p>
            <w:pPr>
              <w:pStyle w:val="Compact"/>
              <w:jc w:val="right"/>
            </w:pPr>
            <w:r>
              <w:t xml:space="preserve">2,672</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15,000 tU (alternative)</w:t>
            </w:r>
          </w:p>
        </w:tc>
        <w:tc>
          <w:tcPr/>
          <w:p>
            <w:pPr>
              <w:pStyle w:val="Compact"/>
              <w:jc w:val="right"/>
            </w:pPr>
            <w:r>
              <w:t xml:space="preserve">2,015</w:t>
            </w:r>
          </w:p>
        </w:tc>
        <w:tc>
          <w:tcPr/>
          <w:p>
            <w:pPr>
              <w:pStyle w:val="Compact"/>
              <w:jc w:val="right"/>
            </w:pPr>
            <w:r>
              <w:t xml:space="preserve">5.0</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Secondary source; sensitivity only</w:t>
            </w:r>
          </w:p>
        </w:tc>
      </w:tr>
      <w:tr>
        <w:tc>
          <w:tcPr/>
          <w:p>
            <w:pPr>
              <w:pStyle w:val="Compact"/>
              <w:jc w:val="left"/>
            </w:pPr>
            <w:r>
              <w:t xml:space="preserve">Conversion</w:t>
            </w:r>
          </w:p>
        </w:tc>
        <w:tc>
          <w:tcPr/>
          <w:p>
            <w:pPr>
              <w:pStyle w:val="Compact"/>
              <w:jc w:val="left"/>
            </w:pPr>
            <w:r>
              <w:t xml:space="preserve">ConverDyn alternative, without Russia</w:t>
            </w:r>
          </w:p>
        </w:tc>
        <w:tc>
          <w:tcPr/>
          <w:p>
            <w:pPr>
              <w:pStyle w:val="Compact"/>
              <w:jc w:val="right"/>
            </w:pPr>
            <w:r>
              <w:t xml:space="preserve">2,514</w:t>
            </w:r>
          </w:p>
        </w:tc>
        <w:tc>
          <w:tcPr/>
          <w:p>
            <w:pPr>
              <w:pStyle w:val="Compact"/>
              <w:jc w:val="right"/>
            </w:pPr>
            <w:r>
              <w:t xml:space="preserve">4.0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alternative, without Russia and China</w:t>
            </w:r>
          </w:p>
        </w:tc>
        <w:tc>
          <w:tcPr/>
          <w:p>
            <w:pPr>
              <w:pStyle w:val="Compact"/>
              <w:jc w:val="right"/>
            </w:pPr>
            <w:r>
              <w:t xml:space="preserve">3,356</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capacity</w:t>
            </w:r>
          </w:p>
        </w:tc>
        <w:tc>
          <w:tcPr/>
          <w:p>
            <w:pPr>
              <w:pStyle w:val="Compact"/>
              <w:jc w:val="right"/>
            </w:pPr>
            <w:r>
              <w:t xml:space="preserve">3,065</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w:t>
            </w:r>
          </w:p>
        </w:tc>
        <w:tc>
          <w:tcPr/>
          <w:p>
            <w:pPr>
              <w:pStyle w:val="Compact"/>
              <w:jc w:val="right"/>
            </w:pPr>
            <w:r>
              <w:t xml:space="preserve">3,707</w:t>
            </w:r>
          </w:p>
        </w:tc>
        <w:tc>
          <w:tcPr/>
          <w:p>
            <w:pPr>
              <w:pStyle w:val="Compact"/>
              <w:jc w:val="right"/>
            </w:pPr>
            <w:r>
              <w:t xml:space="preserve">2.7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 and China</w:t>
            </w:r>
          </w:p>
        </w:tc>
        <w:tc>
          <w:tcPr/>
          <w:p>
            <w:pPr>
              <w:pStyle w:val="Compact"/>
              <w:jc w:val="right"/>
            </w:pPr>
            <w:r>
              <w:t xml:space="preserve">5,722</w:t>
            </w:r>
          </w:p>
        </w:tc>
        <w:tc>
          <w:tcPr/>
          <w:p>
            <w:pPr>
              <w:pStyle w:val="Compact"/>
              <w:jc w:val="right"/>
            </w:pPr>
            <w:r>
              <w:t xml:space="preserve">1.7</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2025 capacity (base)</w:t>
            </w:r>
          </w:p>
        </w:tc>
        <w:tc>
          <w:tcPr/>
          <w:p>
            <w:pPr>
              <w:pStyle w:val="Compact"/>
              <w:jc w:val="right"/>
            </w:pPr>
            <w: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w:t>
            </w:r>
          </w:p>
        </w:tc>
        <w:tc>
          <w:tcPr/>
          <w:p>
            <w:pPr>
              <w:pStyle w:val="Compact"/>
              <w:jc w:val="right"/>
            </w:pPr>
            <w:r>
              <w:t xml:space="preserve">3,599</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 and China</w:t>
            </w:r>
          </w:p>
        </w:tc>
        <w:tc>
          <w:tcPr/>
          <w:p>
            <w:pPr>
              <w:pStyle w:val="Compact"/>
              <w:jc w:val="right"/>
            </w:pPr>
            <w:r>
              <w:t xml:space="preserve">5,621</w:t>
            </w:r>
          </w:p>
        </w:tc>
        <w:tc>
          <w:tcPr/>
          <w:p>
            <w:pPr>
              <w:pStyle w:val="Compact"/>
              <w:jc w:val="right"/>
            </w:pPr>
            <w:r>
              <w:t xml:space="preserve">1.8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2030 capacity (plans)</w:t>
            </w:r>
          </w:p>
        </w:tc>
        <w:tc>
          <w:tcPr/>
          <w:p>
            <w:pPr>
              <w:pStyle w:val="Compact"/>
              <w:jc w:val="right"/>
            </w:pPr>
            <w:r>
              <w:t xml:space="preserve">2,724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w:t>
            </w:r>
          </w:p>
        </w:tc>
        <w:tc>
          <w:tcPr/>
          <w:p>
            <w:pPr>
              <w:pStyle w:val="Compact"/>
              <w:jc w:val="right"/>
            </w:pPr>
            <w:r>
              <w:t xml:space="preserve">3,299</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 and China</w:t>
            </w:r>
          </w:p>
        </w:tc>
        <w:tc>
          <w:tcPr/>
          <w:p>
            <w:pPr>
              <w:pStyle w:val="Compact"/>
              <w:jc w:val="right"/>
            </w:pPr>
            <w:r>
              <w:t xml:space="preserve">4,827</w:t>
            </w:r>
          </w:p>
        </w:tc>
        <w:tc>
          <w:tcPr/>
          <w:p>
            <w:pPr>
              <w:pStyle w:val="Compact"/>
              <w:jc w:val="right"/>
            </w:pPr>
            <w:r>
              <w:t xml:space="preserve">2.1</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bl>
    <w:p>
      <w:pPr>
        <w:pStyle w:val="BodyText"/>
      </w:pPr>
      <w:r>
        <w:t xml:space="preserve">Reading:</w:t>
      </w:r>
      <w:r>
        <w:t xml:space="preserve"> </w:t>
      </w:r>
      <w:r>
        <w:t xml:space="preserve">-</w:t>
      </w:r>
      <w:r>
        <w:t xml:space="preserve"> </w:t>
      </w:r>
      <w:r>
        <w:rPr>
          <w:bCs/>
          <w:b/>
        </w:rPr>
        <w:t xml:space="preserve">Data year</w:t>
      </w:r>
      <w:r>
        <w:t xml:space="preserve"> </w:t>
      </w:r>
      <w:r>
        <w:t xml:space="preserve">moves the HHI by a few hundred points but never changes the 2023 class. Enrichment and conversion are highly concentrated in every year tested.</w:t>
      </w:r>
      <w:r>
        <w:t xml:space="preserve"> </w:t>
      </w:r>
      <w:r>
        <w:t xml:space="preserve">-</w:t>
      </w:r>
      <w:r>
        <w:t xml:space="preserve"> </w:t>
      </w:r>
      <w:r>
        <w:rPr>
          <w:bCs/>
          <w:b/>
        </w:rPr>
        <w:t xml:space="preserve">Capacity versus production</w:t>
      </w:r>
      <w:r>
        <w:t xml:space="preserve"> </w:t>
      </w:r>
      <w:r>
        <w:t xml:space="preserve">(conversion) changes the HHI by less than 10 points.</w:t>
      </w:r>
      <w:r>
        <w:t xml:space="preserve"> </w:t>
      </w:r>
      <w:r>
        <w:t xml:space="preserve">-</w:t>
      </w:r>
      <w:r>
        <w:t xml:space="preserve"> </w:t>
      </w:r>
      <w:r>
        <w:rPr>
          <w:bCs/>
          <w:b/>
        </w:rPr>
        <w:t xml:space="preserve">ConverDyn’s capacity</w:t>
      </w:r>
      <w:r>
        <w:t xml:space="preserve"> </w:t>
      </w:r>
      <w:r>
        <w:t xml:space="preserve">(7,000 or 15,000 tU) is the largest data uncertainty for conversion. The higher value lowers the HHI to 2,015, still above 1,800.</w:t>
      </w:r>
      <w:r>
        <w:t xml:space="preserve"> </w:t>
      </w:r>
      <w:r>
        <w:t xml:space="preserve">-</w:t>
      </w:r>
      <w:r>
        <w:t xml:space="preserve"> </w:t>
      </w:r>
      <w:r>
        <w:rPr>
          <w:bCs/>
          <w:b/>
        </w:rPr>
        <w:t xml:space="preserve">Threshold choice</w:t>
      </w:r>
      <w:r>
        <w:t xml:space="preserve"> </w:t>
      </w:r>
      <w:r>
        <w:t xml:space="preserve">matters for mining and conversion only: both are</w:t>
      </w:r>
      <w:r>
        <w:t xml:space="preserve"> </w:t>
      </w:r>
      <w:r>
        <w:t xml:space="preserve">“</w:t>
      </w:r>
      <w:r>
        <w:t xml:space="preserve">highly</w:t>
      </w:r>
      <w:r>
        <w:t xml:space="preserve">”</w:t>
      </w:r>
      <w:r>
        <w:t xml:space="preserve"> </w:t>
      </w:r>
      <w:r>
        <w:t xml:space="preserve">concentrated on the 2023 scale and</w:t>
      </w:r>
      <w:r>
        <w:t xml:space="preserve"> </w:t>
      </w:r>
      <w:r>
        <w:t xml:space="preserve">“</w:t>
      </w:r>
      <w:r>
        <w:t xml:space="preserve">moderately</w:t>
      </w:r>
      <w:r>
        <w:t xml:space="preserve">”</w:t>
      </w:r>
      <w:r>
        <w:t xml:space="preserve"> </w:t>
      </w:r>
      <w:r>
        <w:t xml:space="preserve">on the 2010 scale. Enrichment is highly concentrated on both.</w:t>
      </w:r>
      <w:r>
        <w:t xml:space="preserve"> </w:t>
      </w:r>
      <w:r>
        <w:t xml:space="preserve">-</w:t>
      </w:r>
      <w:r>
        <w:t xml:space="preserve"> </w:t>
      </w:r>
      <w:r>
        <w:rPr>
          <w:bCs/>
          <w:b/>
        </w:rPr>
        <w:t xml:space="preserve">Removing Russia</w:t>
      </w:r>
      <w:r>
        <w:t xml:space="preserve"> </w:t>
      </w:r>
      <w:r>
        <w:t xml:space="preserve">is the dominant effect at every stage, and it always increases concentration.</w:t>
      </w:r>
    </w:p>
    <w:p>
      <w:pPr>
        <w:pStyle w:val="BodyText"/>
      </w:pPr>
      <w:r>
        <w:rPr>
          <w:bCs/>
          <w:b/>
        </w:rPr>
        <w:t xml:space="preserve">Mining by company (the one case below 1,800).</w:t>
      </w:r>
      <w:r>
        <w:t xml:space="preserve"> </w:t>
      </w:r>
      <w:r>
        <w:t xml:space="preserve">Only the top three 2024 shares were retrieved: Kazatomprom 21%, Cameco 17%, Orano 11% (World Nuclear Association, 2026) [TO VERIFY company-table year]; Kazatomprom’s 21% is cross-checked by Kazatomprom (2025) [TO VERIFY]. Together they hold 49%.</w:t>
      </w:r>
      <w:r>
        <w:t xml:space="preserve"> </w:t>
      </w:r>
      <w:r>
        <w:t xml:space="preserve">1. Lower bound (the other 51% held by many small firms): 21² + 17² + 11² = 441 + 289 + 121 =</w:t>
      </w:r>
      <w:r>
        <w:t xml:space="preserve"> </w:t>
      </w:r>
      <w:r>
        <w:rPr>
          <w:bCs/>
          <w:b/>
        </w:rPr>
        <w:t xml:space="preserve">851</w:t>
      </w:r>
      <w:r>
        <w:t xml:space="preserve">.</w:t>
      </w:r>
      <w:r>
        <w:t xml:space="preserve"> </w:t>
      </w:r>
      <w:r>
        <w:t xml:space="preserve">2. Upper bound (the other 51% split into firms no larger than the third-ranked, 11%, i.e. four at 11% and one at 7%): 851 + 4 × 11² + 7² = 851 + 484 + 49 =</w:t>
      </w:r>
      <w:r>
        <w:t xml:space="preserve"> </w:t>
      </w:r>
      <w:r>
        <w:rPr>
          <w:bCs/>
          <w:b/>
        </w:rPr>
        <w:t xml:space="preserve">1,384</w:t>
      </w:r>
      <w:r>
        <w:t xml:space="preserve">.</w:t>
      </w:r>
      <w:r>
        <w:t xml:space="preserve"> </w:t>
      </w:r>
      <w:r>
        <w:t xml:space="preserve">3. Central value reported by</w:t>
      </w:r>
      <w:r>
        <w:t xml:space="preserve"> </w:t>
      </w:r>
      <w:r>
        <w:rPr>
          <w:rStyle w:val="VerbatimChar"/>
        </w:rPr>
        <w:t xml:space="preserve">hhi.py</w:t>
      </w:r>
      <w:r>
        <w:t xml:space="preserve">: the midpoint, (851 + 1,384) / 2 =</w:t>
      </w:r>
      <w:r>
        <w:t xml:space="preserve"> </w:t>
      </w:r>
      <w:r>
        <w:rPr>
          <w:bCs/>
          <w:b/>
        </w:rPr>
        <w:t xml:space="preserve">1,118</w:t>
      </w:r>
      <w:r>
        <w:t xml:space="preserve"> </w:t>
      </w:r>
      <w:r>
        <w:t xml:space="preserve">(N_eq = 8.9).</w:t>
      </w:r>
    </w:p>
    <w:p>
      <w:pPr>
        <w:pStyle w:val="BodyText"/>
      </w:pPr>
      <w:r>
        <w:t xml:space="preserve">Both bounds are below 1,500, so firms are not concentrated even though countries are. Kazakhstan’s 38.6% country share includes joint ventures with Cameco, Orano, Uranium One (Rosatom) and Chinese partners [TO VERIFY ownership detail].</w:t>
      </w:r>
    </w:p>
    <w:bookmarkEnd w:id="69"/>
    <w:bookmarkStart w:id="70" w:name="b2.5-limitations"/>
    <w:p>
      <w:pPr>
        <w:pStyle w:val="Heading4"/>
      </w:pPr>
      <w:r>
        <w:t xml:space="preserve">B2.5 Limitations</w:t>
      </w:r>
    </w:p>
    <w:p>
      <w:pPr>
        <w:numPr>
          <w:ilvl w:val="0"/>
          <w:numId w:val="1005"/>
        </w:numPr>
        <w:pStyle w:val="Compact"/>
      </w:pPr>
      <w:r>
        <w:t xml:space="preserve">Capacity is not supply. Nameplate SWU includes capacity Rosatom uses for underfeeding and tails re-enrichment, and CNNC’s figures are WNA estimates.</w:t>
      </w:r>
    </w:p>
    <w:p>
      <w:pPr>
        <w:numPr>
          <w:ilvl w:val="0"/>
          <w:numId w:val="1005"/>
        </w:numPr>
        <w:pStyle w:val="Compact"/>
      </w:pPr>
      <w:r>
        <w:t xml:space="preserve">Secondary supply (inventories, down-blending, re-enriched tails) is excluded. Mine output in 2024 (60,213 tU) met about 93% of reactor requirements (64,500 tU at 1 January 2025; OECD NEA and IAEA, 2026) [TO VERIFY].</w:t>
      </w:r>
    </w:p>
    <w:p>
      <w:pPr>
        <w:numPr>
          <w:ilvl w:val="0"/>
          <w:numId w:val="1005"/>
        </w:numPr>
        <w:pStyle w:val="Compact"/>
      </w:pPr>
      <w:r>
        <w:t xml:space="preserve">Company-level enrichment shares hide plant location: Urenco operates in the UK, Germany, the Netherlands and the USA; Orano only in France.</w:t>
      </w:r>
    </w:p>
    <w:p>
      <w:pPr>
        <w:numPr>
          <w:ilvl w:val="0"/>
          <w:numId w:val="1005"/>
        </w:numPr>
        <w:pStyle w:val="Compact"/>
      </w:pPr>
      <w:r>
        <w:t xml:space="preserve">Mining by country ignores ownership (for example, Rosatom’s Uranium One stakes in Kazakh mines) and the transport routes for Kazakh exports [TO VERIFY]. The company-level bound only partly addresses ownership.</w:t>
      </w:r>
    </w:p>
    <w:p>
      <w:pPr>
        <w:numPr>
          <w:ilvl w:val="0"/>
          <w:numId w:val="1005"/>
        </w:numPr>
        <w:pStyle w:val="Compact"/>
      </w:pPr>
      <w:r>
        <w:t xml:space="preserve">Fuel fabrication was not assessed.</w:t>
      </w:r>
    </w:p>
    <w:p>
      <w:pPr>
        <w:numPr>
          <w:ilvl w:val="0"/>
          <w:numId w:val="1005"/>
        </w:numPr>
        <w:pStyle w:val="Compact"/>
      </w:pPr>
      <w:r>
        <w:t xml:space="preserve">The HHI is a world-market measure. Darlington’s own demand is sized against it in B2.6.</w:t>
      </w:r>
    </w:p>
    <w:bookmarkEnd w:id="70"/>
    <w:bookmarkStart w:id="71" w:name="X38b76fede8e58c0e5d473d8915656eae0265e01"/>
    <w:p>
      <w:pPr>
        <w:pStyle w:val="Heading4"/>
      </w:pPr>
      <w:r>
        <w:t xml:space="preserve">B2.6 Darlington’s fuel demand against supplier capacity</w:t>
      </w:r>
    </w:p>
    <w:p>
      <w:pPr>
        <w:pStyle w:val="FirstParagraph"/>
      </w:pPr>
      <w:r>
        <w:rPr>
          <w:bCs/>
          <w:b/>
        </w:rPr>
        <w:t xml:space="preserve">Result.</w:t>
      </w:r>
      <w:r>
        <w:t xml:space="preserve"> </w:t>
      </w:r>
      <w:r>
        <w:t xml:space="preserve">Four BWRX-300s need about 196 t of natural uranium and 138 thousand separative work units (tSWU) a year:</w:t>
      </w:r>
      <w:r>
        <w:t xml:space="preserve"> </w:t>
      </w:r>
      <w:r>
        <w:rPr>
          <w:bCs/>
          <w:b/>
        </w:rPr>
        <w:t xml:space="preserve">3.2% of Urenco USA’s current capacity</w:t>
      </w:r>
      <w:r>
        <w:t xml:space="preserve"> </w:t>
      </w:r>
      <w:r>
        <w:t xml:space="preserve">and 0.56% of the Western (Urenco and Orano) enrichment market. The project is too small to move the HHI. Its exposure is to price and contract terms in a duopoly, not to physical shortage. The inputs are placeholders until Leroy supplies BWRX-300 fuel data.</w:t>
      </w:r>
    </w:p>
    <w:p>
      <w:pPr>
        <w:pStyle w:val="BodyText"/>
      </w:pPr>
      <w:r>
        <w:t xml:space="preserve">Working (one unit;</w:t>
      </w:r>
      <w:r>
        <w:t xml:space="preserve"> </w:t>
      </w:r>
      <w:r>
        <w:rPr>
          <w:rStyle w:val="VerbatimChar"/>
        </w:rPr>
        <w:t xml:space="preserve">hhi.md</w:t>
      </w:r>
      <w:r>
        <w:t xml:space="preserve"> </w:t>
      </w:r>
      <w:r>
        <w:t xml:space="preserve">§6):</w:t>
      </w:r>
      <w:r>
        <w:t xml:space="preserve"> </w:t>
      </w:r>
      <w:r>
        <w:t xml:space="preserve">1. Net generation: 300 MWe × 8,760 h × 0.9 = 2,365,200 MWh. Thermal power 870 MWt gives efficiency η = 300 / 870 = 0.3448.</w:t>
      </w:r>
      <w:r>
        <w:t xml:space="preserve"> </w:t>
      </w:r>
      <w:r>
        <w:t xml:space="preserve">2. Energy per kg of enriched uranium (3.8% U-235, burnup 45 GWd/t) = 45 × 24,000 kWh × η = 372,414 kWh. Enriched uranium needed = 2,365,200,000 kWh / 372,414 = 6.35 t a year.</w:t>
      </w:r>
      <w:r>
        <w:t xml:space="preserve"> </w:t>
      </w:r>
      <w:r>
        <w:t xml:space="preserve">3. Natural uranium feed factor 7.701 (tails 0.25%): 6.35 × 7.701 = 48.9 t U. Separative work: 5.422 SWU per kg, so 34.4 tSWU.</w:t>
      </w:r>
      <w:r>
        <w:t xml:space="preserve"> </w:t>
      </w:r>
      <w:r>
        <w:t xml:space="preserve">4. Four units: 25.4 t enriched,</w:t>
      </w:r>
      <w:r>
        <w:t xml:space="preserve"> </w:t>
      </w:r>
      <w:r>
        <w:rPr>
          <w:bCs/>
          <w:b/>
        </w:rPr>
        <w:t xml:space="preserve">195.6 t U</w:t>
      </w:r>
      <w:r>
        <w:t xml:space="preserve"> </w:t>
      </w:r>
      <w:r>
        <w:t xml:space="preserve">and</w:t>
      </w:r>
      <w:r>
        <w:t xml:space="preserve"> </w:t>
      </w:r>
      <w:r>
        <w:rPr>
          <w:bCs/>
          <w:b/>
        </w:rPr>
        <w:t xml:space="preserve">137.7 tSWU</w:t>
      </w:r>
      <w:r>
        <w:t xml:space="preserve"> </w:t>
      </w:r>
      <w:r>
        <w:t xml:space="preserve">a year.</w:t>
      </w:r>
    </w:p>
    <w:p>
      <w:pPr>
        <w:pStyle w:val="BodyText"/>
      </w:pPr>
      <w:r>
        <w:rPr>
          <w:iCs/>
          <w:i/>
        </w:rPr>
        <w:t xml:space="preserve">Table B35. Four-unit demand set against supplier capacity.</w:t>
      </w:r>
      <w:r>
        <w:t xml:space="preserve"> </w:t>
      </w:r>
      <w:r>
        <w:rPr>
          <w:iCs/>
          <w:i/>
        </w:rPr>
        <w:t xml:space="preserve">Source:</w:t>
      </w:r>
      <w:r>
        <w:rPr>
          <w:iCs/>
          <w:i/>
        </w:rPr>
        <w:t xml:space="preserve"> </w:t>
      </w:r>
      <w:r>
        <w:rPr>
          <w:rStyle w:val="VerbatimChar"/>
          <w:iCs/>
          <w:i/>
        </w:rPr>
        <w:t xml:space="preserve">results/hhi.md</w:t>
      </w:r>
      <w:r>
        <w:rPr>
          <w:iCs/>
          <w:i/>
        </w:rPr>
        <w:t xml:space="preserve"> </w:t>
      </w:r>
      <w:r>
        <w:rPr>
          <w:iCs/>
          <w:i/>
        </w:rPr>
        <w:t xml:space="preserve">§6.2, using World Nuclear Association (2025) capacities [TO VERIFY]; demand inputs are placeholders.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Capacity</w:t>
            </w:r>
          </w:p>
        </w:tc>
        <w:tc>
          <w:tcPr/>
          <w:p>
            <w:pPr>
              <w:pStyle w:val="Compact"/>
              <w:jc w:val="right"/>
            </w:pPr>
            <w:r>
              <w:t xml:space="preserve">tSWU a year</w:t>
            </w:r>
          </w:p>
        </w:tc>
        <w:tc>
          <w:tcPr/>
          <w:p>
            <w:pPr>
              <w:pStyle w:val="Compact"/>
              <w:jc w:val="right"/>
            </w:pPr>
            <w:r>
              <w:t xml:space="preserve">Four-unit demand as a share</w:t>
            </w:r>
          </w:p>
        </w:tc>
      </w:tr>
      <w:tr>
        <w:tc>
          <w:tcPr/>
          <w:p>
            <w:pPr>
              <w:pStyle w:val="Compact"/>
              <w:jc w:val="left"/>
            </w:pPr>
            <w:r>
              <w:t xml:space="preserve">Urenco USA (Eunice), current</w:t>
            </w:r>
          </w:p>
        </w:tc>
        <w:tc>
          <w:tcPr/>
          <w:p>
            <w:pPr>
              <w:pStyle w:val="Compact"/>
              <w:jc w:val="right"/>
            </w:pPr>
            <w:r>
              <w:t xml:space="preserve">4,300</w:t>
            </w:r>
          </w:p>
        </w:tc>
        <w:tc>
          <w:tcPr/>
          <w:p>
            <w:pPr>
              <w:pStyle w:val="Compact"/>
              <w:jc w:val="right"/>
            </w:pPr>
            <w:r>
              <w:rPr>
                <w:bCs/>
                <w:b/>
              </w:rPr>
              <w:t xml:space="preserve">3.20%</w:t>
            </w:r>
          </w:p>
        </w:tc>
      </w:tr>
      <w:tr>
        <w:tc>
          <w:tcPr/>
          <w:p>
            <w:pPr>
              <w:pStyle w:val="Compact"/>
              <w:jc w:val="left"/>
            </w:pPr>
            <w:r>
              <w:t xml:space="preserve">Urenco USA after the 2027 project</w:t>
            </w:r>
          </w:p>
        </w:tc>
        <w:tc>
          <w:tcPr/>
          <w:p>
            <w:pPr>
              <w:pStyle w:val="Compact"/>
              <w:jc w:val="right"/>
            </w:pPr>
            <w:r>
              <w:t xml:space="preserve">5,000</w:t>
            </w:r>
          </w:p>
        </w:tc>
        <w:tc>
          <w:tcPr/>
          <w:p>
            <w:pPr>
              <w:pStyle w:val="Compact"/>
              <w:jc w:val="right"/>
            </w:pPr>
            <w:r>
              <w:t xml:space="preserve">2.75%</w:t>
            </w:r>
          </w:p>
        </w:tc>
      </w:tr>
      <w:tr>
        <w:tc>
          <w:tcPr/>
          <w:p>
            <w:pPr>
              <w:pStyle w:val="Compact"/>
              <w:jc w:val="left"/>
            </w:pPr>
            <w:r>
              <w:t xml:space="preserve">Urenco USA after the 2032–2036 expansion</w:t>
            </w:r>
          </w:p>
        </w:tc>
        <w:tc>
          <w:tcPr/>
          <w:p>
            <w:pPr>
              <w:pStyle w:val="Compact"/>
              <w:jc w:val="right"/>
            </w:pPr>
            <w:r>
              <w:t xml:space="preserve">7,000</w:t>
            </w:r>
          </w:p>
        </w:tc>
        <w:tc>
          <w:tcPr/>
          <w:p>
            <w:pPr>
              <w:pStyle w:val="Compact"/>
              <w:jc w:val="right"/>
            </w:pPr>
            <w:r>
              <w:t xml:space="preserve">1.97%</w:t>
            </w:r>
          </w:p>
        </w:tc>
      </w:tr>
      <w:tr>
        <w:tc>
          <w:tcPr/>
          <w:p>
            <w:pPr>
              <w:pStyle w:val="Compact"/>
              <w:jc w:val="left"/>
            </w:pPr>
            <w:r>
              <w:t xml:space="preserve">Urenco and Orano together</w:t>
            </w:r>
          </w:p>
        </w:tc>
        <w:tc>
          <w:tcPr/>
          <w:p>
            <w:pPr>
              <w:pStyle w:val="Compact"/>
              <w:jc w:val="right"/>
            </w:pPr>
            <w:r>
              <w:t xml:space="preserve">24,800</w:t>
            </w:r>
          </w:p>
        </w:tc>
        <w:tc>
          <w:tcPr/>
          <w:p>
            <w:pPr>
              <w:pStyle w:val="Compact"/>
              <w:jc w:val="right"/>
            </w:pPr>
            <w:r>
              <w:t xml:space="preserve">0.56%</w:t>
            </w:r>
          </w:p>
        </w:tc>
      </w:tr>
      <w:tr>
        <w:tc>
          <w:tcPr/>
          <w:p>
            <w:pPr>
              <w:pStyle w:val="Compact"/>
              <w:jc w:val="left"/>
            </w:pPr>
            <w:r>
              <w:t xml:space="preserve">World enrichment capacity</w:t>
            </w:r>
          </w:p>
        </w:tc>
        <w:tc>
          <w:tcPr/>
          <w:p>
            <w:pPr>
              <w:pStyle w:val="Compact"/>
              <w:jc w:val="right"/>
            </w:pPr>
            <w:r>
              <w:t xml:space="preserve">68,077</w:t>
            </w:r>
          </w:p>
        </w:tc>
        <w:tc>
          <w:tcPr/>
          <w:p>
            <w:pPr>
              <w:pStyle w:val="Compact"/>
              <w:jc w:val="right"/>
            </w:pPr>
            <w:r>
              <w:t xml:space="preserve">0.20%</w:t>
            </w:r>
          </w:p>
        </w:tc>
      </w:tr>
    </w:tbl>
    <w:p>
      <w:pPr>
        <w:pStyle w:val="BodyText"/>
      </w:pPr>
      <w:r>
        <w:t xml:space="preserve">Sensitivity: across burnup (35–55 GWd/t), enrichment (3.4–4.95%), tails (0.2–0.3%) and capacity factor (0.80–0.95), demand is 113–199 tSWU for one input varied at a time, and 77–301 tSWU at the envelope (1.79–7.00% of Urenco USA; not a physically consistent fuel design, because burnup and enrichment move together).</w:t>
      </w:r>
      <w:r>
        <w:t xml:space="preserve"> </w:t>
      </w:r>
      <w:r>
        <w:rPr>
          <w:bCs/>
          <w:b/>
        </w:rPr>
        <w:t xml:space="preserve">Reserve:</w:t>
      </w:r>
      <w:r>
        <w:t xml:space="preserve"> </w:t>
      </w:r>
      <w:r>
        <w:t xml:space="preserve">two reloads held in stock embody 275–551 tSWU (6–13% of one year of Urenco USA output), depending on a cycle length of 12 to 24 months (assumed). This is a working-capital question (fuel price, not sourced) rather than a supply question.</w:t>
      </w:r>
    </w:p>
    <w:p>
      <w:r>
        <w:pict>
          <v:rect style="width:0;height:1.5pt" o:hralign="center" o:hrstd="t" o:hr="t"/>
        </w:pict>
      </w:r>
    </w:p>
    <w:bookmarkEnd w:id="71"/>
    <w:bookmarkEnd w:id="72"/>
    <w:bookmarkStart w:id="74" w:name="X4d39e6569850789c0bc5244e03826205e394972"/>
    <w:p>
      <w:pPr>
        <w:pStyle w:val="Heading3"/>
      </w:pPr>
      <w:r>
        <w:t xml:space="preserve">B3. Routes to a licensable SMR in Australia: scored comparison</w:t>
      </w:r>
    </w:p>
    <w:p>
      <w:pPr>
        <w:pStyle w:val="FirstParagraph"/>
      </w:pPr>
      <w:r>
        <w:rPr>
          <w:bCs/>
          <w:b/>
        </w:rPr>
        <w:t xml:space="preserve">Result.</w:t>
      </w:r>
      <w:r>
        <w:t xml:space="preserve"> </w:t>
      </w:r>
      <w:r>
        <w:t xml:space="preserve">The ranking depends on the weights: route C (cooperative state repeal) ranks first on equal weights and when durability is valued more; route A (Commonwealth-owned plant) ties with C when regulator readiness is valued more. Route A has the same three veto points as B and C once the NSW ban is counted, so all three score 1 on that objective. Under the 2026 Senate (B1.2), none of the three routes is open.</w:t>
      </w:r>
      <w:r>
        <w:t xml:space="preserve"> </w:t>
      </w:r>
      <w:r>
        <w:rPr>
          <w:bCs/>
          <w:b/>
        </w:rPr>
        <w:t xml:space="preserve">These scores are our own qualitative judgement from the evidence in B1, not sourced scores, and the totals and the weight test (Table B14) are hand calculations.</w:t>
      </w:r>
      <w:r>
        <w:t xml:space="preserve"> </w:t>
      </w:r>
      <w:r>
        <w:t xml:space="preserve">They feed the</w:t>
      </w:r>
      <w:r>
        <w:t xml:space="preserve"> </w:t>
      </w:r>
      <w:r>
        <w:t xml:space="preserve">“</w:t>
      </w:r>
      <w:r>
        <w:t xml:space="preserve">feasibility</w:t>
      </w:r>
      <w:r>
        <w:t xml:space="preserve">”</w:t>
      </w:r>
      <w:r>
        <w:t xml:space="preserve"> </w:t>
      </w:r>
      <w:r>
        <w:t xml:space="preserve">criterion of the §9 MCDA.</w:t>
      </w:r>
    </w:p>
    <w:p>
      <w:pPr>
        <w:pStyle w:val="BodyText"/>
      </w:pPr>
      <w:r>
        <w:rPr>
          <w:iCs/>
          <w:i/>
        </w:rPr>
        <w:t xml:space="preserve">Table B13. Three routes scored against four non-technical objectives (1 = poor, 3 = good).</w:t>
      </w:r>
      <w:r>
        <w:t xml:space="preserve"> </w:t>
      </w:r>
      <w:r>
        <w:rPr>
          <w:iCs/>
          <w:i/>
        </w:rPr>
        <w:t xml:space="preserve">Source: our qualitative judgement (law brief §5), from the evidence cited in the table.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Objective</w:t>
            </w:r>
          </w:p>
        </w:tc>
        <w:tc>
          <w:tcPr/>
          <w:p>
            <w:pPr>
              <w:pStyle w:val="Compact"/>
              <w:jc w:val="left"/>
            </w:pPr>
            <w:r>
              <w:t xml:space="preserve">A. Commonwealth-owned plant under ARPANSA (the Coalition’s 2024 model)</w:t>
            </w:r>
          </w:p>
        </w:tc>
        <w:tc>
          <w:tcPr/>
          <w:p>
            <w:pPr>
              <w:pStyle w:val="Compact"/>
              <w:jc w:val="left"/>
            </w:pPr>
            <w:r>
              <w:t xml:space="preserve">B. Federal licensing law for private operators, overriding the states</w:t>
            </w:r>
          </w:p>
        </w:tc>
        <w:tc>
          <w:tcPr/>
          <w:p>
            <w:pPr>
              <w:pStyle w:val="Compact"/>
              <w:jc w:val="left"/>
            </w:pPr>
            <w:r>
              <w:t xml:space="preserve">C. Cooperative: state repeal plus a state or joint regulator</w:t>
            </w:r>
          </w:p>
        </w:tc>
      </w:tr>
      <w:tr>
        <w:tc>
          <w:tcPr/>
          <w:p>
            <w:pPr>
              <w:pStyle w:val="Compact"/>
              <w:jc w:val="left"/>
            </w:pPr>
            <w:r>
              <w:t xml:space="preserve">Legal changes needed (not scored)</w:t>
            </w:r>
          </w:p>
        </w:tc>
        <w:tc>
          <w:tcPr/>
          <w:p>
            <w:pPr>
              <w:pStyle w:val="Compact"/>
              <w:jc w:val="left"/>
            </w:pPr>
            <w:r>
              <w:t xml:space="preserve">EPBC and ARPANS repeal, plus a s 109 override of NSW (or NSW repeal)</w:t>
            </w:r>
          </w:p>
        </w:tc>
        <w:tc>
          <w:tcPr/>
          <w:p>
            <w:pPr>
              <w:pStyle w:val="Compact"/>
              <w:jc w:val="left"/>
            </w:pPr>
            <w:r>
              <w:t xml:space="preserve">EPBC and ARPANS repeal, a new federal Act and a s 109 override</w:t>
            </w:r>
          </w:p>
        </w:tc>
        <w:tc>
          <w:tcPr/>
          <w:p>
            <w:pPr>
              <w:pStyle w:val="Compact"/>
              <w:jc w:val="left"/>
            </w:pPr>
            <w:r>
              <w:t xml:space="preserve">EPBC and ARPANS repeal, NSW repeal and a NSW regulator Act</w:t>
            </w:r>
          </w:p>
        </w:tc>
      </w:tr>
      <w:tr>
        <w:tc>
          <w:tcPr/>
          <w:p>
            <w:pPr>
              <w:pStyle w:val="Compact"/>
              <w:jc w:val="left"/>
            </w:pPr>
            <w:r>
              <w:t xml:space="preserve">Fewest veto points</w:t>
            </w:r>
          </w:p>
        </w:tc>
        <w:tc>
          <w:tcPr/>
          <w:p>
            <w:pPr>
              <w:pStyle w:val="Compact"/>
              <w:jc w:val="left"/>
            </w:pPr>
            <w:r>
              <w:rPr>
                <w:bCs/>
                <w:b/>
              </w:rPr>
              <w:t xml:space="preserve">1</w:t>
            </w:r>
            <w:r>
              <w:t xml:space="preserve">: Senate; NSW (or the High Court, if the Commonwealth overrides); site owner. A would score 2 only if s 8(3) exempted a Commonwealth operator [TO VERIFY]</w:t>
            </w:r>
          </w:p>
        </w:tc>
        <w:tc>
          <w:tcPr/>
          <w:p>
            <w:pPr>
              <w:pStyle w:val="Compact"/>
              <w:jc w:val="left"/>
            </w:pPr>
            <w:r>
              <w:rPr>
                <w:bCs/>
                <w:b/>
              </w:rPr>
              <w:t xml:space="preserve">1</w:t>
            </w:r>
            <w:r>
              <w:t xml:space="preserve">: Senate; High Court; site owner</w:t>
            </w:r>
          </w:p>
        </w:tc>
        <w:tc>
          <w:tcPr/>
          <w:p>
            <w:pPr>
              <w:pStyle w:val="Compact"/>
              <w:jc w:val="left"/>
            </w:pPr>
            <w:r>
              <w:rPr>
                <w:bCs/>
                <w:b/>
              </w:rPr>
              <w:t xml:space="preserve">1</w:t>
            </w:r>
            <w:r>
              <w:t xml:space="preserve">: Senate; NSW Parliament; site owner</w:t>
            </w:r>
          </w:p>
        </w:tc>
      </w:tr>
      <w:tr>
        <w:tc>
          <w:tcPr/>
          <w:p>
            <w:pPr>
              <w:pStyle w:val="Compact"/>
              <w:jc w:val="left"/>
            </w:pPr>
            <w:r>
              <w:t xml:space="preserve">Regulator readiness</w:t>
            </w:r>
          </w:p>
        </w:tc>
        <w:tc>
          <w:tcPr/>
          <w:p>
            <w:pPr>
              <w:pStyle w:val="Compact"/>
              <w:jc w:val="left"/>
            </w:pPr>
            <w:r>
              <w:rPr>
                <w:bCs/>
                <w:b/>
              </w:rPr>
              <w:t xml:space="preserve">3</w:t>
            </w:r>
            <w:r>
              <w:t xml:space="preserve">: builds on ARPANSA, which already regulates Commonwealth entities such as ANSTO (ARPANSA, n.d.) [TO VERIFY]</w:t>
            </w:r>
          </w:p>
        </w:tc>
        <w:tc>
          <w:tcPr/>
          <w:p>
            <w:pPr>
              <w:pStyle w:val="Compact"/>
              <w:jc w:val="left"/>
            </w:pPr>
            <w:r>
              <w:rPr>
                <w:bCs/>
                <w:b/>
              </w:rPr>
              <w:t xml:space="preserve">2</w:t>
            </w:r>
            <w:r>
              <w:t xml:space="preserve">: a new body, as with the ANNPSR (Minister for Defence, 2025) [TO VERIFY]</w:t>
            </w:r>
          </w:p>
        </w:tc>
        <w:tc>
          <w:tcPr/>
          <w:p>
            <w:pPr>
              <w:pStyle w:val="Compact"/>
              <w:jc w:val="left"/>
            </w:pPr>
            <w:r>
              <w:rPr>
                <w:bCs/>
                <w:b/>
              </w:rPr>
              <w:t xml:space="preserve">1</w:t>
            </w:r>
            <w:r>
              <w:t xml:space="preserve">: NSW has no nuclear regulator</w:t>
            </w:r>
          </w:p>
        </w:tc>
      </w:tr>
      <w:tr>
        <w:tc>
          <w:tcPr/>
          <w:p>
            <w:pPr>
              <w:pStyle w:val="Compact"/>
              <w:jc w:val="left"/>
            </w:pPr>
            <w:r>
              <w:t xml:space="preserve">Durability (low exposure to political reversal)</w:t>
            </w:r>
          </w:p>
        </w:tc>
        <w:tc>
          <w:tcPr/>
          <w:p>
            <w:pPr>
              <w:pStyle w:val="Compact"/>
              <w:jc w:val="left"/>
            </w:pPr>
            <w:r>
              <w:rPr>
                <w:bCs/>
                <w:b/>
              </w:rPr>
              <w:t xml:space="preserve">1</w:t>
            </w:r>
            <w:r>
              <w:t xml:space="preserve">: one government’s decision; the next can sell or cancel</w:t>
            </w:r>
          </w:p>
        </w:tc>
        <w:tc>
          <w:tcPr/>
          <w:p>
            <w:pPr>
              <w:pStyle w:val="Compact"/>
              <w:jc w:val="left"/>
            </w:pPr>
            <w:r>
              <w:rPr>
                <w:bCs/>
                <w:b/>
              </w:rPr>
              <w:t xml:space="preserve">1</w:t>
            </w:r>
            <w:r>
              <w:t xml:space="preserve">: as A, plus litigation risk (Canberra Times, 2025) [TO VERIFY]</w:t>
            </w:r>
          </w:p>
        </w:tc>
        <w:tc>
          <w:tcPr/>
          <w:p>
            <w:pPr>
              <w:pStyle w:val="Compact"/>
              <w:jc w:val="left"/>
            </w:pPr>
            <w:r>
              <w:rPr>
                <w:bCs/>
                <w:b/>
              </w:rPr>
              <w:t xml:space="preserve">3</w:t>
            </w:r>
            <w:r>
              <w:t xml:space="preserve">: both levels of government committed</w:t>
            </w:r>
          </w:p>
        </w:tc>
      </w:tr>
      <w:tr>
        <w:tc>
          <w:tcPr/>
          <w:p>
            <w:pPr>
              <w:pStyle w:val="Compact"/>
              <w:jc w:val="left"/>
            </w:pPr>
            <w:r>
              <w:t xml:space="preserve">Social licence</w:t>
            </w:r>
          </w:p>
        </w:tc>
        <w:tc>
          <w:tcPr/>
          <w:p>
            <w:pPr>
              <w:pStyle w:val="Compact"/>
              <w:jc w:val="left"/>
            </w:pPr>
            <w:r>
              <w:rPr>
                <w:bCs/>
                <w:b/>
              </w:rPr>
              <w:t xml:space="preserve">1</w:t>
            </w:r>
            <w:r>
              <w:t xml:space="preserve">: states rejected it in 2024 [TODO: source needed; Canberra Times (n.d.) on Minns is a secondary lead]</w:t>
            </w:r>
          </w:p>
        </w:tc>
        <w:tc>
          <w:tcPr/>
          <w:p>
            <w:pPr>
              <w:pStyle w:val="Compact"/>
              <w:jc w:val="left"/>
            </w:pPr>
            <w:r>
              <w:rPr>
                <w:bCs/>
                <w:b/>
              </w:rPr>
              <w:t xml:space="preserve">1</w:t>
            </w:r>
            <w:r>
              <w:t xml:space="preserve">: overrides the states</w:t>
            </w:r>
          </w:p>
        </w:tc>
        <w:tc>
          <w:tcPr/>
          <w:p>
            <w:pPr>
              <w:pStyle w:val="Compact"/>
              <w:jc w:val="left"/>
            </w:pPr>
            <w:r>
              <w:rPr>
                <w:bCs/>
                <w:b/>
              </w:rPr>
              <w:t xml:space="preserve">3</w:t>
            </w:r>
            <w:r>
              <w:t xml:space="preserve">: the states consent, if they do</w:t>
            </w:r>
          </w:p>
        </w:tc>
      </w:tr>
      <w:tr>
        <w:tc>
          <w:tcPr/>
          <w:p>
            <w:pPr>
              <w:pStyle w:val="Compact"/>
              <w:jc w:val="left"/>
            </w:pPr>
            <w:r>
              <w:rPr>
                <w:bCs/>
                <w:b/>
              </w:rPr>
              <w:t xml:space="preserve">Total (of 12)</w:t>
            </w:r>
          </w:p>
        </w:tc>
        <w:tc>
          <w:tcPr/>
          <w:p>
            <w:pPr>
              <w:pStyle w:val="Compact"/>
              <w:jc w:val="left"/>
            </w:pPr>
            <w:r>
              <w:rPr>
                <w:bCs/>
                <w:b/>
              </w:rPr>
              <w:t xml:space="preserve">6</w:t>
            </w:r>
          </w:p>
        </w:tc>
        <w:tc>
          <w:tcPr/>
          <w:p>
            <w:pPr>
              <w:pStyle w:val="Compact"/>
              <w:jc w:val="left"/>
            </w:pPr>
            <w:r>
              <w:rPr>
                <w:bCs/>
                <w:b/>
              </w:rPr>
              <w:t xml:space="preserve">5</w:t>
            </w:r>
          </w:p>
        </w:tc>
        <w:tc>
          <w:tcPr/>
          <w:p>
            <w:pPr>
              <w:pStyle w:val="Compact"/>
              <w:jc w:val="left"/>
            </w:pPr>
            <w:r>
              <w:rPr>
                <w:bCs/>
                <w:b/>
              </w:rPr>
              <w:t xml:space="preserve">8</w:t>
            </w:r>
          </w:p>
        </w:tc>
      </w:tr>
    </w:tbl>
    <w:p>
      <w:pPr>
        <w:pStyle w:val="BodyText"/>
      </w:pPr>
      <w:r>
        <w:t xml:space="preserve">Route A’s description currently rests on ABC News (2024), a weak secondary source [TODO: replace with the Coalition’s 19 June 2024 release, factcheck A8].</w:t>
      </w:r>
    </w:p>
    <w:p>
      <w:pPr>
        <w:pStyle w:val="BodyText"/>
      </w:pPr>
      <w:r>
        <w:rPr>
          <w:iCs/>
          <w:i/>
        </w:rPr>
        <w:t xml:space="preserve">Table B14. Weight test: totals when one objective counts double (maximum 15).</w:t>
      </w:r>
      <w:r>
        <w:t xml:space="preserve"> </w:t>
      </w:r>
      <w:r>
        <w:rPr>
          <w:iCs/>
          <w:i/>
        </w:rPr>
        <w:t xml:space="preserve">Source: calculated from Table B13 (law brief §5).</w:t>
      </w:r>
    </w:p>
    <w:tbl>
      <w:tblPr>
        <w:tblStyle w:val="Table"/>
        <w:tblW w:type="pct" w:w="5000"/>
        <w:tblLook w:firstRow="1" w:lastRow="0" w:firstColumn="0" w:lastColumn="0" w:noHBand="0" w:noVBand="0" w:val="0020"/>
        <w:jc w:val="start"/>
      </w:tblPr>
      <w:tblGrid>
        <w:gridCol w:w="1320"/>
        <w:gridCol w:w="1760"/>
        <w:gridCol w:w="1760"/>
        <w:gridCol w:w="1760"/>
        <w:gridCol w:w="1320"/>
      </w:tblGrid>
      <w:tr>
        <w:trPr>
          <w:tblHeader w:val="true"/>
        </w:trPr>
        <w:tc>
          <w:tcPr/>
          <w:p>
            <w:pPr>
              <w:pStyle w:val="Compact"/>
              <w:jc w:val="left"/>
            </w:pPr>
            <w:r>
              <w:t xml:space="preserve">Weighting</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left"/>
            </w:pPr>
            <w:r>
              <w:t xml:space="preserve">Ranking</w:t>
            </w:r>
          </w:p>
        </w:tc>
      </w:tr>
      <w:tr>
        <w:tc>
          <w:tcPr/>
          <w:p>
            <w:pPr>
              <w:pStyle w:val="Compact"/>
              <w:jc w:val="left"/>
            </w:pPr>
            <w:r>
              <w:t xml:space="preserve">Equal weights (base, of 12)</w:t>
            </w:r>
          </w:p>
        </w:tc>
        <w:tc>
          <w:tcPr/>
          <w:p>
            <w:pPr>
              <w:pStyle w:val="Compact"/>
              <w:jc w:val="right"/>
            </w:pPr>
            <w:r>
              <w:t xml:space="preserve">6</w:t>
            </w:r>
          </w:p>
        </w:tc>
        <w:tc>
          <w:tcPr/>
          <w:p>
            <w:pPr>
              <w:pStyle w:val="Compact"/>
              <w:jc w:val="right"/>
            </w:pPr>
            <w:r>
              <w:t xml:space="preserve">5</w:t>
            </w:r>
          </w:p>
        </w:tc>
        <w:tc>
          <w:tcPr/>
          <w:p>
            <w:pPr>
              <w:pStyle w:val="Compact"/>
              <w:jc w:val="right"/>
            </w:pPr>
            <w:r>
              <w:t xml:space="preserve">8</w:t>
            </w:r>
          </w:p>
        </w:tc>
        <w:tc>
          <w:tcPr/>
          <w:p>
            <w:pPr>
              <w:pStyle w:val="Compact"/>
              <w:jc w:val="left"/>
            </w:pPr>
            <w:r>
              <w:t xml:space="preserve">C, A, B</w:t>
            </w:r>
          </w:p>
        </w:tc>
      </w:tr>
      <w:tr>
        <w:tc>
          <w:tcPr/>
          <w:p>
            <w:pPr>
              <w:pStyle w:val="Compact"/>
              <w:jc w:val="left"/>
            </w:pPr>
            <w:r>
              <w:t xml:space="preserve">Regulator readiness × 2</w:t>
            </w:r>
          </w:p>
        </w:tc>
        <w:tc>
          <w:tcPr/>
          <w:p>
            <w:pPr>
              <w:pStyle w:val="Compact"/>
              <w:jc w:val="right"/>
            </w:pPr>
            <w:r>
              <w:t xml:space="preserve">6 + 3 =</w:t>
            </w:r>
            <w:r>
              <w:t xml:space="preserve"> </w:t>
            </w:r>
            <w:r>
              <w:rPr>
                <w:bCs/>
                <w:b/>
              </w:rPr>
              <w:t xml:space="preserve">9</w:t>
            </w:r>
          </w:p>
        </w:tc>
        <w:tc>
          <w:tcPr/>
          <w:p>
            <w:pPr>
              <w:pStyle w:val="Compact"/>
              <w:jc w:val="right"/>
            </w:pPr>
            <w:r>
              <w:t xml:space="preserve">5 + 2 = 7</w:t>
            </w:r>
          </w:p>
        </w:tc>
        <w:tc>
          <w:tcPr/>
          <w:p>
            <w:pPr>
              <w:pStyle w:val="Compact"/>
              <w:jc w:val="right"/>
            </w:pPr>
            <w:r>
              <w:t xml:space="preserve">8 + 1 =</w:t>
            </w:r>
            <w:r>
              <w:t xml:space="preserve"> </w:t>
            </w:r>
            <w:r>
              <w:rPr>
                <w:bCs/>
                <w:b/>
              </w:rPr>
              <w:t xml:space="preserve">9</w:t>
            </w:r>
          </w:p>
        </w:tc>
        <w:tc>
          <w:tcPr/>
          <w:p>
            <w:pPr>
              <w:pStyle w:val="Compact"/>
              <w:jc w:val="left"/>
            </w:pPr>
            <w:r>
              <w:t xml:space="preserve">A and C tie, B</w:t>
            </w:r>
          </w:p>
        </w:tc>
      </w:tr>
      <w:tr>
        <w:tc>
          <w:tcPr/>
          <w:p>
            <w:pPr>
              <w:pStyle w:val="Compact"/>
              <w:jc w:val="left"/>
            </w:pPr>
            <w:r>
              <w:t xml:space="preserve">Durability × 2</w:t>
            </w:r>
          </w:p>
        </w:tc>
        <w:tc>
          <w:tcPr/>
          <w:p>
            <w:pPr>
              <w:pStyle w:val="Compact"/>
              <w:jc w:val="right"/>
            </w:pPr>
            <w:r>
              <w:t xml:space="preserve">6 + 1 = 7</w:t>
            </w:r>
          </w:p>
        </w:tc>
        <w:tc>
          <w:tcPr/>
          <w:p>
            <w:pPr>
              <w:pStyle w:val="Compact"/>
              <w:jc w:val="right"/>
            </w:pPr>
            <w:r>
              <w:t xml:space="preserve">5 + 1 = 6</w:t>
            </w:r>
          </w:p>
        </w:tc>
        <w:tc>
          <w:tcPr/>
          <w:p>
            <w:pPr>
              <w:pStyle w:val="Compact"/>
              <w:jc w:val="right"/>
            </w:pPr>
            <w:r>
              <w:t xml:space="preserve">8 + 3 =</w:t>
            </w:r>
            <w:r>
              <w:t xml:space="preserve"> </w:t>
            </w:r>
            <w:r>
              <w:rPr>
                <w:bCs/>
                <w:b/>
              </w:rPr>
              <w:t xml:space="preserve">11</w:t>
            </w:r>
          </w:p>
        </w:tc>
        <w:tc>
          <w:tcPr/>
          <w:p>
            <w:pPr>
              <w:pStyle w:val="Compact"/>
              <w:jc w:val="left"/>
            </w:pPr>
            <w:r>
              <w:t xml:space="preserve">C, A, B</w:t>
            </w:r>
          </w:p>
        </w:tc>
      </w:tr>
    </w:tbl>
    <w:p>
      <w:pPr>
        <w:pStyle w:val="BodyText"/>
      </w:pPr>
      <w:r>
        <w:t xml:space="preserve">Reading: route B ranks last under all three weightings tested, and C is never behind A. Valuing regulator readiness more only closes the gap, to a tie with A. The choice between A and C is a choice between speed (an existing regulator) and durability (both levels of government committed). That is a political judgement, not a technical one. Whichever route is assumed, an Australian SMR scores lowest on time to first power in the §9 MCDA.</w:t>
      </w:r>
    </w:p>
    <w:bookmarkStart w:id="73" w:name="X9c643738a896a77e27731f9c9572c60fb05f681"/>
    <w:p>
      <w:pPr>
        <w:pStyle w:val="Heading4"/>
      </w:pPr>
      <w:r>
        <w:t xml:space="preserve">B3.1 Implementation levers for C1 (Table T16 in §8.6): scores and weight test</w:t>
      </w:r>
    </w:p>
    <w:p>
      <w:pPr>
        <w:pStyle w:val="FirstParagraph"/>
      </w:pPr>
      <w:r>
        <w:t xml:space="preserve">Each lever is scored 1 (poor) to 3 (good) on enforceability, speed and low schedule risk. The scores are our judgement (route brief §5), not sourced; the totals are hand calculations.</w:t>
      </w:r>
    </w:p>
    <w:p>
      <w:pPr>
        <w:pStyle w:val="BodyText"/>
      </w:pPr>
      <w:r>
        <w:rPr>
          <w:iCs/>
          <w:i/>
        </w:rPr>
        <w:t xml:space="preserve">Table B14a. T16 lever scores and weight test.</w:t>
      </w:r>
      <w:r>
        <w:t xml:space="preserve"> </w:t>
      </w:r>
      <w:r>
        <w:rPr>
          <w:iCs/>
          <w:i/>
        </w:rPr>
        <w:t xml:space="preserve">Source: our judgement and hand calculation (route brief §5).</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Lever</w:t>
            </w:r>
          </w:p>
        </w:tc>
        <w:tc>
          <w:tcPr/>
          <w:p>
            <w:pPr>
              <w:pStyle w:val="Compact"/>
              <w:jc w:val="right"/>
            </w:pPr>
            <w:r>
              <w:t xml:space="preserve">Enforceability</w:t>
            </w:r>
          </w:p>
        </w:tc>
        <w:tc>
          <w:tcPr/>
          <w:p>
            <w:pPr>
              <w:pStyle w:val="Compact"/>
              <w:jc w:val="right"/>
            </w:pPr>
            <w:r>
              <w:t xml:space="preserve">Speed</w:t>
            </w:r>
          </w:p>
        </w:tc>
        <w:tc>
          <w:tcPr/>
          <w:p>
            <w:pPr>
              <w:pStyle w:val="Compact"/>
              <w:jc w:val="right"/>
            </w:pPr>
            <w:r>
              <w:t xml:space="preserve">Low risk</w:t>
            </w:r>
          </w:p>
        </w:tc>
        <w:tc>
          <w:tcPr/>
          <w:p>
            <w:pPr>
              <w:pStyle w:val="Compact"/>
              <w:jc w:val="right"/>
            </w:pPr>
            <w:r>
              <w:t xml:space="preserve">Equal (of 9)</w:t>
            </w:r>
          </w:p>
        </w:tc>
        <w:tc>
          <w:tcPr/>
          <w:p>
            <w:pPr>
              <w:pStyle w:val="Compact"/>
              <w:jc w:val="right"/>
            </w:pPr>
            <w:r>
              <w:t xml:space="preserve">Enforceability × 2</w:t>
            </w:r>
          </w:p>
        </w:tc>
        <w:tc>
          <w:tcPr/>
          <w:p>
            <w:pPr>
              <w:pStyle w:val="Compact"/>
              <w:jc w:val="right"/>
            </w:pPr>
            <w:r>
              <w:t xml:space="preserve">Speed × 2</w:t>
            </w:r>
          </w:p>
        </w:tc>
      </w:tr>
      <w:tr>
        <w:tc>
          <w:tcPr/>
          <w:p>
            <w:pPr>
              <w:pStyle w:val="Compact"/>
              <w:jc w:val="left"/>
            </w:pPr>
            <w:r>
              <w:t xml:space="preserve">L1. OPG specification</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2×2 + 3 + 3 = 10</w:t>
            </w:r>
          </w:p>
        </w:tc>
        <w:tc>
          <w:tcPr/>
          <w:p>
            <w:pPr>
              <w:pStyle w:val="Compact"/>
              <w:jc w:val="right"/>
            </w:pPr>
            <w:r>
              <w:t xml:space="preserve">2 + 3×2 + 3 =</w:t>
            </w:r>
            <w:r>
              <w:t xml:space="preserve"> </w:t>
            </w:r>
            <w:r>
              <w:rPr>
                <w:bCs/>
                <w:b/>
              </w:rPr>
              <w:t xml:space="preserve">11</w:t>
            </w:r>
          </w:p>
        </w:tc>
      </w:tr>
      <w:tr>
        <w:tc>
          <w:tcPr/>
          <w:p>
            <w:pPr>
              <w:pStyle w:val="Compact"/>
              <w:jc w:val="left"/>
            </w:pPr>
            <w:r>
              <w:t xml:space="preserve">L2. Equity-tranche milestone</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3×2 + 2 + 3 =</w:t>
            </w:r>
            <w:r>
              <w:t xml:space="preserve"> </w:t>
            </w:r>
            <w:r>
              <w:rPr>
                <w:bCs/>
                <w:b/>
              </w:rPr>
              <w:t xml:space="preserve">11</w:t>
            </w:r>
          </w:p>
        </w:tc>
        <w:tc>
          <w:tcPr/>
          <w:p>
            <w:pPr>
              <w:pStyle w:val="Compact"/>
              <w:jc w:val="right"/>
            </w:pPr>
            <w:r>
              <w:t xml:space="preserve">3 + 2×2 + 3 = 10</w:t>
            </w:r>
          </w:p>
        </w:tc>
      </w:tr>
      <w:tr>
        <w:tc>
          <w:tcPr/>
          <w:p>
            <w:pPr>
              <w:pStyle w:val="Compact"/>
              <w:jc w:val="left"/>
            </w:pPr>
            <w:r>
              <w:t xml:space="preserve">L3. Ontario shareholder direction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3×2 + 2 + 2 = 10</w:t>
            </w:r>
          </w:p>
        </w:tc>
        <w:tc>
          <w:tcPr/>
          <w:p>
            <w:pPr>
              <w:pStyle w:val="Compact"/>
              <w:jc w:val="right"/>
            </w:pPr>
            <w:r>
              <w:t xml:space="preserve">3 + 2×2 + 2 = 9</w:t>
            </w:r>
          </w:p>
        </w:tc>
      </w:tr>
    </w:tbl>
    <w:p>
      <w:pPr>
        <w:pStyle w:val="BodyText"/>
      </w:pPr>
      <w:r>
        <w:t xml:space="preserve">Reading: L1 and L2 tie at 8 on equal weights. L2 leads (11) if enforceability counts double and L1 leads (11) if speed does. L3 is never first, so the recommendation (L1 now, L2 at tranche 2) holds under all three weightings.</w:t>
      </w:r>
    </w:p>
    <w:p>
      <w:r>
        <w:pict>
          <v:rect style="width:0;height:1.5pt" o:hralign="center" o:hrstd="t" o:hr="t"/>
        </w:pict>
      </w:r>
    </w:p>
    <w:bookmarkEnd w:id="73"/>
    <w:bookmarkEnd w:id="74"/>
    <w:bookmarkStart w:id="78" w:name="X6942ef6bc025069590c0c205010015835f1b9ab"/>
    <w:p>
      <w:pPr>
        <w:pStyle w:val="Heading3"/>
      </w:pPr>
      <w:r>
        <w:t xml:space="preserve">B4. Displacement: CO₂e avoided by one BWRX-300, Darlington vs Liddell</w:t>
      </w:r>
    </w:p>
    <w:p>
      <w:pPr>
        <w:pStyle w:val="FirstParagraph"/>
      </w:pPr>
      <w:r>
        <w:rPr>
          <w:bCs/>
          <w:b/>
        </w:rPr>
        <w:t xml:space="preserve">Result.</w:t>
      </w:r>
      <w:r>
        <w:t xml:space="preserve"> </w:t>
      </w:r>
      <w:r>
        <w:t xml:space="preserve">At static grid factors, one unit avoids 1.50 Mt CO₂e a year on the NSW grid average. That is 9.1× what it avoids on Ontario’s 2024 average (0.165 Mt), but only 1.9× its avoidance on Ontario’s marginal factor (0.80 Mt). Valued over the years each plant could actually run, the gap mostly closes:</w:t>
      </w:r>
      <w:r>
        <w:t xml:space="preserve"> </w:t>
      </w:r>
      <w:r>
        <w:t xml:space="preserve">- Darlington Unit 1 from 2030 avoids</w:t>
      </w:r>
      <w:r>
        <w:t xml:space="preserve"> </w:t>
      </w:r>
      <w:r>
        <w:rPr>
          <w:bCs/>
          <w:b/>
        </w:rPr>
        <w:t xml:space="preserve">1.01–6.80 Mt to 2050</w:t>
      </w:r>
      <w:r>
        <w:t xml:space="preserve">.</w:t>
      </w:r>
      <w:r>
        <w:t xml:space="preserve"> </w:t>
      </w:r>
      <w:r>
        <w:t xml:space="preserve">- Liddell from 2040 avoids</w:t>
      </w:r>
      <w:r>
        <w:t xml:space="preserve"> </w:t>
      </w:r>
      <w:r>
        <w:rPr>
          <w:bCs/>
          <w:b/>
        </w:rPr>
        <w:t xml:space="preserve">0.67–3.85 Mt to 2050</w:t>
      </w:r>
      <w:r>
        <w:t xml:space="preserve">: less than Darlington on the Step Change proxy, and comparable on the slow transition.</w:t>
      </w:r>
      <w:r>
        <w:t xml:space="preserve"> </w:t>
      </w:r>
      <w:r>
        <w:t xml:space="preserve">- Liddell wins clearly only if the NEM stops decarbonising (frozen grid, 16.54 Mt).</w:t>
      </w:r>
    </w:p>
    <w:p>
      <w:pPr>
        <w:pStyle w:val="BodyText"/>
      </w:pPr>
      <w:r>
        <w:t xml:space="preserve">The grid trajectory, the start year and the post-coal floor dominate the result. The SMR’s own life-cycle value moves it by a few per cent. Script:</w:t>
      </w:r>
      <w:r>
        <w:t xml:space="preserve"> </w:t>
      </w:r>
      <w:r>
        <w:rPr>
          <w:rStyle w:val="VerbatimChar"/>
        </w:rPr>
        <w:t xml:space="preserve">python3 -I 03_LCA_Calculations/scripts/displacement.py</w:t>
      </w:r>
      <w:r>
        <w:t xml:space="preserve">, with inputs in</w:t>
      </w:r>
      <w:r>
        <w:t xml:space="preserve"> </w:t>
      </w:r>
      <w:r>
        <w:rPr>
          <w:rStyle w:val="VerbatimChar"/>
        </w:rPr>
        <w:t xml:space="preserve">parameters_run1.yaml</w:t>
      </w:r>
      <w:r>
        <w:t xml:space="preserve"> </w:t>
      </w:r>
      <w:r>
        <w:t xml:space="preserve">and output in</w:t>
      </w:r>
      <w:r>
        <w:t xml:space="preserve"> </w:t>
      </w:r>
      <w:r>
        <w:rPr>
          <w:rStyle w:val="VerbatimChar"/>
        </w:rPr>
        <w:t xml:space="preserve">results/displacement.md</w:t>
      </w:r>
      <w:r>
        <w:t xml:space="preserve">.</w:t>
      </w:r>
    </w:p>
    <w:bookmarkStart w:id="75" w:name="b4.1-method"/>
    <w:p>
      <w:pPr>
        <w:pStyle w:val="Heading4"/>
      </w:pPr>
      <w:r>
        <w:t xml:space="preserve">B4.1 Method</w:t>
      </w:r>
    </w:p>
    <w:p>
      <w:pPr>
        <w:numPr>
          <w:ilvl w:val="0"/>
          <w:numId w:val="1006"/>
        </w:numPr>
        <w:pStyle w:val="Compact"/>
      </w:pPr>
      <w:r>
        <w:t xml:space="preserve">Annual output of one unit: E = P × 8,760 h × CF = 300 MW × 1,000 kW/MW × 8,760 h × 0.90 =</w:t>
      </w:r>
      <w:r>
        <w:t xml:space="preserve"> </w:t>
      </w:r>
      <w:r>
        <w:rPr>
          <w:bCs/>
          <w:b/>
        </w:rPr>
        <w:t xml:space="preserve">2,365,200,000 kWh (2.365 TWh) a year</w:t>
      </w:r>
      <w:r>
        <w:t xml:space="preserve">.</w:t>
      </w:r>
    </w:p>
    <w:p>
      <w:pPr>
        <w:numPr>
          <w:ilvl w:val="0"/>
          <w:numId w:val="1006"/>
        </w:numPr>
        <w:pStyle w:val="Compact"/>
      </w:pPr>
      <w:r>
        <w:t xml:space="preserve">CO₂e avoided in year</w:t>
      </w:r>
      <w:r>
        <w:t xml:space="preserve"> </w:t>
      </w:r>
      <w:r>
        <w:rPr>
          <w:iCs/>
          <w:i/>
        </w:rPr>
        <w:t xml:space="preserve">y</w:t>
      </w:r>
      <w:r>
        <w:t xml:space="preserve">: A(</w:t>
      </w:r>
      <w:r>
        <w:rPr>
          <w:iCs/>
          <w:i/>
        </w:rPr>
        <w:t xml:space="preserve">y</w:t>
      </w:r>
      <w:r>
        <w:t xml:space="preserve">) = E × (EF_grid(</w:t>
      </w:r>
      <w:r>
        <w:rPr>
          <w:iCs/>
          <w:i/>
        </w:rPr>
        <w:t xml:space="preserve">y</w:t>
      </w:r>
      <w:r>
        <w:t xml:space="preserve">) − EF_SMR) / 10⁶ t. EF is in g CO₂e/kWh, and EF_SMR = 4.2 g/kWh (our Monte Carlo median, §6; 90% interval 3.0–5.8).</w:t>
      </w:r>
    </w:p>
    <w:p>
      <w:pPr>
        <w:numPr>
          <w:ilvl w:val="0"/>
          <w:numId w:val="1006"/>
        </w:numPr>
        <w:pStyle w:val="Compact"/>
      </w:pPr>
      <w:r>
        <w:t xml:space="preserve">The cumulative total is the sum of A(</w:t>
      </w:r>
      <w:r>
        <w:rPr>
          <w:iCs/>
          <w:i/>
        </w:rPr>
        <w:t xml:space="preserve">y</w:t>
      </w:r>
      <w:r>
        <w:t xml:space="preserve">) from the first full year of operation to 2035, to 2050 (inclusive), or to the end of a 60-year life.</w:t>
      </w:r>
    </w:p>
    <w:p>
      <w:pPr>
        <w:numPr>
          <w:ilvl w:val="0"/>
          <w:numId w:val="1006"/>
        </w:numPr>
        <w:pStyle w:val="Compact"/>
      </w:pPr>
      <w:r>
        <w:t xml:space="preserve">Each grid trajectory is linear between its anchor points and flat afterwards. These are our constructions, not AEMO or IESO series: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Path</w:t>
            </w:r>
          </w:p>
        </w:tc>
        <w:tc>
          <w:tcPr/>
          <w:p>
            <w:pPr>
              <w:pStyle w:val="Compact"/>
              <w:jc w:val="left"/>
            </w:pPr>
            <w:r>
              <w:t xml:space="preserve">Role</w:t>
            </w:r>
          </w:p>
        </w:tc>
      </w:tr>
      <w:tr>
        <w:tc>
          <w:tcPr/>
          <w:p>
            <w:pPr>
              <w:pStyle w:val="Compact"/>
              <w:jc w:val="left"/>
            </w:pPr>
            <w:r>
              <w:t xml:space="preserve">ON-avg-traj</w:t>
            </w:r>
          </w:p>
        </w:tc>
        <w:tc>
          <w:tcPr/>
          <w:p>
            <w:pPr>
              <w:pStyle w:val="Compact"/>
              <w:jc w:val="left"/>
            </w:pPr>
            <w:r>
              <w:t xml:space="preserve">73.8 g/kWh (2024) → 15 (2040)</w:t>
            </w:r>
          </w:p>
        </w:tc>
        <w:tc>
          <w:tcPr/>
          <w:p>
            <w:pPr>
              <w:pStyle w:val="Compact"/>
              <w:jc w:val="left"/>
            </w:pPr>
            <w:r>
              <w:t xml:space="preserve">Ontario average</w:t>
            </w:r>
          </w:p>
        </w:tc>
      </w:tr>
      <w:tr>
        <w:tc>
          <w:tcPr/>
          <w:p>
            <w:pPr>
              <w:pStyle w:val="Compact"/>
              <w:jc w:val="left"/>
            </w:pPr>
            <w:r>
              <w:t xml:space="preserve">ON-marginal-declining</w:t>
            </w:r>
          </w:p>
        </w:tc>
        <w:tc>
          <w:tcPr/>
          <w:p>
            <w:pPr>
              <w:pStyle w:val="Compact"/>
              <w:jc w:val="left"/>
            </w:pPr>
            <w:r>
              <w:t xml:space="preserve">343 (2024) → 15 (2050)</w:t>
            </w:r>
          </w:p>
        </w:tc>
        <w:tc>
          <w:tcPr/>
          <w:p>
            <w:pPr>
              <w:pStyle w:val="Compact"/>
              <w:jc w:val="left"/>
            </w:pPr>
            <w:r>
              <w:t xml:space="preserve">Ontario marginal; assumes gas leaves the margin by 2050</w:t>
            </w:r>
          </w:p>
        </w:tc>
      </w:tr>
      <w:tr>
        <w:tc>
          <w:tcPr/>
          <w:p>
            <w:pPr>
              <w:pStyle w:val="Compact"/>
              <w:jc w:val="left"/>
            </w:pPr>
            <w:r>
              <w:t xml:space="preserve">ON-avg-flat, ON-marginal-flat</w:t>
            </w:r>
          </w:p>
        </w:tc>
        <w:tc>
          <w:tcPr/>
          <w:p>
            <w:pPr>
              <w:pStyle w:val="Compact"/>
              <w:jc w:val="left"/>
            </w:pPr>
            <w:r>
              <w:t xml:space="preserve">2024 values held</w:t>
            </w:r>
          </w:p>
        </w:tc>
        <w:tc>
          <w:tcPr/>
          <w:p>
            <w:pPr>
              <w:pStyle w:val="Compact"/>
              <w:jc w:val="left"/>
            </w:pPr>
            <w:r>
              <w:t xml:space="preserve">Upper bounds</w:t>
            </w:r>
          </w:p>
        </w:tc>
      </w:tr>
      <w:tr>
        <w:tc>
          <w:tcPr/>
          <w:p>
            <w:pPr>
              <w:pStyle w:val="Compact"/>
              <w:jc w:val="left"/>
            </w:pPr>
            <w:r>
              <w:t xml:space="preserve">NEM-T1 (Step Change proxy)</w:t>
            </w:r>
          </w:p>
        </w:tc>
        <w:tc>
          <w:tcPr/>
          <w:p>
            <w:pPr>
              <w:pStyle w:val="Compact"/>
              <w:jc w:val="left"/>
            </w:pPr>
            <w:r>
              <w:t xml:space="preserve">640 (2025) → 30 floor (2038)</w:t>
            </w:r>
          </w:p>
        </w:tc>
        <w:tc>
          <w:tcPr/>
          <w:p>
            <w:pPr>
              <w:pStyle w:val="Compact"/>
              <w:jc w:val="left"/>
            </w:pPr>
            <w:r>
              <w:t xml:space="preserve">Central NEM case</w:t>
            </w:r>
          </w:p>
        </w:tc>
      </w:tr>
      <w:tr>
        <w:tc>
          <w:tcPr/>
          <w:p>
            <w:pPr>
              <w:pStyle w:val="Compact"/>
              <w:jc w:val="left"/>
            </w:pPr>
            <w:r>
              <w:t xml:space="preserve">NEM-T2 (slow)</w:t>
            </w:r>
          </w:p>
        </w:tc>
        <w:tc>
          <w:tcPr/>
          <w:p>
            <w:pPr>
              <w:pStyle w:val="Compact"/>
              <w:jc w:val="left"/>
            </w:pPr>
            <w:r>
              <w:t xml:space="preserve">640 (2025) → 30 (2050)</w:t>
            </w:r>
          </w:p>
        </w:tc>
        <w:tc>
          <w:tcPr/>
          <w:p>
            <w:pPr>
              <w:pStyle w:val="Compact"/>
              <w:jc w:val="left"/>
            </w:pPr>
            <w:r>
              <w:t xml:space="preserve">Slow transition</w:t>
            </w:r>
          </w:p>
        </w:tc>
      </w:tr>
      <w:tr>
        <w:tc>
          <w:tcPr/>
          <w:p>
            <w:pPr>
              <w:pStyle w:val="Compact"/>
              <w:jc w:val="left"/>
            </w:pPr>
            <w:r>
              <w:t xml:space="preserve">NEM-T0 (frozen)</w:t>
            </w:r>
          </w:p>
        </w:tc>
        <w:tc>
          <w:tcPr/>
          <w:p>
            <w:pPr>
              <w:pStyle w:val="Compact"/>
              <w:jc w:val="left"/>
            </w:pPr>
            <w:r>
              <w:t xml:space="preserve">640 held</w:t>
            </w:r>
          </w:p>
        </w:tc>
        <w:tc>
          <w:tcPr/>
          <w:p>
            <w:pPr>
              <w:pStyle w:val="Compact"/>
              <w:jc w:val="left"/>
            </w:pPr>
            <w:r>
              <w:t xml:space="preserve">Upper bound</w:t>
            </w:r>
          </w:p>
        </w:tc>
      </w:tr>
      <w:tr>
        <w:tc>
          <w:tcPr/>
          <w:p>
            <w:pPr>
              <w:pStyle w:val="Compact"/>
              <w:jc w:val="left"/>
            </w:pPr>
            <w:r>
              <w:t xml:space="preserve">UB-Bayswater; UB-coal-LCA</w:t>
            </w:r>
          </w:p>
        </w:tc>
        <w:tc>
          <w:tcPr/>
          <w:p>
            <w:pPr>
              <w:pStyle w:val="Compact"/>
              <w:jc w:val="left"/>
            </w:pPr>
            <w:r>
              <w:t xml:space="preserve">990; 1,000 held</w:t>
            </w:r>
          </w:p>
        </w:tc>
        <w:tc>
          <w:tcPr/>
          <w:p>
            <w:pPr>
              <w:pStyle w:val="Compact"/>
              <w:jc w:val="left"/>
            </w:pPr>
            <w:r>
              <w:t xml:space="preserve">Coal upper bounds</w:t>
            </w:r>
          </w:p>
        </w:tc>
      </w:tr>
    </w:tbl>
    <w:p>
      <w:pPr>
        <w:pStyle w:val="BodyText"/>
      </w:pPr>
      <w:r>
        <w:rPr>
          <w:bCs/>
          <w:b/>
        </w:rPr>
        <w:t xml:space="preserve">Worked example 1 (static, NSW 2025).</w:t>
      </w:r>
      <w:r>
        <w:t xml:space="preserve"> </w:t>
      </w:r>
      <w:r>
        <w:t xml:space="preserve">2,365,200,000 × (640 − 4.2) / 10⁶ =</w:t>
      </w:r>
      <w:r>
        <w:t xml:space="preserve"> </w:t>
      </w:r>
      <w:r>
        <w:rPr>
          <w:bCs/>
          <w:b/>
        </w:rPr>
        <w:t xml:space="preserve">1,503,794 t a year</w:t>
      </w:r>
      <w:r>
        <w:t xml:space="preserve">.</w:t>
      </w:r>
    </w:p>
    <w:p>
      <w:pPr>
        <w:pStyle w:val="BodyText"/>
      </w:pPr>
      <w:r>
        <w:rPr>
          <w:bCs/>
          <w:b/>
        </w:rPr>
        <w:t xml:space="preserve">Worked example 2 (cumulative, Liddell from 2040 on NEM-T1).</w:t>
      </w:r>
      <w:r>
        <w:t xml:space="preserve"> </w:t>
      </w:r>
      <w:r>
        <w:t xml:space="preserve">The NEM is at its 30 g/kWh floor from 2038, so each year avoids 2,365,200,000 × (30 − 4.2) / 10⁶ = 61,022 t.</w:t>
      </w:r>
      <w:r>
        <w:t xml:space="preserve"> </w:t>
      </w:r>
      <w:r>
        <w:t xml:space="preserve">- To 2050 (11 years, 2040–2050): 11 × 61,022 =</w:t>
      </w:r>
      <w:r>
        <w:t xml:space="preserve"> </w:t>
      </w:r>
      <w:r>
        <w:rPr>
          <w:bCs/>
          <w:b/>
        </w:rPr>
        <w:t xml:space="preserve">671 kt</w:t>
      </w:r>
      <w:r>
        <w:t xml:space="preserve">.</w:t>
      </w:r>
      <w:r>
        <w:t xml:space="preserve"> </w:t>
      </w:r>
      <w:r>
        <w:t xml:space="preserve">- Whole life (60 years): 60 × 61,022 =</w:t>
      </w:r>
      <w:r>
        <w:t xml:space="preserve"> </w:t>
      </w:r>
      <w:r>
        <w:rPr>
          <w:bCs/>
          <w:b/>
        </w:rPr>
        <w:t xml:space="preserve">3.66 Mt</w:t>
      </w:r>
      <w:r>
        <w:t xml:space="preserve">.</w:t>
      </w:r>
    </w:p>
    <w:p>
      <w:pPr>
        <w:pStyle w:val="BodyText"/>
      </w:pPr>
      <w:r>
        <w:rPr>
          <w:iCs/>
          <w:i/>
        </w:rPr>
        <w:t xml:space="preserve">Table B15. Inputs to B4–B6.</w:t>
      </w:r>
      <w:r>
        <w:t xml:space="preserve"> </w:t>
      </w:r>
      <w:r>
        <w:rPr>
          <w:iCs/>
          <w:i/>
        </w:rPr>
        <w:t xml:space="preserve">Source:</w:t>
      </w:r>
      <w:r>
        <w:rPr>
          <w:iCs/>
          <w:i/>
        </w:rPr>
        <w:t xml:space="preserve"> </w:t>
      </w:r>
      <w:r>
        <w:rPr>
          <w:rStyle w:val="VerbatimChar"/>
          <w:iCs/>
          <w:i/>
        </w:rPr>
        <w:t xml:space="preserve">03_LCA_Calculations/parameters_run1.yaml</w:t>
      </w:r>
      <w:r>
        <w:rPr>
          <w:iCs/>
          <w:i/>
        </w:rPr>
        <w:t xml:space="preserve"> </w:t>
      </w:r>
      <w:r>
        <w:rPr>
          <w:iCs/>
          <w:i/>
        </w:rPr>
        <w:t xml:space="preserve">and the references named; status as in the YAML.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(range)</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Net output</w:t>
            </w:r>
          </w:p>
        </w:tc>
        <w:tc>
          <w:tcPr/>
          <w:p>
            <w:pPr>
              <w:pStyle w:val="Compact"/>
              <w:jc w:val="left"/>
            </w:pPr>
            <w:r>
              <w:t xml:space="preserve">300 MWe (290–300)</w:t>
            </w:r>
          </w:p>
        </w:tc>
        <w:tc>
          <w:tcPr/>
          <w:p>
            <w:pPr>
              <w:pStyle w:val="Compact"/>
              <w:jc w:val="left"/>
            </w:pPr>
            <w:r>
              <w:t xml:space="preserve">Assumption (the deck’s value; an OEB filing may give 315)</w:t>
            </w:r>
          </w:p>
        </w:tc>
        <w:tc>
          <w:tcPr/>
          <w:p>
            <w:pPr>
              <w:pStyle w:val="Compact"/>
              <w:jc w:val="left"/>
            </w:pPr>
            <w:r>
              <w:t xml:space="preserve">Placeholder</w:t>
            </w:r>
          </w:p>
        </w:tc>
      </w:tr>
      <w:tr>
        <w:tc>
          <w:tcPr/>
          <w:p>
            <w:pPr>
              <w:pStyle w:val="Compact"/>
              <w:jc w:val="left"/>
            </w:pPr>
            <w:r>
              <w:t xml:space="preserve">Capacity factor; design life</w:t>
            </w:r>
          </w:p>
        </w:tc>
        <w:tc>
          <w:tcPr/>
          <w:p>
            <w:pPr>
              <w:pStyle w:val="Compact"/>
              <w:jc w:val="left"/>
            </w:pPr>
            <w:r>
              <w:t xml:space="preserve">0.90 (0.80–0.95); 60 years (40–80)</w:t>
            </w:r>
          </w:p>
        </w:tc>
        <w:tc>
          <w:tcPr/>
          <w:p>
            <w:pPr>
              <w:pStyle w:val="Compact"/>
              <w:jc w:val="left"/>
            </w:pPr>
            <w:r>
              <w:t xml:space="preserve">Assumption</w:t>
            </w:r>
          </w:p>
        </w:tc>
        <w:tc>
          <w:tcPr/>
          <w:p>
            <w:pPr>
              <w:pStyle w:val="Compact"/>
              <w:jc w:val="left"/>
            </w:pPr>
            <w:r>
              <w:t xml:space="preserve">Placeholder</w:t>
            </w:r>
          </w:p>
        </w:tc>
      </w:tr>
      <w:tr>
        <w:tc>
          <w:tcPr/>
          <w:p>
            <w:pPr>
              <w:pStyle w:val="Compact"/>
              <w:jc w:val="left"/>
            </w:pPr>
            <w:r>
              <w:t xml:space="preserve">SMR life cycle</w:t>
            </w:r>
          </w:p>
        </w:tc>
        <w:tc>
          <w:tcPr/>
          <w:p>
            <w:pPr>
              <w:pStyle w:val="Compact"/>
              <w:jc w:val="left"/>
            </w:pPr>
            <w:r>
              <w:t xml:space="preserve">4.2 g/kWh (3.0–5.8)</w:t>
            </w:r>
          </w:p>
        </w:tc>
        <w:tc>
          <w:tcPr/>
          <w:p>
            <w:pPr>
              <w:pStyle w:val="Compact"/>
              <w:jc w:val="left"/>
            </w:pPr>
            <w:r>
              <w:t xml:space="preserve">This study (§6, Appendix C)</w:t>
            </w:r>
          </w:p>
        </w:tc>
        <w:tc>
          <w:tcPr/>
          <w:p>
            <w:pPr>
              <w:pStyle w:val="Compact"/>
              <w:jc w:val="left"/>
            </w:pPr>
            <w:r>
              <w:t xml:space="preserve">From results; inputs TO VERIFY</w:t>
            </w:r>
          </w:p>
        </w:tc>
      </w:tr>
      <w:tr>
        <w:tc>
          <w:tcPr/>
          <w:p>
            <w:pPr>
              <w:pStyle w:val="Compact"/>
              <w:jc w:val="left"/>
            </w:pPr>
            <w:r>
              <w:t xml:space="preserve">Ontario average, 2024</w:t>
            </w:r>
          </w:p>
        </w:tc>
        <w:tc>
          <w:tcPr/>
          <w:p>
            <w:pPr>
              <w:pStyle w:val="Compact"/>
              <w:jc w:val="left"/>
            </w:pPr>
            <w:r>
              <w:t xml:space="preserve">73.8 g/kWh (73–73.8)</w:t>
            </w:r>
          </w:p>
        </w:tc>
        <w:tc>
          <w:tcPr/>
          <w:p>
            <w:pPr>
              <w:pStyle w:val="Compact"/>
              <w:jc w:val="left"/>
            </w:pPr>
            <w:r>
              <w:t xml:space="preserve">The Atmospheric Fund (2025)</w:t>
            </w:r>
          </w:p>
        </w:tc>
        <w:tc>
          <w:tcPr/>
          <w:p>
            <w:pPr>
              <w:pStyle w:val="Compact"/>
              <w:jc w:val="left"/>
            </w:pPr>
            <w:r>
              <w:t xml:space="preserve">TO VERIFY</w:t>
            </w:r>
          </w:p>
        </w:tc>
      </w:tr>
      <w:tr>
        <w:tc>
          <w:tcPr/>
          <w:p>
            <w:pPr>
              <w:pStyle w:val="Compact"/>
              <w:jc w:val="left"/>
            </w:pPr>
            <w:r>
              <w:t xml:space="preserve">Ontario average, 2022; 2023</w:t>
            </w:r>
          </w:p>
        </w:tc>
        <w:tc>
          <w:tcPr/>
          <w:p>
            <w:pPr>
              <w:pStyle w:val="Compact"/>
              <w:jc w:val="left"/>
            </w:pPr>
            <w:r>
              <w:t xml:space="preserve">35; 53 g/kWh</w:t>
            </w:r>
          </w:p>
        </w:tc>
        <w:tc>
          <w:tcPr/>
          <w:p>
            <w:pPr>
              <w:pStyle w:val="Compact"/>
              <w:jc w:val="left"/>
            </w:pPr>
            <w:r>
              <w:t xml:space="preserve">Canada Energy Regulator (n.d.); Government of Ontario (n.d.)</w:t>
            </w:r>
          </w:p>
        </w:tc>
        <w:tc>
          <w:tcPr/>
          <w:p>
            <w:pPr>
              <w:pStyle w:val="Compact"/>
              <w:jc w:val="left"/>
            </w:pPr>
            <w:r>
              <w:t xml:space="preserve">TO VERIFY</w:t>
            </w:r>
          </w:p>
        </w:tc>
      </w:tr>
      <w:tr>
        <w:tc>
          <w:tcPr/>
          <w:p>
            <w:pPr>
              <w:pStyle w:val="Compact"/>
              <w:jc w:val="left"/>
            </w:pPr>
            <w:r>
              <w:t xml:space="preserve">Ontario average, 2040</w:t>
            </w:r>
          </w:p>
        </w:tc>
        <w:tc>
          <w:tcPr/>
          <w:p>
            <w:pPr>
              <w:pStyle w:val="Compact"/>
              <w:jc w:val="left"/>
            </w:pPr>
            <w:r>
              <w:t xml:space="preserve">15 g/kWh</w:t>
            </w:r>
          </w:p>
        </w:tc>
        <w:tc>
          <w:tcPr/>
          <w:p>
            <w:pPr>
              <w:pStyle w:val="Compact"/>
              <w:jc w:val="left"/>
            </w:pPr>
            <w:r>
              <w:t xml:space="preserve">Independent Electricity System Operator (2024)</w:t>
            </w:r>
          </w:p>
        </w:tc>
        <w:tc>
          <w:tcPr/>
          <w:p>
            <w:pPr>
              <w:pStyle w:val="Compact"/>
              <w:jc w:val="left"/>
            </w:pPr>
            <w:r>
              <w:t xml:space="preserve">TO VERIFY</w:t>
            </w:r>
          </w:p>
        </w:tc>
      </w:tr>
      <w:tr>
        <w:tc>
          <w:tcPr/>
          <w:p>
            <w:pPr>
              <w:pStyle w:val="Compact"/>
              <w:jc w:val="left"/>
            </w:pPr>
            <w:r>
              <w:t xml:space="preserve">Ontario marginal, 2024</w:t>
            </w:r>
          </w:p>
        </w:tc>
        <w:tc>
          <w:tcPr/>
          <w:p>
            <w:pPr>
              <w:pStyle w:val="Compact"/>
              <w:jc w:val="left"/>
            </w:pPr>
            <w:r>
              <w:t xml:space="preserve">343 g/kWh (343–472)</w:t>
            </w:r>
          </w:p>
        </w:tc>
        <w:tc>
          <w:tcPr/>
          <w:p>
            <w:pPr>
              <w:pStyle w:val="Compact"/>
              <w:jc w:val="left"/>
            </w:pPr>
            <w:r>
              <w:t xml:space="preserve">The Atmospheric Fund (2025); high = gas generation, The Atmospheric Fund (2021)</w:t>
            </w:r>
          </w:p>
        </w:tc>
        <w:tc>
          <w:tcPr/>
          <w:p>
            <w:pPr>
              <w:pStyle w:val="Compact"/>
              <w:jc w:val="left"/>
            </w:pPr>
            <w:r>
              <w:t xml:space="preserve">TO VERIFY (definition ambiguous)</w:t>
            </w:r>
          </w:p>
        </w:tc>
      </w:tr>
      <w:tr>
        <w:tc>
          <w:tcPr/>
          <w:p>
            <w:pPr>
              <w:pStyle w:val="Compact"/>
              <w:jc w:val="left"/>
            </w:pPr>
            <w:r>
              <w:t xml:space="preserve">Year gas leaves Ontario’s margin</w:t>
            </w:r>
          </w:p>
        </w:tc>
        <w:tc>
          <w:tcPr/>
          <w:p>
            <w:pPr>
              <w:pStyle w:val="Compact"/>
              <w:jc w:val="left"/>
            </w:pPr>
            <w:r>
              <w:t xml:space="preserve">2050 (2040–2060)</w:t>
            </w:r>
          </w:p>
        </w:tc>
        <w:tc>
          <w:tcPr/>
          <w:p>
            <w:pPr>
              <w:pStyle w:val="Compact"/>
              <w:jc w:val="left"/>
            </w:pPr>
            <w:r>
              <w:t xml:space="preserve">Assumption</w:t>
            </w:r>
          </w:p>
        </w:tc>
        <w:tc>
          <w:tcPr/>
          <w:p>
            <w:pPr>
              <w:pStyle w:val="Compact"/>
              <w:jc w:val="left"/>
            </w:pPr>
            <w:r>
              <w:t xml:space="preserve">Assumption</w:t>
            </w:r>
          </w:p>
        </w:tc>
      </w:tr>
      <w:tr>
        <w:tc>
          <w:tcPr/>
          <w:p>
            <w:pPr>
              <w:pStyle w:val="Compact"/>
              <w:jc w:val="left"/>
            </w:pPr>
            <w:r>
              <w:t xml:space="preserve">NSW/ACT grid, 2025 (scope 2)</w:t>
            </w:r>
          </w:p>
        </w:tc>
        <w:tc>
          <w:tcPr/>
          <w:p>
            <w:pPr>
              <w:pStyle w:val="Compact"/>
              <w:jc w:val="left"/>
            </w:pPr>
            <w:r>
              <w:t xml:space="preserve">640 g/kWh</w:t>
            </w:r>
          </w:p>
        </w:tc>
        <w:tc>
          <w:tcPr/>
          <w:p>
            <w:pPr>
              <w:pStyle w:val="Compact"/>
              <w:jc w:val="left"/>
            </w:pPr>
            <w:r>
              <w:t xml:space="preserve">Department of Climate Change, Energy, the Environment and Water (2025)</w:t>
            </w:r>
          </w:p>
        </w:tc>
        <w:tc>
          <w:tcPr/>
          <w:p>
            <w:pPr>
              <w:pStyle w:val="Compact"/>
              <w:jc w:val="left"/>
            </w:pPr>
            <w:r>
              <w:t xml:space="preserve">TO VERIFY</w:t>
            </w:r>
          </w:p>
        </w:tc>
      </w:tr>
      <w:tr>
        <w:tc>
          <w:tcPr/>
          <w:p>
            <w:pPr>
              <w:pStyle w:val="Compact"/>
              <w:jc w:val="left"/>
            </w:pPr>
            <w:r>
              <w:t xml:space="preserve">NEM coal exit (T1); slow exit (T2)</w:t>
            </w:r>
          </w:p>
        </w:tc>
        <w:tc>
          <w:tcPr/>
          <w:p>
            <w:pPr>
              <w:pStyle w:val="Compact"/>
              <w:jc w:val="left"/>
            </w:pPr>
            <w:r>
              <w:t xml:space="preserve">2038; 2050</w:t>
            </w:r>
          </w:p>
        </w:tc>
        <w:tc>
          <w:tcPr/>
          <w:p>
            <w:pPr>
              <w:pStyle w:val="Compact"/>
              <w:jc w:val="left"/>
            </w:pPr>
            <w:r>
              <w:t xml:space="preserve">Australian Energy Market Operator (2024); assumption</w:t>
            </w:r>
          </w:p>
        </w:tc>
        <w:tc>
          <w:tcPr/>
          <w:p>
            <w:pPr>
              <w:pStyle w:val="Compact"/>
              <w:jc w:val="left"/>
            </w:pPr>
            <w:r>
              <w:t xml:space="preserve">TO VERIFY (secondary); assumption</w:t>
            </w:r>
          </w:p>
        </w:tc>
      </w:tr>
      <w:tr>
        <w:tc>
          <w:tcPr/>
          <w:p>
            <w:pPr>
              <w:pStyle w:val="Compact"/>
              <w:jc w:val="left"/>
            </w:pPr>
            <w:r>
              <w:t xml:space="preserve">NEM floor after coal</w:t>
            </w:r>
          </w:p>
        </w:tc>
        <w:tc>
          <w:tcPr/>
          <w:p>
            <w:pPr>
              <w:pStyle w:val="Compact"/>
              <w:jc w:val="left"/>
            </w:pPr>
            <w:r>
              <w:t xml:space="preserve">30 g/kWh (0–80)</w:t>
            </w:r>
          </w:p>
        </w:tc>
        <w:tc>
          <w:tcPr/>
          <w:p>
            <w:pPr>
              <w:pStyle w:val="Compact"/>
              <w:jc w:val="left"/>
            </w:pPr>
            <w:r>
              <w:t xml:space="preserve">Assumption</w:t>
            </w:r>
          </w:p>
        </w:tc>
        <w:tc>
          <w:tcPr/>
          <w:p>
            <w:pPr>
              <w:pStyle w:val="Compact"/>
              <w:jc w:val="left"/>
            </w:pPr>
            <w:r>
              <w:t xml:space="preserve">Assumption</w:t>
            </w:r>
          </w:p>
        </w:tc>
      </w:tr>
      <w:tr>
        <w:tc>
          <w:tcPr/>
          <w:p>
            <w:pPr>
              <w:pStyle w:val="Compact"/>
              <w:jc w:val="left"/>
            </w:pPr>
            <w:r>
              <w:t xml:space="preserve">Bayswater, sent out</w:t>
            </w:r>
          </w:p>
        </w:tc>
        <w:tc>
          <w:tcPr/>
          <w:p>
            <w:pPr>
              <w:pStyle w:val="Compact"/>
              <w:jc w:val="left"/>
            </w:pPr>
            <w:r>
              <w:t xml:space="preserve">990 g/kWh</w:t>
            </w:r>
          </w:p>
        </w:tc>
        <w:tc>
          <w:tcPr/>
          <w:p>
            <w:pPr>
              <w:pStyle w:val="Compact"/>
              <w:jc w:val="left"/>
            </w:pPr>
            <w:r>
              <w:t xml:space="preserve">Australian Energy Market Operator (2025)</w:t>
            </w:r>
          </w:p>
        </w:tc>
        <w:tc>
          <w:tcPr/>
          <w:p>
            <w:pPr>
              <w:pStyle w:val="Compact"/>
              <w:jc w:val="left"/>
            </w:pPr>
            <w:r>
              <w:t xml:space="preserve">TO VERIFY (old value)</w:t>
            </w:r>
          </w:p>
        </w:tc>
      </w:tr>
      <w:tr>
        <w:tc>
          <w:tcPr/>
          <w:p>
            <w:pPr>
              <w:pStyle w:val="Compact"/>
              <w:jc w:val="left"/>
            </w:pPr>
            <w:r>
              <w:t xml:space="preserve">Coal, life cycle</w:t>
            </w:r>
          </w:p>
        </w:tc>
        <w:tc>
          <w:tcPr/>
          <w:p>
            <w:pPr>
              <w:pStyle w:val="Compact"/>
              <w:jc w:val="left"/>
            </w:pPr>
            <w:r>
              <w:t xml:space="preserve">1,000 g/kWh (751–1,095)</w:t>
            </w:r>
          </w:p>
        </w:tc>
        <w:tc>
          <w:tcPr/>
          <w:p>
            <w:pPr>
              <w:pStyle w:val="Compact"/>
              <w:jc w:val="left"/>
            </w:pPr>
            <w:r>
              <w:t xml:space="preserve">United Nations Economic Commission for Europe (2021)</w:t>
            </w:r>
          </w:p>
        </w:tc>
        <w:tc>
          <w:tcPr/>
          <w:p>
            <w:pPr>
              <w:pStyle w:val="Compact"/>
              <w:jc w:val="left"/>
            </w:pPr>
            <w:r>
              <w:t xml:space="preserve">TO VERIFY</w:t>
            </w:r>
          </w:p>
        </w:tc>
      </w:tr>
      <w:tr>
        <w:tc>
          <w:tcPr/>
          <w:p>
            <w:pPr>
              <w:pStyle w:val="Compact"/>
              <w:jc w:val="left"/>
            </w:pPr>
            <w:r>
              <w:t xml:space="preserve">Start years</w:t>
            </w:r>
          </w:p>
        </w:tc>
        <w:tc>
          <w:tcPr/>
          <w:p>
            <w:pPr>
              <w:pStyle w:val="Compact"/>
              <w:jc w:val="left"/>
            </w:pPr>
            <w:r>
              <w:t xml:space="preserve">Darlington Unit 1 2030; Units 2–4 2035 (2034–2036); Liddell 2035 (Coalition claim), 2040 (CSIRO earliest), 2045 (late case)</w:t>
            </w:r>
          </w:p>
        </w:tc>
        <w:tc>
          <w:tcPr/>
          <w:p>
            <w:pPr>
              <w:pStyle w:val="Compact"/>
              <w:jc w:val="left"/>
            </w:pPr>
            <w:r>
              <w:t xml:space="preserve">Government of Ontario (2025); Ontario Power Generation (2025); ABC News (2024); Graham, Hayward and Foster (2024); assumption</w:t>
            </w:r>
          </w:p>
        </w:tc>
        <w:tc>
          <w:tcPr/>
          <w:p>
            <w:pPr>
              <w:pStyle w:val="Compact"/>
              <w:jc w:val="left"/>
            </w:pPr>
            <w:r>
              <w:t xml:space="preserve">Placeholders (Leroy)</w:t>
            </w:r>
          </w:p>
        </w:tc>
      </w:tr>
    </w:tbl>
    <w:bookmarkEnd w:id="75"/>
    <w:bookmarkStart w:id="76" w:name="b4.2-results"/>
    <w:p>
      <w:pPr>
        <w:pStyle w:val="Heading4"/>
      </w:pPr>
      <w:r>
        <w:t xml:space="preserve">B4.2 Results</w:t>
      </w:r>
    </w:p>
    <w:p>
      <w:pPr>
        <w:pStyle w:val="FirstParagraph"/>
      </w:pPr>
      <w:r>
        <w:rPr>
          <w:iCs/>
          <w:i/>
        </w:rPr>
        <w:t xml:space="preserve">Table B16. Annual CO₂e avoided by one unit at static grid factors.</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§2 [inputs TO VERIFY].</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Displaced electricity</w:t>
            </w:r>
          </w:p>
        </w:tc>
        <w:tc>
          <w:tcPr/>
          <w:p>
            <w:pPr>
              <w:pStyle w:val="Compact"/>
              <w:jc w:val="right"/>
            </w:pPr>
            <w:r>
              <w:t xml:space="preserve">EF (g/kWh)</w:t>
            </w:r>
          </w:p>
        </w:tc>
        <w:tc>
          <w:tcPr/>
          <w:p>
            <w:pPr>
              <w:pStyle w:val="Compact"/>
              <w:jc w:val="right"/>
            </w:pPr>
            <w:r>
              <w:t xml:space="preserve">Avoided (t a year)</w:t>
            </w:r>
          </w:p>
        </w:tc>
        <w:tc>
          <w:tcPr/>
          <w:p>
            <w:pPr>
              <w:pStyle w:val="Compact"/>
              <w:jc w:val="right"/>
            </w:pPr>
            <w:r>
              <w:t xml:space="preserve">Ratio to Ontario average 2024</w:t>
            </w:r>
          </w:p>
        </w:tc>
      </w:tr>
      <w:tr>
        <w:tc>
          <w:tcPr/>
          <w:p>
            <w:pPr>
              <w:pStyle w:val="Compact"/>
              <w:jc w:val="left"/>
            </w:pPr>
            <w:r>
              <w:t xml:space="preserve">Ontario average 2022 (CER)</w:t>
            </w:r>
          </w:p>
        </w:tc>
        <w:tc>
          <w:tcPr/>
          <w:p>
            <w:pPr>
              <w:pStyle w:val="Compact"/>
              <w:jc w:val="right"/>
            </w:pPr>
            <w:r>
              <w:t xml:space="preserve">35</w:t>
            </w:r>
          </w:p>
        </w:tc>
        <w:tc>
          <w:tcPr/>
          <w:p>
            <w:pPr>
              <w:pStyle w:val="Compact"/>
              <w:jc w:val="right"/>
            </w:pPr>
            <w:r>
              <w:t xml:space="preserve">72,848</w:t>
            </w:r>
          </w:p>
        </w:tc>
        <w:tc>
          <w:tcPr/>
          <w:p>
            <w:pPr>
              <w:pStyle w:val="Compact"/>
              <w:jc w:val="right"/>
            </w:pPr>
            <w:r>
              <w:t xml:space="preserve">0.4×</w:t>
            </w:r>
          </w:p>
        </w:tc>
      </w:tr>
      <w:tr>
        <w:tc>
          <w:tcPr/>
          <w:p>
            <w:pPr>
              <w:pStyle w:val="Compact"/>
              <w:jc w:val="left"/>
            </w:pPr>
            <w:r>
              <w:t xml:space="preserve">Ontario average 2023 (energy snapshot; the deck’s value)</w:t>
            </w:r>
          </w:p>
        </w:tc>
        <w:tc>
          <w:tcPr/>
          <w:p>
            <w:pPr>
              <w:pStyle w:val="Compact"/>
              <w:jc w:val="right"/>
            </w:pPr>
            <w:r>
              <w:t xml:space="preserve">53</w:t>
            </w:r>
          </w:p>
        </w:tc>
        <w:tc>
          <w:tcPr/>
          <w:p>
            <w:pPr>
              <w:pStyle w:val="Compact"/>
              <w:jc w:val="right"/>
            </w:pPr>
            <w:r>
              <w:t xml:space="preserve">115,422</w:t>
            </w:r>
          </w:p>
        </w:tc>
        <w:tc>
          <w:tcPr/>
          <w:p>
            <w:pPr>
              <w:pStyle w:val="Compact"/>
              <w:jc w:val="right"/>
            </w:pPr>
            <w:r>
              <w:t xml:space="preserve">0.7×</w:t>
            </w:r>
          </w:p>
        </w:tc>
      </w:tr>
      <w:tr>
        <w:tc>
          <w:tcPr/>
          <w:p>
            <w:pPr>
              <w:pStyle w:val="Compact"/>
              <w:jc w:val="left"/>
            </w:pPr>
            <w:r>
              <w:t xml:space="preserve">Ontario average 2024 (TAF)</w:t>
            </w:r>
          </w:p>
        </w:tc>
        <w:tc>
          <w:tcPr/>
          <w:p>
            <w:pPr>
              <w:pStyle w:val="Compact"/>
              <w:jc w:val="right"/>
            </w:pPr>
            <w:r>
              <w:t xml:space="preserve">74</w:t>
            </w:r>
          </w:p>
        </w:tc>
        <w:tc>
          <w:tcPr/>
          <w:p>
            <w:pPr>
              <w:pStyle w:val="Compact"/>
              <w:jc w:val="right"/>
            </w:pPr>
            <w:r>
              <w:t xml:space="preserve">164,618</w:t>
            </w:r>
          </w:p>
        </w:tc>
        <w:tc>
          <w:tcPr/>
          <w:p>
            <w:pPr>
              <w:pStyle w:val="Compact"/>
              <w:jc w:val="right"/>
            </w:pPr>
            <w:r>
              <w:t xml:space="preserve">1.0×</w:t>
            </w:r>
          </w:p>
        </w:tc>
      </w:tr>
      <w:tr>
        <w:tc>
          <w:tcPr/>
          <w:p>
            <w:pPr>
              <w:pStyle w:val="Compact"/>
              <w:jc w:val="left"/>
            </w:pPr>
            <w:r>
              <w:t xml:space="preserve">Ontario marginal (TAF 2024)</w:t>
            </w:r>
          </w:p>
        </w:tc>
        <w:tc>
          <w:tcPr/>
          <w:p>
            <w:pPr>
              <w:pStyle w:val="Compact"/>
              <w:jc w:val="right"/>
            </w:pPr>
            <w:r>
              <w:t xml:space="preserve">343</w:t>
            </w:r>
          </w:p>
        </w:tc>
        <w:tc>
          <w:tcPr/>
          <w:p>
            <w:pPr>
              <w:pStyle w:val="Compact"/>
              <w:jc w:val="right"/>
            </w:pPr>
            <w:r>
              <w:t xml:space="preserve">801,330</w:t>
            </w:r>
          </w:p>
        </w:tc>
        <w:tc>
          <w:tcPr/>
          <w:p>
            <w:pPr>
              <w:pStyle w:val="Compact"/>
              <w:jc w:val="right"/>
            </w:pPr>
            <w:r>
              <w:t xml:space="preserve">4.9×</w:t>
            </w:r>
          </w:p>
        </w:tc>
      </w:tr>
      <w:tr>
        <w:tc>
          <w:tcPr/>
          <w:p>
            <w:pPr>
              <w:pStyle w:val="Compact"/>
              <w:jc w:val="left"/>
            </w:pPr>
            <w:r>
              <w:t xml:space="preserve">Ontario gas-fired generation (TAF 2021)</w:t>
            </w:r>
          </w:p>
        </w:tc>
        <w:tc>
          <w:tcPr/>
          <w:p>
            <w:pPr>
              <w:pStyle w:val="Compact"/>
              <w:jc w:val="right"/>
            </w:pPr>
            <w:r>
              <w:t xml:space="preserve">472</w:t>
            </w:r>
          </w:p>
        </w:tc>
        <w:tc>
          <w:tcPr/>
          <w:p>
            <w:pPr>
              <w:pStyle w:val="Compact"/>
              <w:jc w:val="right"/>
            </w:pPr>
            <w:r>
              <w:t xml:space="preserve">1,106,441</w:t>
            </w:r>
          </w:p>
        </w:tc>
        <w:tc>
          <w:tcPr/>
          <w:p>
            <w:pPr>
              <w:pStyle w:val="Compact"/>
              <w:jc w:val="right"/>
            </w:pPr>
            <w:r>
              <w:t xml:space="preserve">6.7×</w:t>
            </w:r>
          </w:p>
        </w:tc>
      </w:tr>
      <w:tr>
        <w:tc>
          <w:tcPr/>
          <w:p>
            <w:pPr>
              <w:pStyle w:val="Compact"/>
              <w:jc w:val="left"/>
            </w:pPr>
            <w:r>
              <w:t xml:space="preserve">NSW/NEM average 2025 (NGA Factors, scope 2)</w:t>
            </w:r>
          </w:p>
        </w:tc>
        <w:tc>
          <w:tcPr/>
          <w:p>
            <w:pPr>
              <w:pStyle w:val="Compact"/>
              <w:jc w:val="right"/>
            </w:pPr>
            <w:r>
              <w:t xml:space="preserve">640</w:t>
            </w:r>
          </w:p>
        </w:tc>
        <w:tc>
          <w:tcPr/>
          <w:p>
            <w:pPr>
              <w:pStyle w:val="Compact"/>
              <w:jc w:val="right"/>
            </w:pPr>
            <w:r>
              <w:t xml:space="preserve">1,503,794</w:t>
            </w:r>
          </w:p>
        </w:tc>
        <w:tc>
          <w:tcPr/>
          <w:p>
            <w:pPr>
              <w:pStyle w:val="Compact"/>
              <w:jc w:val="right"/>
            </w:pPr>
            <w:r>
              <w:t xml:space="preserve">9.1×</w:t>
            </w:r>
          </w:p>
        </w:tc>
      </w:tr>
      <w:tr>
        <w:tc>
          <w:tcPr/>
          <w:p>
            <w:pPr>
              <w:pStyle w:val="Compact"/>
              <w:jc w:val="left"/>
            </w:pPr>
            <w:r>
              <w:t xml:space="preserve">Bayswater coal, sent out</w:t>
            </w:r>
          </w:p>
        </w:tc>
        <w:tc>
          <w:tcPr/>
          <w:p>
            <w:pPr>
              <w:pStyle w:val="Compact"/>
              <w:jc w:val="right"/>
            </w:pPr>
            <w:r>
              <w:t xml:space="preserve">990</w:t>
            </w:r>
          </w:p>
        </w:tc>
        <w:tc>
          <w:tcPr/>
          <w:p>
            <w:pPr>
              <w:pStyle w:val="Compact"/>
              <w:jc w:val="right"/>
            </w:pPr>
            <w:r>
              <w:t xml:space="preserve">2,331,614</w:t>
            </w:r>
          </w:p>
        </w:tc>
        <w:tc>
          <w:tcPr/>
          <w:p>
            <w:pPr>
              <w:pStyle w:val="Compact"/>
              <w:jc w:val="right"/>
            </w:pPr>
            <w:r>
              <w:t xml:space="preserve">14.2×</w:t>
            </w:r>
          </w:p>
        </w:tc>
      </w:tr>
      <w:tr>
        <w:tc>
          <w:tcPr/>
          <w:p>
            <w:pPr>
              <w:pStyle w:val="Compact"/>
              <w:jc w:val="left"/>
            </w:pPr>
            <w:r>
              <w:t xml:space="preserve">Coal, life cycle (UNECE)</w:t>
            </w:r>
          </w:p>
        </w:tc>
        <w:tc>
          <w:tcPr/>
          <w:p>
            <w:pPr>
              <w:pStyle w:val="Compact"/>
              <w:jc w:val="right"/>
            </w:pPr>
            <w:r>
              <w:t xml:space="preserve">1,000</w:t>
            </w:r>
          </w:p>
        </w:tc>
        <w:tc>
          <w:tcPr/>
          <w:p>
            <w:pPr>
              <w:pStyle w:val="Compact"/>
              <w:jc w:val="right"/>
            </w:pPr>
            <w:r>
              <w:t xml:space="preserve">2,355,266</w:t>
            </w:r>
          </w:p>
        </w:tc>
        <w:tc>
          <w:tcPr/>
          <w:p>
            <w:pPr>
              <w:pStyle w:val="Compact"/>
              <w:jc w:val="right"/>
            </w:pPr>
            <w:r>
              <w:t xml:space="preserve">14.3×</w:t>
            </w:r>
          </w:p>
        </w:tc>
      </w:tr>
      <w:tr>
        <w:tc>
          <w:tcPr/>
          <w:p>
            <w:pPr>
              <w:pStyle w:val="Compact"/>
              <w:jc w:val="left"/>
            </w:pPr>
            <w:r>
              <w:t xml:space="preserve">Gas combined cycle, life cycle (UNECE)</w:t>
            </w:r>
          </w:p>
        </w:tc>
        <w:tc>
          <w:tcPr/>
          <w:p>
            <w:pPr>
              <w:pStyle w:val="Compact"/>
              <w:jc w:val="right"/>
            </w:pPr>
            <w:r>
              <w:t xml:space="preserve">458</w:t>
            </w:r>
          </w:p>
        </w:tc>
        <w:tc>
          <w:tcPr/>
          <w:p>
            <w:pPr>
              <w:pStyle w:val="Compact"/>
              <w:jc w:val="right"/>
            </w:pPr>
            <w:r>
              <w:t xml:space="preserve">1,073,328</w:t>
            </w:r>
          </w:p>
        </w:tc>
        <w:tc>
          <w:tcPr/>
          <w:p>
            <w:pPr>
              <w:pStyle w:val="Compact"/>
              <w:jc w:val="right"/>
            </w:pPr>
            <w:r>
              <w:t xml:space="preserve">6.5×</w:t>
            </w:r>
          </w:p>
        </w:tc>
      </w:tr>
    </w:tbl>
    <w:p>
      <w:pPr>
        <w:pStyle w:val="BodyText"/>
      </w:pPr>
      <w:r>
        <w:rPr>
          <w:iCs/>
          <w:i/>
        </w:rPr>
        <w:t xml:space="preserve">Table B17. Cumulative CO₂e avoided by one unit, by site, start year and grid trajectory (Figure F6 data).</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§3 [inputs TO VERIFY].</w:t>
      </w:r>
    </w:p>
    <w:tbl>
      <w:tblPr>
        <w:tblStyle w:val="Table"/>
        <w:tblW w:type="pct" w:w="5000"/>
        <w:tblLook w:firstRow="1" w:lastRow="0" w:firstColumn="0" w:lastColumn="0" w:noHBand="0" w:noVBand="0" w:val="0020"/>
        <w:jc w:val="start"/>
      </w:tblPr>
      <w:tblGrid>
        <w:gridCol w:w="950"/>
        <w:gridCol w:w="950"/>
        <w:gridCol w:w="950"/>
        <w:gridCol w:w="1267"/>
        <w:gridCol w:w="1267"/>
        <w:gridCol w:w="1267"/>
        <w:gridCol w:w="1267"/>
      </w:tblGrid>
      <w:tr>
        <w:trPr>
          <w:tblHeader w:val="true"/>
        </w:trPr>
        <w:tc>
          <w:tcPr/>
          <w:p>
            <w:pPr>
              <w:pStyle w:val="Compact"/>
              <w:jc w:val="left"/>
            </w:pPr>
            <w:r>
              <w:t xml:space="preserve">Site</w:t>
            </w:r>
          </w:p>
        </w:tc>
        <w:tc>
          <w:tcPr/>
          <w:p>
            <w:pPr>
              <w:pStyle w:val="Compact"/>
              <w:jc w:val="left"/>
            </w:pPr>
            <w:r>
              <w:t xml:space="preserve">Start</w:t>
            </w:r>
          </w:p>
        </w:tc>
        <w:tc>
          <w:tcPr/>
          <w:p>
            <w:pPr>
              <w:pStyle w:val="Compact"/>
              <w:jc w:val="left"/>
            </w:pPr>
            <w:r>
              <w:t xml:space="preserve">Grid case</w:t>
            </w:r>
          </w:p>
        </w:tc>
        <w:tc>
          <w:tcPr/>
          <w:p>
            <w:pPr>
              <w:pStyle w:val="Compact"/>
              <w:jc w:val="right"/>
            </w:pPr>
            <w:r>
              <w:t xml:space="preserve">Year-1 EF (g/kWh)</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544 kt</w:t>
            </w:r>
          </w:p>
        </w:tc>
        <w:tc>
          <w:tcPr/>
          <w:p>
            <w:pPr>
              <w:pStyle w:val="Compact"/>
              <w:jc w:val="right"/>
            </w:pPr>
            <w:r>
              <w:t xml:space="preserve">1.01 Mt</w:t>
            </w:r>
          </w:p>
        </w:tc>
        <w:tc>
          <w:tcPr/>
          <w:p>
            <w:pPr>
              <w:pStyle w:val="Compact"/>
              <w:jc w:val="right"/>
            </w:pPr>
            <w:r>
              <w:t xml:space="preserve">2.01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988 kt</w:t>
            </w:r>
          </w:p>
        </w:tc>
        <w:tc>
          <w:tcPr/>
          <w:p>
            <w:pPr>
              <w:pStyle w:val="Compact"/>
              <w:jc w:val="right"/>
            </w:pPr>
            <w:r>
              <w:t xml:space="preserve">3.46 Mt</w:t>
            </w:r>
          </w:p>
        </w:tc>
        <w:tc>
          <w:tcPr/>
          <w:p>
            <w:pPr>
              <w:pStyle w:val="Compact"/>
              <w:jc w:val="right"/>
            </w:pPr>
            <w:r>
              <w:t xml:space="preserve">9.88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7.80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ON-marginal-flat (upper bound)</w:t>
            </w:r>
          </w:p>
        </w:tc>
        <w:tc>
          <w:tcPr/>
          <w:p>
            <w:pPr>
              <w:pStyle w:val="Compact"/>
              <w:jc w:val="right"/>
            </w:pPr>
            <w:r>
              <w:t xml:space="preserve">343</w:t>
            </w:r>
          </w:p>
        </w:tc>
        <w:tc>
          <w:tcPr/>
          <w:p>
            <w:pPr>
              <w:pStyle w:val="Compact"/>
              <w:jc w:val="right"/>
            </w:pPr>
            <w:r>
              <w:t xml:space="preserve">4.81 Mt</w:t>
            </w:r>
          </w:p>
        </w:tc>
        <w:tc>
          <w:tcPr/>
          <w:p>
            <w:pPr>
              <w:pStyle w:val="Compact"/>
              <w:jc w:val="right"/>
            </w:pPr>
            <w:r>
              <w:t xml:space="preserve">16.83 Mt</w:t>
            </w:r>
          </w:p>
        </w:tc>
        <w:tc>
          <w:tcPr/>
          <w:p>
            <w:pPr>
              <w:pStyle w:val="Compact"/>
              <w:jc w:val="right"/>
            </w:pPr>
            <w:r>
              <w:t xml:space="preserve">48.08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1.50 Mt</w:t>
            </w:r>
          </w:p>
        </w:tc>
        <w:tc>
          <w:tcPr/>
          <w:p>
            <w:pPr>
              <w:pStyle w:val="Compact"/>
              <w:jc w:val="right"/>
            </w:pPr>
            <w:r>
              <w:t xml:space="preserve">24.06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394 kt</w:t>
            </w:r>
          </w:p>
        </w:tc>
        <w:tc>
          <w:tcPr/>
          <w:p>
            <w:pPr>
              <w:pStyle w:val="Compact"/>
              <w:jc w:val="right"/>
            </w:pPr>
            <w:r>
              <w:t xml:space="preserve">1.64 Mt</w:t>
            </w:r>
          </w:p>
        </w:tc>
        <w:tc>
          <w:tcPr/>
          <w:p>
            <w:pPr>
              <w:pStyle w:val="Compact"/>
              <w:jc w:val="right"/>
            </w:pPr>
            <w:r>
              <w:t xml:space="preserve">4.33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927 kt</w:t>
            </w:r>
          </w:p>
        </w:tc>
        <w:tc>
          <w:tcPr/>
          <w:p>
            <w:pPr>
              <w:pStyle w:val="Compact"/>
              <w:jc w:val="right"/>
            </w:pPr>
            <w:r>
              <w:t xml:space="preserve">7.90 Mt</w:t>
            </w:r>
          </w:p>
        </w:tc>
        <w:tc>
          <w:tcPr/>
          <w:p>
            <w:pPr>
              <w:pStyle w:val="Compact"/>
              <w:jc w:val="right"/>
            </w:pPr>
            <w:r>
              <w:t xml:space="preserve">10.59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671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6.84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9.02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366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NEM-T2 slow</w:t>
            </w:r>
          </w:p>
        </w:tc>
        <w:tc>
          <w:tcPr/>
          <w:p>
            <w:pPr>
              <w:pStyle w:val="Compact"/>
              <w:jc w:val="right"/>
            </w:pPr>
            <w:r>
              <w:t xml:space="preserve">152</w:t>
            </w:r>
          </w:p>
        </w:tc>
        <w:tc>
          <w:tcPr/>
          <w:p>
            <w:pPr>
              <w:pStyle w:val="Compact"/>
              <w:jc w:val="right"/>
            </w:pPr>
            <w:r>
              <w:t xml:space="preserve">0</w:t>
            </w:r>
          </w:p>
        </w:tc>
        <w:tc>
          <w:tcPr/>
          <w:p>
            <w:pPr>
              <w:pStyle w:val="Compact"/>
              <w:jc w:val="right"/>
            </w:pPr>
            <w:r>
              <w:t xml:space="preserve">1.23 Mt</w:t>
            </w:r>
          </w:p>
        </w:tc>
        <w:tc>
          <w:tcPr/>
          <w:p>
            <w:pPr>
              <w:pStyle w:val="Compact"/>
              <w:jc w:val="right"/>
            </w:pPr>
            <w:r>
              <w:t xml:space="preserve">4.53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UB-Bayswater flat (upper bound)</w:t>
            </w:r>
          </w:p>
        </w:tc>
        <w:tc>
          <w:tcPr/>
          <w:p>
            <w:pPr>
              <w:pStyle w:val="Compact"/>
              <w:jc w:val="right"/>
            </w:pPr>
            <w:r>
              <w:t xml:space="preserve">990</w:t>
            </w:r>
          </w:p>
        </w:tc>
        <w:tc>
          <w:tcPr/>
          <w:p>
            <w:pPr>
              <w:pStyle w:val="Compact"/>
              <w:jc w:val="right"/>
            </w:pPr>
            <w:r>
              <w:t xml:space="preserve">0</w:t>
            </w:r>
          </w:p>
        </w:tc>
        <w:tc>
          <w:tcPr/>
          <w:p>
            <w:pPr>
              <w:pStyle w:val="Compact"/>
              <w:jc w:val="right"/>
            </w:pPr>
            <w:r>
              <w:t xml:space="preserve">25.65 Mt</w:t>
            </w:r>
          </w:p>
        </w:tc>
        <w:tc>
          <w:tcPr/>
          <w:p>
            <w:pPr>
              <w:pStyle w:val="Compact"/>
              <w:jc w:val="right"/>
            </w:pPr>
            <w:r>
              <w:t xml:space="preserve">139.90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UB-coal-LCA flat (upper bound)</w:t>
            </w:r>
          </w:p>
        </w:tc>
        <w:tc>
          <w:tcPr/>
          <w:p>
            <w:pPr>
              <w:pStyle w:val="Compact"/>
              <w:jc w:val="right"/>
            </w:pPr>
            <w:r>
              <w:t xml:space="preserve">1,000</w:t>
            </w:r>
          </w:p>
        </w:tc>
        <w:tc>
          <w:tcPr/>
          <w:p>
            <w:pPr>
              <w:pStyle w:val="Compact"/>
              <w:jc w:val="right"/>
            </w:pPr>
            <w:r>
              <w:t xml:space="preserve">0</w:t>
            </w:r>
          </w:p>
        </w:tc>
        <w:tc>
          <w:tcPr/>
          <w:p>
            <w:pPr>
              <w:pStyle w:val="Compact"/>
              <w:jc w:val="right"/>
            </w:pPr>
            <w:r>
              <w:t xml:space="preserve">25.91 Mt</w:t>
            </w:r>
          </w:p>
        </w:tc>
        <w:tc>
          <w:tcPr/>
          <w:p>
            <w:pPr>
              <w:pStyle w:val="Compact"/>
              <w:jc w:val="right"/>
            </w:pPr>
            <w:r>
              <w:t xml:space="preserve">141.32 Mt</w:t>
            </w:r>
          </w:p>
        </w:tc>
      </w:tr>
    </w:tbl>
    <w:p>
      <w:pPr>
        <w:pStyle w:val="BodyText"/>
      </w:pPr>
      <w:r>
        <w:rPr>
          <w:iCs/>
          <w:i/>
        </w:rPr>
        <w:t xml:space="preserve">Table B18. All four Darlington units (Unit 1 from 2030; Units 2–4 from 2035).</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§4 [inputs TO VERIFY].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Grid case</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ON-avg-traj</w:t>
            </w:r>
          </w:p>
        </w:tc>
        <w:tc>
          <w:tcPr/>
          <w:p>
            <w:pPr>
              <w:pStyle w:val="Compact"/>
              <w:jc w:val="right"/>
            </w:pPr>
            <w:r>
              <w:t xml:space="preserve">751 kt</w:t>
            </w:r>
          </w:p>
        </w:tc>
        <w:tc>
          <w:tcPr/>
          <w:p>
            <w:pPr>
              <w:pStyle w:val="Compact"/>
              <w:jc w:val="right"/>
            </w:pPr>
            <w:r>
              <w:t xml:space="preserve">2.63 Mt</w:t>
            </w:r>
          </w:p>
        </w:tc>
        <w:tc>
          <w:tcPr/>
          <w:p>
            <w:pPr>
              <w:pStyle w:val="Compact"/>
              <w:jc w:val="right"/>
            </w:pPr>
            <w:r>
              <w:t xml:space="preserve">7.00 Mt</w:t>
            </w:r>
          </w:p>
        </w:tc>
      </w:tr>
      <w:tr>
        <w:tc>
          <w:tcPr/>
          <w:p>
            <w:pPr>
              <w:pStyle w:val="Compact"/>
              <w:jc w:val="left"/>
            </w:pPr>
            <w:r>
              <w:t xml:space="preserve">ON-avg-flat</w:t>
            </w:r>
          </w:p>
        </w:tc>
        <w:tc>
          <w:tcPr/>
          <w:p>
            <w:pPr>
              <w:pStyle w:val="Compact"/>
              <w:jc w:val="right"/>
            </w:pPr>
            <w:r>
              <w:t xml:space="preserve">1.48 Mt</w:t>
            </w:r>
          </w:p>
        </w:tc>
        <w:tc>
          <w:tcPr/>
          <w:p>
            <w:pPr>
              <w:pStyle w:val="Compact"/>
              <w:jc w:val="right"/>
            </w:pPr>
            <w:r>
              <w:t xml:space="preserve">11.36 Mt</w:t>
            </w:r>
          </w:p>
        </w:tc>
        <w:tc>
          <w:tcPr/>
          <w:p>
            <w:pPr>
              <w:pStyle w:val="Compact"/>
              <w:jc w:val="right"/>
            </w:pPr>
            <w:r>
              <w:t xml:space="preserve">39.51 Mt</w:t>
            </w:r>
          </w:p>
        </w:tc>
      </w:tr>
      <w:tr>
        <w:tc>
          <w:tcPr/>
          <w:p>
            <w:pPr>
              <w:pStyle w:val="Compact"/>
              <w:jc w:val="left"/>
            </w:pPr>
            <w:r>
              <w:t xml:space="preserve">ON-marginal-declining</w:t>
            </w:r>
          </w:p>
        </w:tc>
        <w:tc>
          <w:tcPr/>
          <w:p>
            <w:pPr>
              <w:pStyle w:val="Compact"/>
              <w:jc w:val="right"/>
            </w:pPr>
            <w:r>
              <w:t xml:space="preserve">4.71 Mt</w:t>
            </w:r>
          </w:p>
        </w:tc>
        <w:tc>
          <w:tcPr/>
          <w:p>
            <w:pPr>
              <w:pStyle w:val="Compact"/>
              <w:jc w:val="right"/>
            </w:pPr>
            <w:r>
              <w:t xml:space="preserve">18.77 Mt</w:t>
            </w:r>
          </w:p>
        </w:tc>
        <w:tc>
          <w:tcPr/>
          <w:p>
            <w:pPr>
              <w:pStyle w:val="Compact"/>
              <w:jc w:val="right"/>
            </w:pPr>
            <w:r>
              <w:t xml:space="preserve">23.14 Mt</w:t>
            </w:r>
          </w:p>
        </w:tc>
      </w:tr>
      <w:tr>
        <w:tc>
          <w:tcPr/>
          <w:p>
            <w:pPr>
              <w:pStyle w:val="Compact"/>
              <w:jc w:val="left"/>
            </w:pPr>
            <w:r>
              <w:t xml:space="preserve">ON-marginal-flat (upper bound)</w:t>
            </w:r>
          </w:p>
        </w:tc>
        <w:tc>
          <w:tcPr/>
          <w:p>
            <w:pPr>
              <w:pStyle w:val="Compact"/>
              <w:jc w:val="right"/>
            </w:pPr>
            <w:r>
              <w:t xml:space="preserve">7.21 Mt</w:t>
            </w:r>
          </w:p>
        </w:tc>
        <w:tc>
          <w:tcPr/>
          <w:p>
            <w:pPr>
              <w:pStyle w:val="Compact"/>
              <w:jc w:val="right"/>
            </w:pPr>
            <w:r>
              <w:t xml:space="preserve">55.29 Mt</w:t>
            </w:r>
          </w:p>
        </w:tc>
        <w:tc>
          <w:tcPr/>
          <w:p>
            <w:pPr>
              <w:pStyle w:val="Compact"/>
              <w:jc w:val="right"/>
            </w:pPr>
            <w:r>
              <w:t xml:space="preserve">192.32 Mt</w:t>
            </w:r>
          </w:p>
        </w:tc>
      </w:tr>
    </w:tbl>
    <w:p>
      <w:pPr>
        <w:pStyle w:val="BodyText"/>
      </w:pPr>
      <w:r>
        <w:rPr>
          <w:iCs/>
          <w:i/>
        </w:rPr>
        <w:t xml:space="preserve">Table B19. One-at-a-time sensitivity, Liddell central case (start 2040, NEM-T1). Central: 671 kt to 2050; 3.66 Mt over the whole life.</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§5 [inputs TO VERIFY].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Range</w:t>
            </w:r>
          </w:p>
        </w:tc>
        <w:tc>
          <w:tcPr/>
          <w:p>
            <w:pPr>
              <w:pStyle w:val="Compact"/>
              <w:jc w:val="left"/>
            </w:pPr>
            <w:r>
              <w:t xml:space="preserve">To 2050 (low → high input)</w:t>
            </w:r>
          </w:p>
        </w:tc>
        <w:tc>
          <w:tcPr/>
          <w:p>
            <w:pPr>
              <w:pStyle w:val="Compact"/>
              <w:jc w:val="left"/>
            </w:pPr>
            <w:r>
              <w:t xml:space="preserve">Whole life (low → high input)</w:t>
            </w:r>
          </w:p>
        </w:tc>
      </w:tr>
      <w:tr>
        <w:tc>
          <w:tcPr/>
          <w:p>
            <w:pPr>
              <w:pStyle w:val="Compact"/>
              <w:jc w:val="left"/>
            </w:pPr>
            <w:r>
              <w:t xml:space="preserve">Capacity factor</w:t>
            </w:r>
          </w:p>
        </w:tc>
        <w:tc>
          <w:tcPr/>
          <w:p>
            <w:pPr>
              <w:pStyle w:val="Compact"/>
              <w:jc w:val="left"/>
            </w:pPr>
            <w:r>
              <w:t xml:space="preserve">0.80–0.95</w:t>
            </w:r>
          </w:p>
        </w:tc>
        <w:tc>
          <w:tcPr/>
          <w:p>
            <w:pPr>
              <w:pStyle w:val="Compact"/>
              <w:jc w:val="left"/>
            </w:pPr>
            <w:r>
              <w:t xml:space="preserve">597 → 709 kt</w:t>
            </w:r>
          </w:p>
        </w:tc>
        <w:tc>
          <w:tcPr/>
          <w:p>
            <w:pPr>
              <w:pStyle w:val="Compact"/>
              <w:jc w:val="left"/>
            </w:pPr>
            <w:r>
              <w:t xml:space="preserve">3.25 → 3.86 Mt</w:t>
            </w:r>
          </w:p>
        </w:tc>
      </w:tr>
      <w:tr>
        <w:tc>
          <w:tcPr/>
          <w:p>
            <w:pPr>
              <w:pStyle w:val="Compact"/>
              <w:jc w:val="left"/>
            </w:pPr>
            <w:r>
              <w:t xml:space="preserve">Net output</w:t>
            </w:r>
          </w:p>
        </w:tc>
        <w:tc>
          <w:tcPr/>
          <w:p>
            <w:pPr>
              <w:pStyle w:val="Compact"/>
              <w:jc w:val="left"/>
            </w:pPr>
            <w:r>
              <w:t xml:space="preserve">290–300 MWe (315 MWe, if the OEB filing is right, adds about 5%, proportionally)</w:t>
            </w:r>
          </w:p>
        </w:tc>
        <w:tc>
          <w:tcPr/>
          <w:p>
            <w:pPr>
              <w:pStyle w:val="Compact"/>
              <w:jc w:val="left"/>
            </w:pPr>
            <w:r>
              <w:t xml:space="preserve">649 → 671 kt</w:t>
            </w:r>
          </w:p>
        </w:tc>
        <w:tc>
          <w:tcPr/>
          <w:p>
            <w:pPr>
              <w:pStyle w:val="Compact"/>
              <w:jc w:val="left"/>
            </w:pPr>
            <w:r>
              <w:t xml:space="preserve">3.54 → 3.66 Mt</w:t>
            </w:r>
          </w:p>
        </w:tc>
      </w:tr>
      <w:tr>
        <w:tc>
          <w:tcPr/>
          <w:p>
            <w:pPr>
              <w:pStyle w:val="Compact"/>
              <w:jc w:val="left"/>
            </w:pPr>
            <w:r>
              <w:t xml:space="preserve">SMR life cycle (our 95th → 5th percentile)</w:t>
            </w:r>
          </w:p>
        </w:tc>
        <w:tc>
          <w:tcPr/>
          <w:p>
            <w:pPr>
              <w:pStyle w:val="Compact"/>
              <w:jc w:val="left"/>
            </w:pPr>
            <w:r>
              <w:t xml:space="preserve">5.8–3.0 g/kWh</w:t>
            </w:r>
          </w:p>
        </w:tc>
        <w:tc>
          <w:tcPr/>
          <w:p>
            <w:pPr>
              <w:pStyle w:val="Compact"/>
              <w:jc w:val="left"/>
            </w:pPr>
            <w:r>
              <w:t xml:space="preserve">630 → 702 kt</w:t>
            </w:r>
          </w:p>
        </w:tc>
        <w:tc>
          <w:tcPr/>
          <w:p>
            <w:pPr>
              <w:pStyle w:val="Compact"/>
              <w:jc w:val="left"/>
            </w:pPr>
            <w:r>
              <w:t xml:space="preserve">3.43 → 3.83 Mt</w:t>
            </w:r>
          </w:p>
        </w:tc>
      </w:tr>
      <w:tr>
        <w:tc>
          <w:tcPr/>
          <w:p>
            <w:pPr>
              <w:pStyle w:val="Compact"/>
              <w:jc w:val="left"/>
            </w:pPr>
            <w:r>
              <w:t xml:space="preserve">SMR life cycle, UNECE midpoint instead of ours</w:t>
            </w:r>
          </w:p>
        </w:tc>
        <w:tc>
          <w:tcPr/>
          <w:p>
            <w:pPr>
              <w:pStyle w:val="Compact"/>
              <w:jc w:val="left"/>
            </w:pPr>
            <w:r>
              <w:t xml:space="preserve">5.75 vs 4.2 g/kWh</w:t>
            </w:r>
          </w:p>
        </w:tc>
        <w:tc>
          <w:tcPr/>
          <w:p>
            <w:pPr>
              <w:pStyle w:val="Compact"/>
              <w:jc w:val="left"/>
            </w:pPr>
            <w:r>
              <w:t xml:space="preserve">631 → 671 kt</w:t>
            </w:r>
          </w:p>
        </w:tc>
        <w:tc>
          <w:tcPr/>
          <w:p>
            <w:pPr>
              <w:pStyle w:val="Compact"/>
              <w:jc w:val="left"/>
            </w:pPr>
            <w:r>
              <w:t xml:space="preserve">3.44 → 3.66 Mt</w:t>
            </w:r>
          </w:p>
        </w:tc>
      </w:tr>
      <w:tr>
        <w:tc>
          <w:tcPr/>
          <w:p>
            <w:pPr>
              <w:pStyle w:val="Compact"/>
              <w:jc w:val="left"/>
            </w:pPr>
            <w:r>
              <w:t xml:space="preserve">SMR life cycle, stress (IPCC lead, unconfirmed)</w:t>
            </w:r>
          </w:p>
        </w:tc>
        <w:tc>
          <w:tcPr/>
          <w:p>
            <w:pPr>
              <w:pStyle w:val="Compact"/>
              <w:jc w:val="left"/>
            </w:pPr>
            <w:r>
              <w:t xml:space="preserve">110–12 g/kWh</w:t>
            </w:r>
          </w:p>
        </w:tc>
        <w:tc>
          <w:tcPr/>
          <w:p>
            <w:pPr>
              <w:pStyle w:val="Compact"/>
              <w:jc w:val="left"/>
            </w:pPr>
            <w:r>
              <w:t xml:space="preserve">−2.08 Mt → 468 kt</w:t>
            </w:r>
          </w:p>
        </w:tc>
        <w:tc>
          <w:tcPr/>
          <w:p>
            <w:pPr>
              <w:pStyle w:val="Compact"/>
              <w:jc w:val="left"/>
            </w:pPr>
            <w:r>
              <w:t xml:space="preserve">−11.35 → 2.55 Mt</w:t>
            </w:r>
          </w:p>
        </w:tc>
      </w:tr>
      <w:tr>
        <w:tc>
          <w:tcPr/>
          <w:p>
            <w:pPr>
              <w:pStyle w:val="Compact"/>
              <w:jc w:val="left"/>
            </w:pPr>
            <w:r>
              <w:t xml:space="preserve">NEM floor after coal exit</w:t>
            </w:r>
          </w:p>
        </w:tc>
        <w:tc>
          <w:tcPr/>
          <w:p>
            <w:pPr>
              <w:pStyle w:val="Compact"/>
              <w:jc w:val="left"/>
            </w:pPr>
            <w:r>
              <w:t xml:space="preserve">0–80 g/kWh</w:t>
            </w:r>
          </w:p>
        </w:tc>
        <w:tc>
          <w:tcPr/>
          <w:p>
            <w:pPr>
              <w:pStyle w:val="Compact"/>
              <w:jc w:val="left"/>
            </w:pPr>
            <w:r>
              <w:t xml:space="preserve">−109 kt → 1.97 Mt</w:t>
            </w:r>
          </w:p>
        </w:tc>
        <w:tc>
          <w:tcPr/>
          <w:p>
            <w:pPr>
              <w:pStyle w:val="Compact"/>
              <w:jc w:val="left"/>
            </w:pPr>
            <w:r>
              <w:t xml:space="preserve">−596 kt → 10.76 Mt</w:t>
            </w:r>
          </w:p>
        </w:tc>
      </w:tr>
      <w:tr>
        <w:tc>
          <w:tcPr/>
          <w:p>
            <w:pPr>
              <w:pStyle w:val="Compact"/>
              <w:jc w:val="left"/>
            </w:pPr>
            <w:r>
              <w:t xml:space="preserve">Coal exit year (T1)</w:t>
            </w:r>
          </w:p>
        </w:tc>
        <w:tc>
          <w:tcPr/>
          <w:p>
            <w:pPr>
              <w:pStyle w:val="Compact"/>
              <w:jc w:val="left"/>
            </w:pPr>
            <w:r>
              <w:t xml:space="preserve">2035–2045</w:t>
            </w:r>
          </w:p>
        </w:tc>
        <w:tc>
          <w:tcPr/>
          <w:p>
            <w:pPr>
              <w:pStyle w:val="Compact"/>
              <w:jc w:val="left"/>
            </w:pPr>
            <w:r>
              <w:t xml:space="preserve">671 kt → 1.75 Mt</w:t>
            </w:r>
          </w:p>
        </w:tc>
        <w:tc>
          <w:tcPr/>
          <w:p>
            <w:pPr>
              <w:pStyle w:val="Compact"/>
              <w:jc w:val="left"/>
            </w:pPr>
            <w:r>
              <w:t xml:space="preserve">3.66 → 4.74 Mt</w:t>
            </w:r>
          </w:p>
        </w:tc>
      </w:tr>
      <w:tr>
        <w:tc>
          <w:tcPr/>
          <w:p>
            <w:pPr>
              <w:pStyle w:val="Compact"/>
              <w:jc w:val="left"/>
            </w:pPr>
            <w:r>
              <w:t xml:space="preserve">Design life</w:t>
            </w:r>
          </w:p>
        </w:tc>
        <w:tc>
          <w:tcPr/>
          <w:p>
            <w:pPr>
              <w:pStyle w:val="Compact"/>
              <w:jc w:val="left"/>
            </w:pPr>
            <w:r>
              <w:t xml:space="preserve">40–80 years</w:t>
            </w:r>
          </w:p>
        </w:tc>
        <w:tc>
          <w:tcPr/>
          <w:p>
            <w:pPr>
              <w:pStyle w:val="Compact"/>
              <w:jc w:val="left"/>
            </w:pPr>
            <w:r>
              <w:t xml:space="preserve">671 → 671 kt</w:t>
            </w:r>
          </w:p>
        </w:tc>
        <w:tc>
          <w:tcPr/>
          <w:p>
            <w:pPr>
              <w:pStyle w:val="Compact"/>
              <w:jc w:val="left"/>
            </w:pPr>
            <w:r>
              <w:t xml:space="preserve">2.44 → 4.88 Mt</w:t>
            </w:r>
          </w:p>
        </w:tc>
      </w:tr>
      <w:tr>
        <w:tc>
          <w:tcPr/>
          <w:p>
            <w:pPr>
              <w:pStyle w:val="Compact"/>
              <w:jc w:val="left"/>
            </w:pPr>
            <w:r>
              <w:t xml:space="preserve">Start year</w:t>
            </w:r>
          </w:p>
        </w:tc>
        <w:tc>
          <w:tcPr/>
          <w:p>
            <w:pPr>
              <w:pStyle w:val="Compact"/>
              <w:jc w:val="left"/>
            </w:pPr>
            <w:r>
              <w:t xml:space="preserve">2035–2045</w:t>
            </w:r>
          </w:p>
        </w:tc>
        <w:tc>
          <w:tcPr/>
          <w:p>
            <w:pPr>
              <w:pStyle w:val="Compact"/>
              <w:jc w:val="left"/>
            </w:pPr>
            <w:r>
              <w:t xml:space="preserve">1.64 Mt → 366 kt</w:t>
            </w:r>
          </w:p>
        </w:tc>
        <w:tc>
          <w:tcPr/>
          <w:p>
            <w:pPr>
              <w:pStyle w:val="Compact"/>
              <w:jc w:val="left"/>
            </w:pPr>
            <w:r>
              <w:t xml:space="preserve">4.33 → 3.66 Mt</w:t>
            </w:r>
          </w:p>
        </w:tc>
      </w:tr>
      <w:tr>
        <w:tc>
          <w:tcPr/>
          <w:p>
            <w:pPr>
              <w:pStyle w:val="Compact"/>
              <w:jc w:val="left"/>
            </w:pPr>
            <w:r>
              <w:t xml:space="preserve">Grid trajectory</w:t>
            </w:r>
          </w:p>
        </w:tc>
        <w:tc>
          <w:tcPr/>
          <w:p>
            <w:pPr>
              <w:pStyle w:val="Compact"/>
              <w:jc w:val="left"/>
            </w:pPr>
            <w:r>
              <w:t xml:space="preserve">T1 → T0 (frozen)</w:t>
            </w:r>
          </w:p>
        </w:tc>
        <w:tc>
          <w:tcPr/>
          <w:p>
            <w:pPr>
              <w:pStyle w:val="Compact"/>
              <w:jc w:val="left"/>
            </w:pPr>
            <w:r>
              <w:t xml:space="preserve">671 kt → 16.54 Mt</w:t>
            </w:r>
          </w:p>
        </w:tc>
        <w:tc>
          <w:tcPr/>
          <w:p>
            <w:pPr>
              <w:pStyle w:val="Compact"/>
              <w:jc w:val="left"/>
            </w:pPr>
            <w:r>
              <w:t xml:space="preserve">3.66 → 90.23 Mt</w:t>
            </w:r>
          </w:p>
        </w:tc>
      </w:tr>
    </w:tbl>
    <w:p>
      <w:pPr>
        <w:pStyle w:val="BodyText"/>
      </w:pPr>
      <w:r>
        <w:t xml:space="preserve">Reading:</w:t>
      </w:r>
      <w:r>
        <w:t xml:space="preserve"> </w:t>
      </w:r>
      <w:r>
        <w:t xml:space="preserve">-</w:t>
      </w:r>
      <w:r>
        <w:t xml:space="preserve"> </w:t>
      </w:r>
      <w:r>
        <w:rPr>
          <w:bCs/>
          <w:b/>
        </w:rPr>
        <w:t xml:space="preserve">Order-of-magnitude drivers.</w:t>
      </w:r>
      <w:r>
        <w:t xml:space="preserve"> </w:t>
      </w:r>
      <w:r>
        <w:t xml:space="preserve">The grid trajectory, the start year and the post-coal floor each move the result by an order of magnitude. Under T1 the SMR spends its whole life displacing the residual mix, so the floor is in effect the displaced intensity.</w:t>
      </w:r>
      <w:r>
        <w:t xml:space="preserve"> </w:t>
      </w:r>
      <w:r>
        <w:t xml:space="preserve">-</w:t>
      </w:r>
      <w:r>
        <w:t xml:space="preserve"> </w:t>
      </w:r>
      <w:r>
        <w:rPr>
          <w:bCs/>
          <w:b/>
        </w:rPr>
        <w:t xml:space="preserve">Minor drivers.</w:t>
      </w:r>
      <w:r>
        <w:t xml:space="preserve"> </w:t>
      </w:r>
      <w:r>
        <w:t xml:space="preserve">Capacity factor, net output and our life-cycle interval move it by a few per cent.</w:t>
      </w:r>
      <w:r>
        <w:t xml:space="preserve"> </w:t>
      </w:r>
      <w:r>
        <w:t xml:space="preserve">-</w:t>
      </w:r>
      <w:r>
        <w:t xml:space="preserve"> </w:t>
      </w:r>
      <w:r>
        <w:rPr>
          <w:bCs/>
          <w:b/>
        </w:rPr>
        <w:t xml:space="preserve">When the SMR’s own value matters.</w:t>
      </w:r>
      <w:r>
        <w:t xml:space="preserve"> </w:t>
      </w:r>
      <w:r>
        <w:t xml:space="preserve">Only in the 110 g/kWh stress case, or on a near-zero floor, where the result turns negative.</w:t>
      </w:r>
    </w:p>
    <w:bookmarkEnd w:id="76"/>
    <w:bookmarkStart w:id="77" w:name="b4.3-limitations"/>
    <w:p>
      <w:pPr>
        <w:pStyle w:val="Heading4"/>
      </w:pPr>
      <w:r>
        <w:t xml:space="preserve">B4.3 Limitations</w:t>
      </w:r>
    </w:p>
    <w:p>
      <w:pPr>
        <w:numPr>
          <w:ilvl w:val="0"/>
          <w:numId w:val="1007"/>
        </w:numPr>
        <w:pStyle w:val="Compact"/>
      </w:pPr>
      <w:r>
        <w:rPr>
          <w:bCs/>
          <w:b/>
        </w:rPr>
        <w:t xml:space="preserve">Boundary mismatch.</w:t>
      </w:r>
      <w:r>
        <w:t xml:space="preserve"> </w:t>
      </w:r>
      <w:r>
        <w:t xml:space="preserve">The grid factors (NGA scope 2, TAF, CER) count combustion at the power station only, while the SMR value is life cycle, so displacement is slightly understated. The UNECE coal row gives the boundary-consistent upper bound.</w:t>
      </w:r>
    </w:p>
    <w:p>
      <w:pPr>
        <w:numPr>
          <w:ilvl w:val="0"/>
          <w:numId w:val="1007"/>
        </w:numPr>
        <w:pStyle w:val="Compact"/>
      </w:pPr>
      <w:r>
        <w:rPr>
          <w:bCs/>
          <w:b/>
        </w:rPr>
        <w:t xml:space="preserve">Average vs marginal.</w:t>
      </w:r>
      <w:r>
        <w:t xml:space="preserve"> </w:t>
      </w:r>
      <w:r>
        <w:t xml:space="preserve">A new baseload unit displaces what is on the margin when it runs. In Ontario that is mostly gas, so the marginal factor is the better short-run estimate. Over a 60-year life the margin decarbonises, which makes the flat-marginal case an upper bound.</w:t>
      </w:r>
    </w:p>
    <w:p>
      <w:pPr>
        <w:numPr>
          <w:ilvl w:val="0"/>
          <w:numId w:val="1007"/>
        </w:numPr>
        <w:pStyle w:val="Compact"/>
      </w:pPr>
      <w:r>
        <w:rPr>
          <w:bCs/>
          <w:b/>
        </w:rPr>
        <w:t xml:space="preserve">Counterfactual.</w:t>
      </w:r>
      <w:r>
        <w:t xml:space="preserve"> </w:t>
      </w:r>
      <w:r>
        <w:t xml:space="preserve">In both grids the real alternative is other new supply, not today’s grid forever (B6).</w:t>
      </w:r>
    </w:p>
    <w:p>
      <w:pPr>
        <w:numPr>
          <w:ilvl w:val="0"/>
          <w:numId w:val="1007"/>
        </w:numPr>
        <w:pStyle w:val="Compact"/>
      </w:pPr>
      <w:r>
        <w:rPr>
          <w:bCs/>
          <w:b/>
        </w:rPr>
        <w:t xml:space="preserve">Liddell closed in April 2023</w:t>
      </w:r>
      <w:r>
        <w:t xml:space="preserve"> </w:t>
      </w:r>
      <w:r>
        <w:t xml:space="preserve">(Australian Energy Regulator, 2021) [TO VERIFY closure date]. An SMR on the site displaces the NEM mix, so Bayswater is an upper bound only, and Bayswater’s own closure date is [TODO: AGL].</w:t>
      </w:r>
    </w:p>
    <w:p>
      <w:pPr>
        <w:numPr>
          <w:ilvl w:val="0"/>
          <w:numId w:val="1007"/>
        </w:numPr>
        <w:pStyle w:val="Compact"/>
      </w:pPr>
      <w:r>
        <w:rPr>
          <w:bCs/>
          <w:b/>
        </w:rPr>
        <w:t xml:space="preserve">Placeholders.</w:t>
      </w:r>
      <w:r>
        <w:t xml:space="preserve"> </w:t>
      </w:r>
      <w:r>
        <w:t xml:space="preserve">Net output, capacity factor, design life and start years await Leroy’s sourced data.</w:t>
      </w:r>
    </w:p>
    <w:p>
      <w:r>
        <w:pict>
          <v:rect style="width:0;height:1.5pt" o:hralign="center" o:hrstd="t" o:hr="t"/>
        </w:pict>
      </w:r>
    </w:p>
    <w:bookmarkEnd w:id="77"/>
    <w:bookmarkEnd w:id="78"/>
    <w:bookmarkStart w:id="84" w:name="X66860b851f2e133f81978e30598e738689cf6de"/>
    <w:p>
      <w:pPr>
        <w:pStyle w:val="Heading3"/>
      </w:pPr>
      <w:r>
        <w:t xml:space="preserve">B5. Value of schedule: the CO₂e and dollar cost of delay, and C1’s break-even</w:t>
      </w:r>
    </w:p>
    <w:p>
      <w:pPr>
        <w:pStyle w:val="FirstParagraph"/>
      </w:pPr>
      <w:r>
        <w:rPr>
          <w:bCs/>
          <w:b/>
        </w:rPr>
        <w:t xml:space="preserve">Result.</w:t>
      </w:r>
      <w:r>
        <w:t xml:space="preserve"> </w:t>
      </w:r>
      <w:r>
        <w:t xml:space="preserve">On Ontario’s average factor, C1’s per-unit saving (1,734 t) is cancelled by</w:t>
      </w:r>
      <w:r>
        <w:t xml:space="preserve"> </w:t>
      </w:r>
      <w:r>
        <w:rPr>
          <w:bCs/>
          <w:b/>
        </w:rPr>
        <w:t xml:space="preserve">9.2–14.6 days</w:t>
      </w:r>
      <w:r>
        <w:t xml:space="preserve"> </w:t>
      </w:r>
      <w:r>
        <w:t xml:space="preserve">of delay to that unit (gross–net). On the marginal factor it is cancelled by</w:t>
      </w:r>
      <w:r>
        <w:t xml:space="preserve"> </w:t>
      </w:r>
      <w:r>
        <w:rPr>
          <w:bCs/>
          <w:b/>
        </w:rPr>
        <w:t xml:space="preserve">1.3–1.4 days</w:t>
      </w:r>
      <w:r>
        <w:t xml:space="preserve">. Even all of Units 2–4’s saving (5,201 t) is cancelled by 28–44 days (average) or 4.0–4.2 days (marginal) of delay to a single unit. In money, a one-month slip of Units 2–4 costs</w:t>
      </w:r>
      <w:r>
        <w:t xml:space="preserve"> </w:t>
      </w:r>
      <w:r>
        <w:rPr>
          <w:bCs/>
          <w:b/>
        </w:rPr>
        <w:t xml:space="preserve">30–223 times</w:t>
      </w:r>
      <w:r>
        <w:t xml:space="preserve"> </w:t>
      </w:r>
      <w:r>
        <w:t xml:space="preserve">C1’s carbon value. Script:</w:t>
      </w:r>
      <w:r>
        <w:t xml:space="preserve"> </w:t>
      </w:r>
      <w:r>
        <w:rPr>
          <w:rStyle w:val="VerbatimChar"/>
        </w:rPr>
        <w:t xml:space="preserve">python3 -I 03_LCA_Calculations/scripts/schedule_value.py</w:t>
      </w:r>
      <w:r>
        <w:t xml:space="preserve">, with output in</w:t>
      </w:r>
      <w:r>
        <w:t xml:space="preserve"> </w:t>
      </w:r>
      <w:r>
        <w:rPr>
          <w:rStyle w:val="VerbatimChar"/>
        </w:rPr>
        <w:t xml:space="preserve">results/schedule_value.md</w:t>
      </w:r>
      <w:r>
        <w:t xml:space="preserve">. The carrying-cost and deferred-output inputs are read from</w:t>
      </w:r>
      <w:r>
        <w:t xml:space="preserve"> </w:t>
      </w:r>
      <w:r>
        <w:rPr>
          <w:rStyle w:val="VerbatimChar"/>
        </w:rPr>
        <w:t xml:space="preserve">parameters_run5.yaml</w:t>
      </w:r>
      <w:r>
        <w:t xml:space="preserve">.</w:t>
      </w:r>
    </w:p>
    <w:bookmarkStart w:id="79" w:name="b5.1-method"/>
    <w:p>
      <w:pPr>
        <w:pStyle w:val="Heading4"/>
      </w:pPr>
      <w:r>
        <w:t xml:space="preserve">B5.1 Method</w:t>
      </w:r>
    </w:p>
    <w:p>
      <w:pPr>
        <w:numPr>
          <w:ilvl w:val="0"/>
          <w:numId w:val="1008"/>
        </w:numPr>
        <w:pStyle w:val="Compact"/>
      </w:pPr>
      <w:r>
        <w:t xml:space="preserve">Output of one unit: monthly M = E / 12 = 197,100,000 kWh; daily D = E / 365 = 6,480,000 kWh.</w:t>
      </w:r>
    </w:p>
    <w:p>
      <w:pPr>
        <w:numPr>
          <w:ilvl w:val="0"/>
          <w:numId w:val="1008"/>
        </w:numPr>
        <w:pStyle w:val="Compact"/>
      </w:pPr>
      <w:r>
        <w:rPr>
          <w:bCs/>
          <w:b/>
        </w:rPr>
        <w:t xml:space="preserve">Gross loss</w:t>
      </w:r>
      <w:r>
        <w:t xml:space="preserve"> </w:t>
      </w:r>
      <w:r>
        <w:t xml:space="preserve">per month of delay = M × (EF_grid(start) − EF_SMR) / 10⁶ t. This is the displacement that does not happen while the plant is late, and it matches carbon budgets to 2035 or 2050.</w:t>
      </w:r>
    </w:p>
    <w:p>
      <w:pPr>
        <w:numPr>
          <w:ilvl w:val="0"/>
          <w:numId w:val="1008"/>
        </w:numPr>
        <w:pStyle w:val="Compact"/>
      </w:pPr>
      <w:r>
        <w:rPr>
          <w:bCs/>
          <w:b/>
        </w:rPr>
        <w:t xml:space="preserve">Net loss</w:t>
      </w:r>
      <w:r>
        <w:t xml:space="preserve"> </w:t>
      </w:r>
      <w:r>
        <w:t xml:space="preserve">per month = M × (EF_grid(start) − EF_grid(start + life)) / 10⁶ t. A late plant still runs its full life, so the lost month returns at the end of life, on a cleaner grid. On a flat grid this gives zero by construction, which is an artefact of assuming the grid never changes.</w:t>
      </w:r>
    </w:p>
    <w:p>
      <w:pPr>
        <w:numPr>
          <w:ilvl w:val="0"/>
          <w:numId w:val="1008"/>
        </w:numPr>
        <w:pStyle w:val="Compact"/>
      </w:pPr>
      <w:r>
        <w:rPr>
          <w:bCs/>
          <w:b/>
        </w:rPr>
        <w:t xml:space="preserve">Break-even delay</w:t>
      </w:r>
      <w:r>
        <w:t xml:space="preserve"> </w:t>
      </w:r>
      <w:r>
        <w:t xml:space="preserve">for a saving S (t CO₂e) = S / (loss per day), on both bases.</w:t>
      </w:r>
    </w:p>
    <w:p>
      <w:pPr>
        <w:pStyle w:val="FirstParagraph"/>
      </w:pPr>
      <w:r>
        <w:rPr>
          <w:bCs/>
          <w:b/>
        </w:rPr>
        <w:t xml:space="preserve">Worked example (one of Units 2–4, start 2035, ON-avg-traj).</w:t>
      </w:r>
      <w:r>
        <w:t xml:space="preserve"> </w:t>
      </w:r>
      <w:r>
        <w:t xml:space="preserve">1. Grid factor in 2035: EF(2035) = 73.8 − (73.8 − 15) × 11/16 = 33.4 g/kWh.</w:t>
      </w:r>
      <w:r>
        <w:t xml:space="preserve"> </w:t>
      </w:r>
      <w:r>
        <w:t xml:space="preserve">2. Gross loss: 6,480,000 × (33.4 − 4.2) / 10⁶ =</w:t>
      </w:r>
      <w:r>
        <w:t xml:space="preserve"> </w:t>
      </w:r>
      <w:r>
        <w:rPr>
          <w:bCs/>
          <w:b/>
        </w:rPr>
        <w:t xml:space="preserve">189 t a day</w:t>
      </w:r>
      <w:r>
        <w:t xml:space="preserve">, so the break-even is 1,734 / 189 =</w:t>
      </w:r>
      <w:r>
        <w:t xml:space="preserve"> </w:t>
      </w:r>
      <w:r>
        <w:rPr>
          <w:bCs/>
          <w:b/>
        </w:rPr>
        <w:t xml:space="preserve">9.2 days</w:t>
      </w:r>
      <w:r>
        <w:t xml:space="preserve">.</w:t>
      </w:r>
      <w:r>
        <w:t xml:space="preserve"> </w:t>
      </w:r>
      <w:r>
        <w:t xml:space="preserve">3. Net loss: 6,480,000 × (33.4 − 15) / 10⁶ =</w:t>
      </w:r>
      <w:r>
        <w:t xml:space="preserve"> </w:t>
      </w:r>
      <w:r>
        <w:rPr>
          <w:bCs/>
          <w:b/>
        </w:rPr>
        <w:t xml:space="preserve">119 t a day</w:t>
      </w:r>
      <w:r>
        <w:t xml:space="preserve">, so the break-even is 1,734 / 119 =</w:t>
      </w:r>
      <w:r>
        <w:t xml:space="preserve"> </w:t>
      </w:r>
      <w:r>
        <w:rPr>
          <w:bCs/>
          <w:b/>
        </w:rPr>
        <w:t xml:space="preserve">14.6 days</w:t>
      </w:r>
      <w:r>
        <w:t xml:space="preserve">.</w:t>
      </w:r>
    </w:p>
    <w:p>
      <w:pPr>
        <w:pStyle w:val="BodyText"/>
      </w:pPr>
      <w:r>
        <w:rPr>
          <w:bCs/>
          <w:b/>
        </w:rPr>
        <w:t xml:space="preserve">Marginal case.</w:t>
      </w:r>
      <w:r>
        <w:t xml:space="preserve"> </w:t>
      </w:r>
      <w:r>
        <w:t xml:space="preserve">EF(2035) = 343 − (343 − 15) × 11/26 = 204.2 g/kWh. The gross loss is 6,480,000 × 200.0 / 10⁶ = 1,296 t a day, so the break-even is 1,734 / 1,296 =</w:t>
      </w:r>
      <w:r>
        <w:t xml:space="preserve"> </w:t>
      </w:r>
      <w:r>
        <w:rPr>
          <w:bCs/>
          <w:b/>
        </w:rPr>
        <w:t xml:space="preserve">1.3 days</w:t>
      </w:r>
      <w:r>
        <w:t xml:space="preserve">.</w:t>
      </w:r>
    </w:p>
    <w:bookmarkEnd w:id="79"/>
    <w:bookmarkStart w:id="80" w:name="b5.2-co₂e-lost-per-month-of-delay"/>
    <w:p>
      <w:pPr>
        <w:pStyle w:val="Heading4"/>
      </w:pPr>
      <w:r>
        <w:t xml:space="preserve">B5.2 CO₂e lost per month of delay</w:t>
      </w:r>
    </w:p>
    <w:p>
      <w:pPr>
        <w:pStyle w:val="FirstParagraph"/>
      </w:pPr>
      <w:r>
        <w:rPr>
          <w:iCs/>
          <w:i/>
        </w:rPr>
        <w:t xml:space="preserve">Table B20. CO₂e lost per month of delay, one unit (Figure F6 inset data).</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§2 [inputs TO VERIFY].</w:t>
      </w:r>
      <w:r>
        <w:rPr>
          <w:iCs/>
          <w:i/>
        </w:rPr>
        <w:t xml:space="preserve"> </w:t>
      </w:r>
      <w:r>
        <w:rPr>
          <w:iCs/>
          <w:i/>
        </w:rPr>
        <w:t xml:space="preserve">“</w:t>
      </w:r>
      <w:r>
        <w:rPr>
          <w:iCs/>
          <w:i/>
        </w:rPr>
        <w:t xml:space="preserve">None</w:t>
      </w:r>
      <w:r>
        <w:rPr>
          <w:iCs/>
          <w:i/>
        </w:rPr>
        <w:t xml:space="preserve">”</w:t>
      </w:r>
      <w:r>
        <w:rPr>
          <w:iCs/>
          <w:i/>
        </w:rPr>
        <w:t xml:space="preserve"> </w:t>
      </w:r>
      <w:r>
        <w:rPr>
          <w:iCs/>
          <w:i/>
        </w:rPr>
        <w:t xml:space="preserve">= flat grid, so the month is recovered at the end of life.</w:t>
      </w:r>
    </w:p>
    <w:tbl>
      <w:tblPr>
        <w:tblStyle w:val="Table"/>
        <w:tblW w:type="pct" w:w="5000"/>
        <w:tblLook w:firstRow="1" w:lastRow="0" w:firstColumn="0" w:lastColumn="0" w:noHBand="0" w:noVBand="0" w:val="0020"/>
        <w:jc w:val="start"/>
      </w:tblPr>
      <w:tblGrid>
        <w:gridCol w:w="950"/>
        <w:gridCol w:w="950"/>
        <w:gridCol w:w="1267"/>
        <w:gridCol w:w="1267"/>
        <w:gridCol w:w="1267"/>
        <w:gridCol w:w="1267"/>
        <w:gridCol w:w="950"/>
      </w:tblGrid>
      <w:tr>
        <w:trPr>
          <w:tblHeader w:val="true"/>
        </w:trPr>
        <w:tc>
          <w:tcPr/>
          <w:p>
            <w:pPr>
              <w:pStyle w:val="Compact"/>
              <w:jc w:val="left"/>
            </w:pPr>
            <w:r>
              <w:t xml:space="preserve">Site, start year</w:t>
            </w:r>
          </w:p>
        </w:tc>
        <w:tc>
          <w:tcPr/>
          <w:p>
            <w:pPr>
              <w:pStyle w:val="Compact"/>
              <w:jc w:val="left"/>
            </w:pPr>
            <w:r>
              <w:t xml:space="preserve">Grid case</w:t>
            </w:r>
          </w:p>
        </w:tc>
        <w:tc>
          <w:tcPr/>
          <w:p>
            <w:pPr>
              <w:pStyle w:val="Compact"/>
              <w:jc w:val="right"/>
            </w:pPr>
            <w:r>
              <w:t xml:space="preserve">EF at start (g/kWh)</w:t>
            </w:r>
          </w:p>
        </w:tc>
        <w:tc>
          <w:tcPr/>
          <w:p>
            <w:pPr>
              <w:pStyle w:val="Compact"/>
              <w:jc w:val="right"/>
            </w:pPr>
            <w:r>
              <w:t xml:space="preserve">EF at end of life</w:t>
            </w:r>
          </w:p>
        </w:tc>
        <w:tc>
          <w:tcPr/>
          <w:p>
            <w:pPr>
              <w:pStyle w:val="Compact"/>
              <w:jc w:val="right"/>
            </w:pPr>
            <w:r>
              <w:t xml:space="preserve">Gross t/month</w:t>
            </w:r>
          </w:p>
        </w:tc>
        <w:tc>
          <w:tcPr/>
          <w:p>
            <w:pPr>
              <w:pStyle w:val="Compact"/>
              <w:jc w:val="right"/>
            </w:pPr>
            <w:r>
              <w:t xml:space="preserve">Net t/month</w:t>
            </w:r>
          </w:p>
        </w:tc>
        <w:tc>
          <w:tcPr/>
          <w:p>
            <w:pPr>
              <w:pStyle w:val="Compact"/>
              <w:jc w:val="left"/>
            </w:pPr>
            <w:r>
              <w:t xml:space="preserve">Days to cancel 1 kt (gross / net)</w:t>
            </w:r>
          </w:p>
        </w:tc>
      </w:tr>
      <w:tr>
        <w:tc>
          <w:tcPr/>
          <w:p>
            <w:pPr>
              <w:pStyle w:val="Compact"/>
              <w:jc w:val="left"/>
            </w:pPr>
            <w:r>
              <w:t xml:space="preserve">Darlington Unit 1, 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15</w:t>
            </w:r>
          </w:p>
        </w:tc>
        <w:tc>
          <w:tcPr/>
          <w:p>
            <w:pPr>
              <w:pStyle w:val="Compact"/>
              <w:jc w:val="right"/>
            </w:pPr>
            <w:r>
              <w:t xml:space="preserve">9,372</w:t>
            </w:r>
          </w:p>
        </w:tc>
        <w:tc>
          <w:tcPr/>
          <w:p>
            <w:pPr>
              <w:pStyle w:val="Compact"/>
              <w:jc w:val="right"/>
            </w:pPr>
            <w:r>
              <w:t xml:space="preserve">7,243</w:t>
            </w:r>
          </w:p>
        </w:tc>
        <w:tc>
          <w:tcPr/>
          <w:p>
            <w:pPr>
              <w:pStyle w:val="Compact"/>
              <w:jc w:val="left"/>
            </w:pPr>
            <w:r>
              <w:t xml:space="preserve">3.2 / 4.2</w:t>
            </w:r>
          </w:p>
        </w:tc>
      </w:tr>
      <w:tr>
        <w:tc>
          <w:tcPr/>
          <w:p>
            <w:pPr>
              <w:pStyle w:val="Compact"/>
              <w:jc w:val="left"/>
            </w:pPr>
            <w:r>
              <w:t xml:space="preserve">Darlington Unit 1, 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74</w:t>
            </w:r>
          </w:p>
        </w:tc>
        <w:tc>
          <w:tcPr/>
          <w:p>
            <w:pPr>
              <w:pStyle w:val="Compact"/>
              <w:jc w:val="right"/>
            </w:pPr>
            <w:r>
              <w:t xml:space="preserve">13,718</w:t>
            </w:r>
          </w:p>
        </w:tc>
        <w:tc>
          <w:tcPr/>
          <w:p>
            <w:pPr>
              <w:pStyle w:val="Compact"/>
              <w:jc w:val="right"/>
            </w:pPr>
            <w:r>
              <w:t xml:space="preserve">0</w:t>
            </w:r>
          </w:p>
        </w:tc>
        <w:tc>
          <w:tcPr/>
          <w:p>
            <w:pPr>
              <w:pStyle w:val="Compact"/>
              <w:jc w:val="left"/>
            </w:pPr>
            <w:r>
              <w:t xml:space="preserve">2.2 / none</w:t>
            </w:r>
          </w:p>
        </w:tc>
      </w:tr>
      <w:tr>
        <w:tc>
          <w:tcPr/>
          <w:p>
            <w:pPr>
              <w:pStyle w:val="Compact"/>
              <w:jc w:val="left"/>
            </w:pPr>
            <w:r>
              <w:t xml:space="preserve">Darlington Unit 1, 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15</w:t>
            </w:r>
          </w:p>
        </w:tc>
        <w:tc>
          <w:tcPr/>
          <w:p>
            <w:pPr>
              <w:pStyle w:val="Compact"/>
              <w:jc w:val="right"/>
            </w:pPr>
            <w:r>
              <w:t xml:space="preserve">51,859</w:t>
            </w:r>
          </w:p>
        </w:tc>
        <w:tc>
          <w:tcPr/>
          <w:p>
            <w:pPr>
              <w:pStyle w:val="Compact"/>
              <w:jc w:val="right"/>
            </w:pPr>
            <w:r>
              <w:t xml:space="preserve">49,730</w:t>
            </w:r>
          </w:p>
        </w:tc>
        <w:tc>
          <w:tcPr/>
          <w:p>
            <w:pPr>
              <w:pStyle w:val="Compact"/>
              <w:jc w:val="left"/>
            </w:pPr>
            <w:r>
              <w:t xml:space="preserve">0.6 / 0.6</w:t>
            </w:r>
          </w:p>
        </w:tc>
      </w:tr>
      <w:tr>
        <w:tc>
          <w:tcPr/>
          <w:p>
            <w:pPr>
              <w:pStyle w:val="Compact"/>
              <w:jc w:val="left"/>
            </w:pPr>
            <w:r>
              <w:t xml:space="preserve">Darlington Unit 1, 2030</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Darlington Units 2–4 (each), 2035</w:t>
            </w:r>
          </w:p>
        </w:tc>
        <w:tc>
          <w:tcPr/>
          <w:p>
            <w:pPr>
              <w:pStyle w:val="Compact"/>
              <w:jc w:val="left"/>
            </w:pPr>
            <w:r>
              <w:t xml:space="preserve">ON-avg-traj</w:t>
            </w:r>
          </w:p>
        </w:tc>
        <w:tc>
          <w:tcPr/>
          <w:p>
            <w:pPr>
              <w:pStyle w:val="Compact"/>
              <w:jc w:val="right"/>
            </w:pPr>
            <w:r>
              <w:t xml:space="preserve">33</w:t>
            </w:r>
          </w:p>
        </w:tc>
        <w:tc>
          <w:tcPr/>
          <w:p>
            <w:pPr>
              <w:pStyle w:val="Compact"/>
              <w:jc w:val="right"/>
            </w:pPr>
            <w:r>
              <w:t xml:space="preserve">15</w:t>
            </w:r>
          </w:p>
        </w:tc>
        <w:tc>
          <w:tcPr/>
          <w:p>
            <w:pPr>
              <w:pStyle w:val="Compact"/>
              <w:jc w:val="right"/>
            </w:pPr>
            <w:r>
              <w:t xml:space="preserve">5,750</w:t>
            </w:r>
          </w:p>
        </w:tc>
        <w:tc>
          <w:tcPr/>
          <w:p>
            <w:pPr>
              <w:pStyle w:val="Compact"/>
              <w:jc w:val="right"/>
            </w:pPr>
            <w:r>
              <w:t xml:space="preserve">3,622</w:t>
            </w:r>
          </w:p>
        </w:tc>
        <w:tc>
          <w:tcPr/>
          <w:p>
            <w:pPr>
              <w:pStyle w:val="Compact"/>
              <w:jc w:val="left"/>
            </w:pPr>
            <w:r>
              <w:t xml:space="preserve">5.3 / 8.4</w:t>
            </w:r>
          </w:p>
        </w:tc>
      </w:tr>
      <w:tr>
        <w:tc>
          <w:tcPr/>
          <w:p>
            <w:pPr>
              <w:pStyle w:val="Compact"/>
              <w:jc w:val="left"/>
            </w:pPr>
            <w:r>
              <w:t xml:space="preserve">Darlington Units 2–4 (each), 2035</w:t>
            </w:r>
          </w:p>
        </w:tc>
        <w:tc>
          <w:tcPr/>
          <w:p>
            <w:pPr>
              <w:pStyle w:val="Compact"/>
              <w:jc w:val="left"/>
            </w:pPr>
            <w:r>
              <w:t xml:space="preserve">ON-marginal-declining</w:t>
            </w:r>
          </w:p>
        </w:tc>
        <w:tc>
          <w:tcPr/>
          <w:p>
            <w:pPr>
              <w:pStyle w:val="Compact"/>
              <w:jc w:val="right"/>
            </w:pPr>
            <w:r>
              <w:t xml:space="preserve">204</w:t>
            </w:r>
          </w:p>
        </w:tc>
        <w:tc>
          <w:tcPr/>
          <w:p>
            <w:pPr>
              <w:pStyle w:val="Compact"/>
              <w:jc w:val="right"/>
            </w:pPr>
            <w:r>
              <w:t xml:space="preserve">15</w:t>
            </w:r>
          </w:p>
        </w:tc>
        <w:tc>
          <w:tcPr/>
          <w:p>
            <w:pPr>
              <w:pStyle w:val="Compact"/>
              <w:jc w:val="right"/>
            </w:pPr>
            <w:r>
              <w:t xml:space="preserve">39,426</w:t>
            </w:r>
          </w:p>
        </w:tc>
        <w:tc>
          <w:tcPr/>
          <w:p>
            <w:pPr>
              <w:pStyle w:val="Compact"/>
              <w:jc w:val="right"/>
            </w:pPr>
            <w:r>
              <w:t xml:space="preserve">37,297</w:t>
            </w:r>
          </w:p>
        </w:tc>
        <w:tc>
          <w:tcPr/>
          <w:p>
            <w:pPr>
              <w:pStyle w:val="Compact"/>
              <w:jc w:val="left"/>
            </w:pPr>
            <w:r>
              <w:t xml:space="preserve">0.8 / 0.8</w:t>
            </w:r>
          </w:p>
        </w:tc>
      </w:tr>
      <w:tr>
        <w:tc>
          <w:tcPr/>
          <w:p>
            <w:pPr>
              <w:pStyle w:val="Compact"/>
              <w:jc w:val="left"/>
            </w:pPr>
            <w:r>
              <w:t xml:space="preserve">Darlington Units 2–4 (each), 2035</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Liddell, 2035</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30</w:t>
            </w:r>
          </w:p>
        </w:tc>
        <w:tc>
          <w:tcPr/>
          <w:p>
            <w:pPr>
              <w:pStyle w:val="Compact"/>
              <w:jc w:val="right"/>
            </w:pPr>
            <w:r>
              <w:t xml:space="preserve">32,831</w:t>
            </w:r>
          </w:p>
        </w:tc>
        <w:tc>
          <w:tcPr/>
          <w:p>
            <w:pPr>
              <w:pStyle w:val="Compact"/>
              <w:jc w:val="right"/>
            </w:pPr>
            <w:r>
              <w:t xml:space="preserve">27,746</w:t>
            </w:r>
          </w:p>
        </w:tc>
        <w:tc>
          <w:tcPr/>
          <w:p>
            <w:pPr>
              <w:pStyle w:val="Compact"/>
              <w:jc w:val="left"/>
            </w:pPr>
            <w:r>
              <w:t xml:space="preserve">0.9 / 1.1</w:t>
            </w:r>
          </w:p>
        </w:tc>
      </w:tr>
      <w:tr>
        <w:tc>
          <w:tcPr/>
          <w:p>
            <w:pPr>
              <w:pStyle w:val="Compact"/>
              <w:jc w:val="left"/>
            </w:pPr>
            <w:r>
              <w:t xml:space="preserve">Liddell, 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30</w:t>
            </w:r>
          </w:p>
        </w:tc>
        <w:tc>
          <w:tcPr/>
          <w:p>
            <w:pPr>
              <w:pStyle w:val="Compact"/>
              <w:jc w:val="right"/>
            </w:pPr>
            <w:r>
              <w:t xml:space="preserve">77,224</w:t>
            </w:r>
          </w:p>
        </w:tc>
        <w:tc>
          <w:tcPr/>
          <w:p>
            <w:pPr>
              <w:pStyle w:val="Compact"/>
              <w:jc w:val="right"/>
            </w:pPr>
            <w:r>
              <w:t xml:space="preserve">72,139</w:t>
            </w:r>
          </w:p>
        </w:tc>
        <w:tc>
          <w:tcPr/>
          <w:p>
            <w:pPr>
              <w:pStyle w:val="Compact"/>
              <w:jc w:val="left"/>
            </w:pPr>
            <w:r>
              <w:t xml:space="preserve">0.4 / 0.4</w:t>
            </w:r>
          </w:p>
        </w:tc>
      </w:tr>
      <w:tr>
        <w:tc>
          <w:tcPr/>
          <w:p>
            <w:pPr>
              <w:pStyle w:val="Compact"/>
              <w:jc w:val="left"/>
            </w:pPr>
            <w:r>
              <w:t xml:space="preserve">Liddell, 2040</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5,085</w:t>
            </w:r>
          </w:p>
        </w:tc>
        <w:tc>
          <w:tcPr/>
          <w:p>
            <w:pPr>
              <w:pStyle w:val="Compact"/>
              <w:jc w:val="right"/>
            </w:pPr>
            <w:r>
              <w:t xml:space="preserve">0</w:t>
            </w:r>
          </w:p>
        </w:tc>
        <w:tc>
          <w:tcPr/>
          <w:p>
            <w:pPr>
              <w:pStyle w:val="Compact"/>
              <w:jc w:val="left"/>
            </w:pPr>
            <w:r>
              <w:t xml:space="preserve">6.0 / none</w:t>
            </w:r>
          </w:p>
        </w:tc>
      </w:tr>
      <w:tr>
        <w:tc>
          <w:tcPr/>
          <w:p>
            <w:pPr>
              <w:pStyle w:val="Compact"/>
              <w:jc w:val="left"/>
            </w:pPr>
            <w:r>
              <w:t xml:space="preserve">Liddell, 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30</w:t>
            </w:r>
          </w:p>
        </w:tc>
        <w:tc>
          <w:tcPr/>
          <w:p>
            <w:pPr>
              <w:pStyle w:val="Compact"/>
              <w:jc w:val="right"/>
            </w:pPr>
            <w:r>
              <w:t xml:space="preserve">53,178</w:t>
            </w:r>
          </w:p>
        </w:tc>
        <w:tc>
          <w:tcPr/>
          <w:p>
            <w:pPr>
              <w:pStyle w:val="Compact"/>
              <w:jc w:val="right"/>
            </w:pPr>
            <w:r>
              <w:t xml:space="preserve">48,092</w:t>
            </w:r>
          </w:p>
        </w:tc>
        <w:tc>
          <w:tcPr/>
          <w:p>
            <w:pPr>
              <w:pStyle w:val="Compact"/>
              <w:jc w:val="left"/>
            </w:pPr>
            <w:r>
              <w:t xml:space="preserve">0.6 / 0.6</w:t>
            </w:r>
          </w:p>
        </w:tc>
      </w:tr>
    </w:tbl>
    <w:p>
      <w:pPr>
        <w:pStyle w:val="BodyText"/>
      </w:pPr>
      <w:r>
        <w:t xml:space="preserve">A one-month slip of all three of Units 2–4 loses:</w:t>
      </w:r>
      <w:r>
        <w:t xml:space="preserve"> </w:t>
      </w:r>
      <w:r>
        <w:t xml:space="preserve">- 17,251 t gross / 10,865 t net (ON-avg-traj);</w:t>
      </w:r>
      <w:r>
        <w:t xml:space="preserve"> </w:t>
      </w:r>
      <w:r>
        <w:t xml:space="preserve">- 118,278 / 111,892 t (ON-marginal-declining);</w:t>
      </w:r>
      <w:r>
        <w:t xml:space="preserve"> </w:t>
      </w:r>
      <w:r>
        <w:t xml:space="preserve">- 200,332 / 0 t (ON-marginal-flat).</w:t>
      </w:r>
    </w:p>
    <w:p>
      <w:pPr>
        <w:pStyle w:val="BodyText"/>
      </w:pPr>
      <w:r>
        <w:rPr>
          <w:bCs/>
          <w:b/>
        </w:rPr>
        <w:t xml:space="preserve">Break-even sensitivity</w:t>
      </w:r>
      <w:r>
        <w:t xml:space="preserve"> </w:t>
      </w:r>
      <w:r>
        <w:t xml:space="preserve">(Units 2–4, ON-marginal-declining; central 1,226 t a day net, 0.8 days per kt):</w:t>
      </w:r>
      <w:r>
        <w:t xml:space="preserve"> </w:t>
      </w:r>
      <w:r>
        <w:t xml:space="preserve">- capacity factor 0.80 or 0.95: 0.9 or 0.8 days per kt;</w:t>
      </w:r>
      <w:r>
        <w:t xml:space="preserve"> </w:t>
      </w:r>
      <w:r>
        <w:t xml:space="preserve">- marginal factor 472 g/kWh (gas generation): 0.6 days per kt;</w:t>
      </w:r>
      <w:r>
        <w:t xml:space="preserve"> </w:t>
      </w:r>
      <w:r>
        <w:t xml:space="preserve">- gas off the margin by 2040: 1.5 days per kt; by 2060: 0.7 days per kt (</w:t>
      </w:r>
      <w:r>
        <w:rPr>
          <w:rStyle w:val="VerbatimChar"/>
        </w:rPr>
        <w:t xml:space="preserve">results/schedule_value.md</w:t>
      </w:r>
      <w:r>
        <w:t xml:space="preserve"> </w:t>
      </w:r>
      <w:r>
        <w:t xml:space="preserve">§5).</w:t>
      </w:r>
    </w:p>
    <w:bookmarkEnd w:id="80"/>
    <w:bookmarkStart w:id="81" w:name="b5.3-break-even-delay-for-c1"/>
    <w:p>
      <w:pPr>
        <w:pStyle w:val="Heading4"/>
      </w:pPr>
      <w:r>
        <w:t xml:space="preserve">B5.3 Break-even delay for C1</w:t>
      </w:r>
    </w:p>
    <w:p>
      <w:pPr>
        <w:pStyle w:val="FirstParagraph"/>
      </w:pPr>
      <w:r>
        <w:rPr>
          <w:iCs/>
          <w:i/>
        </w:rPr>
        <w:t xml:space="preserve">Table B21. Days of delay that cancel C1’s LC3 saving (Units 2–4, start 2035).</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§6. Saving 1,734 t per unit (90% interval 1,387–2,153) and 5,201 t for Units 2–4 (4,161–6,458), from</w:t>
      </w:r>
      <w:r>
        <w:rPr>
          <w:iCs/>
          <w:i/>
        </w:rPr>
        <w:t xml:space="preserve"> </w:t>
      </w:r>
      <w:r>
        <w:rPr>
          <w:rStyle w:val="VerbatimChar"/>
          <w:iCs/>
          <w:i/>
        </w:rPr>
        <w:t xml:space="preserve">lca_scenarios.csv</w:t>
      </w:r>
      <w:r>
        <w:rPr>
          <w:iCs/>
          <w:i/>
        </w:rPr>
        <w:t xml:space="preserve"> </w:t>
      </w:r>
      <w:r>
        <w:rPr>
          <w:iCs/>
          <w:i/>
        </w:rPr>
        <w:t xml:space="preserve">and</w:t>
      </w:r>
      <w:r>
        <w:rPr>
          <w:iCs/>
          <w:i/>
        </w:rPr>
        <w:t xml:space="preserve"> </w:t>
      </w:r>
      <w:r>
        <w:rPr>
          <w:rStyle w:val="VerbatimChar"/>
          <w:iCs/>
          <w:i/>
        </w:rPr>
        <w:t xml:space="preserve">lca_montecarlo_summary.csv</w:t>
      </w:r>
      <w:r>
        <w:rPr>
          <w:iCs/>
          <w:i/>
        </w:rPr>
        <w:t xml:space="preserve"> </w:t>
      </w:r>
      <w:r>
        <w:rPr>
          <w:iCs/>
          <w:i/>
        </w:rPr>
        <w:t xml:space="preserve">(§6.3). Brackets give the range over the saving’s interval only.</w:t>
      </w:r>
    </w:p>
    <w:tbl>
      <w:tblPr>
        <w:tblStyle w:val="Table"/>
        <w:tblW w:type="pct" w:w="5000"/>
        <w:tblLook w:firstRow="1" w:lastRow="0" w:firstColumn="0" w:lastColumn="0" w:noHBand="0" w:noVBand="0" w:val="0020"/>
        <w:jc w:val="start"/>
      </w:tblPr>
      <w:tblGrid>
        <w:gridCol w:w="1033"/>
        <w:gridCol w:w="1377"/>
        <w:gridCol w:w="1377"/>
        <w:gridCol w:w="1033"/>
        <w:gridCol w:w="1033"/>
        <w:gridCol w:w="1033"/>
        <w:gridCol w:w="1033"/>
      </w:tblGrid>
      <w:tr>
        <w:trPr>
          <w:tblHeader w:val="true"/>
        </w:trPr>
        <w:tc>
          <w:tcPr/>
          <w:p>
            <w:pPr>
              <w:pStyle w:val="Compact"/>
              <w:jc w:val="left"/>
            </w:pPr>
            <w:r>
              <w:t xml:space="preserve">Grid case (factor type)</w:t>
            </w:r>
          </w:p>
        </w:tc>
        <w:tc>
          <w:tcPr/>
          <w:p>
            <w:pPr>
              <w:pStyle w:val="Compact"/>
              <w:jc w:val="right"/>
            </w:pPr>
            <w:r>
              <w:t xml:space="preserve">Gross t/day per unit</w:t>
            </w:r>
          </w:p>
        </w:tc>
        <w:tc>
          <w:tcPr/>
          <w:p>
            <w:pPr>
              <w:pStyle w:val="Compact"/>
              <w:jc w:val="right"/>
            </w:pPr>
            <w:r>
              <w:t xml:space="preserve">Net t/day per unit</w:t>
            </w:r>
          </w:p>
        </w:tc>
        <w:tc>
          <w:tcPr/>
          <w:p>
            <w:pPr>
              <w:pStyle w:val="Compact"/>
              <w:jc w:val="left"/>
            </w:pPr>
            <w:r>
              <w:t xml:space="preserve">(a) Per unit, gross days</w:t>
            </w:r>
          </w:p>
        </w:tc>
        <w:tc>
          <w:tcPr/>
          <w:p>
            <w:pPr>
              <w:pStyle w:val="Compact"/>
              <w:jc w:val="left"/>
            </w:pPr>
            <w:r>
              <w:t xml:space="preserve">(a) Per unit, net days</w:t>
            </w:r>
          </w:p>
        </w:tc>
        <w:tc>
          <w:tcPr/>
          <w:p>
            <w:pPr>
              <w:pStyle w:val="Compact"/>
              <w:jc w:val="left"/>
            </w:pPr>
            <w:r>
              <w:t xml:space="preserve">(b) Programme saving, one unit late: gross days</w:t>
            </w:r>
          </w:p>
        </w:tc>
        <w:tc>
          <w:tcPr/>
          <w:p>
            <w:pPr>
              <w:pStyle w:val="Compact"/>
              <w:jc w:val="left"/>
            </w:pPr>
            <w:r>
              <w:t xml:space="preserve">(b) Net days</w:t>
            </w:r>
          </w:p>
        </w:tc>
      </w:tr>
      <w:tr>
        <w:tc>
          <w:tcPr/>
          <w:p>
            <w:pPr>
              <w:pStyle w:val="Compact"/>
              <w:jc w:val="left"/>
            </w:pPr>
            <w:r>
              <w:t xml:space="preserve">ON-avg-traj (average, declining to 2040)</w:t>
            </w:r>
          </w:p>
        </w:tc>
        <w:tc>
          <w:tcPr/>
          <w:p>
            <w:pPr>
              <w:pStyle w:val="Compact"/>
              <w:jc w:val="right"/>
            </w:pPr>
            <w:r>
              <w:t xml:space="preserve">189</w:t>
            </w:r>
          </w:p>
        </w:tc>
        <w:tc>
          <w:tcPr/>
          <w:p>
            <w:pPr>
              <w:pStyle w:val="Compact"/>
              <w:jc w:val="right"/>
            </w:pPr>
            <w:r>
              <w:t xml:space="preserve">119</w:t>
            </w:r>
          </w:p>
        </w:tc>
        <w:tc>
          <w:tcPr/>
          <w:p>
            <w:pPr>
              <w:pStyle w:val="Compact"/>
              <w:jc w:val="left"/>
            </w:pPr>
            <w:r>
              <w:t xml:space="preserve">9.2 (7.3–11.4)</w:t>
            </w:r>
          </w:p>
        </w:tc>
        <w:tc>
          <w:tcPr/>
          <w:p>
            <w:pPr>
              <w:pStyle w:val="Compact"/>
              <w:jc w:val="left"/>
            </w:pPr>
            <w:r>
              <w:t xml:space="preserve">14.6 (11.6–18.1)</w:t>
            </w:r>
          </w:p>
        </w:tc>
        <w:tc>
          <w:tcPr/>
          <w:p>
            <w:pPr>
              <w:pStyle w:val="Compact"/>
              <w:jc w:val="left"/>
            </w:pPr>
            <w:r>
              <w:t xml:space="preserve">27.5 (22.0–34.2)</w:t>
            </w:r>
          </w:p>
        </w:tc>
        <w:tc>
          <w:tcPr/>
          <w:p>
            <w:pPr>
              <w:pStyle w:val="Compact"/>
              <w:jc w:val="left"/>
            </w:pPr>
            <w:r>
              <w:t xml:space="preserve">43.7 (34.9–54.2)</w:t>
            </w:r>
          </w:p>
        </w:tc>
      </w:tr>
      <w:tr>
        <w:tc>
          <w:tcPr/>
          <w:p>
            <w:pPr>
              <w:pStyle w:val="Compact"/>
              <w:jc w:val="left"/>
            </w:pPr>
            <w:r>
              <w:t xml:space="preserve">ON-avg-flat (average, held at 2024)</w:t>
            </w:r>
          </w:p>
        </w:tc>
        <w:tc>
          <w:tcPr/>
          <w:p>
            <w:pPr>
              <w:pStyle w:val="Compact"/>
              <w:jc w:val="right"/>
            </w:pPr>
            <w:r>
              <w:t xml:space="preserve">451</w:t>
            </w:r>
          </w:p>
        </w:tc>
        <w:tc>
          <w:tcPr/>
          <w:p>
            <w:pPr>
              <w:pStyle w:val="Compact"/>
              <w:jc w:val="right"/>
            </w:pPr>
            <w:r>
              <w:t xml:space="preserve">0</w:t>
            </w:r>
          </w:p>
        </w:tc>
        <w:tc>
          <w:tcPr/>
          <w:p>
            <w:pPr>
              <w:pStyle w:val="Compact"/>
              <w:jc w:val="left"/>
            </w:pPr>
            <w:r>
              <w:t xml:space="preserve">3.8 (3.1–4.8)</w:t>
            </w:r>
          </w:p>
        </w:tc>
        <w:tc>
          <w:tcPr/>
          <w:p>
            <w:pPr>
              <w:pStyle w:val="Compact"/>
              <w:jc w:val="left"/>
            </w:pPr>
            <w:r>
              <w:t xml:space="preserve">none (flat grid)</w:t>
            </w:r>
          </w:p>
        </w:tc>
        <w:tc>
          <w:tcPr/>
          <w:p>
            <w:pPr>
              <w:pStyle w:val="Compact"/>
              <w:jc w:val="left"/>
            </w:pPr>
            <w:r>
              <w:t xml:space="preserve">11.5 (9.2–14.3)</w:t>
            </w:r>
          </w:p>
        </w:tc>
        <w:tc>
          <w:tcPr/>
          <w:p>
            <w:pPr>
              <w:pStyle w:val="Compact"/>
              <w:jc w:val="left"/>
            </w:pPr>
            <w:r>
              <w:t xml:space="preserve">none (flat grid)</w:t>
            </w:r>
          </w:p>
        </w:tc>
      </w:tr>
      <w:tr>
        <w:tc>
          <w:tcPr/>
          <w:p>
            <w:pPr>
              <w:pStyle w:val="Compact"/>
              <w:jc w:val="left"/>
            </w:pPr>
            <w:r>
              <w:t xml:space="preserve">ON-marginal-declining (gas leaves the margin by 2050)</w:t>
            </w:r>
          </w:p>
        </w:tc>
        <w:tc>
          <w:tcPr/>
          <w:p>
            <w:pPr>
              <w:pStyle w:val="Compact"/>
              <w:jc w:val="right"/>
            </w:pPr>
            <w:r>
              <w:t xml:space="preserve">1,296</w:t>
            </w:r>
          </w:p>
        </w:tc>
        <w:tc>
          <w:tcPr/>
          <w:p>
            <w:pPr>
              <w:pStyle w:val="Compact"/>
              <w:jc w:val="right"/>
            </w:pPr>
            <w:r>
              <w:t xml:space="preserve">1,226</w:t>
            </w:r>
          </w:p>
        </w:tc>
        <w:tc>
          <w:tcPr/>
          <w:p>
            <w:pPr>
              <w:pStyle w:val="Compact"/>
              <w:jc w:val="left"/>
            </w:pPr>
            <w:r>
              <w:t xml:space="preserve">1.3 (1.1–1.7)</w:t>
            </w:r>
          </w:p>
        </w:tc>
        <w:tc>
          <w:tcPr/>
          <w:p>
            <w:pPr>
              <w:pStyle w:val="Compact"/>
              <w:jc w:val="left"/>
            </w:pPr>
            <w:r>
              <w:t xml:space="preserve">1.4 (1.1–1.8)</w:t>
            </w:r>
          </w:p>
        </w:tc>
        <w:tc>
          <w:tcPr/>
          <w:p>
            <w:pPr>
              <w:pStyle w:val="Compact"/>
              <w:jc w:val="left"/>
            </w:pPr>
            <w:r>
              <w:t xml:space="preserve">4.0 (3.2–5.0)</w:t>
            </w:r>
          </w:p>
        </w:tc>
        <w:tc>
          <w:tcPr/>
          <w:p>
            <w:pPr>
              <w:pStyle w:val="Compact"/>
              <w:jc w:val="left"/>
            </w:pPr>
            <w:r>
              <w:t xml:space="preserve">4.2 (3.4–5.3)</w:t>
            </w:r>
          </w:p>
        </w:tc>
      </w:tr>
      <w:tr>
        <w:tc>
          <w:tcPr/>
          <w:p>
            <w:pPr>
              <w:pStyle w:val="Compact"/>
              <w:jc w:val="left"/>
            </w:pPr>
            <w:r>
              <w:t xml:space="preserve">ON-marginal-flat (held at 2024)</w:t>
            </w:r>
          </w:p>
        </w:tc>
        <w:tc>
          <w:tcPr/>
          <w:p>
            <w:pPr>
              <w:pStyle w:val="Compact"/>
              <w:jc w:val="right"/>
            </w:pPr>
            <w:r>
              <w:t xml:space="preserve">2,195</w:t>
            </w:r>
          </w:p>
        </w:tc>
        <w:tc>
          <w:tcPr/>
          <w:p>
            <w:pPr>
              <w:pStyle w:val="Compact"/>
              <w:jc w:val="right"/>
            </w:pPr>
            <w:r>
              <w:t xml:space="preserve">0</w:t>
            </w:r>
          </w:p>
        </w:tc>
        <w:tc>
          <w:tcPr/>
          <w:p>
            <w:pPr>
              <w:pStyle w:val="Compact"/>
              <w:jc w:val="left"/>
            </w:pPr>
            <w:r>
              <w:t xml:space="preserve">0.8 (0.6–1.0)</w:t>
            </w:r>
          </w:p>
        </w:tc>
        <w:tc>
          <w:tcPr/>
          <w:p>
            <w:pPr>
              <w:pStyle w:val="Compact"/>
              <w:jc w:val="left"/>
            </w:pPr>
            <w:r>
              <w:t xml:space="preserve">none (flat grid)</w:t>
            </w:r>
          </w:p>
        </w:tc>
        <w:tc>
          <w:tcPr/>
          <w:p>
            <w:pPr>
              <w:pStyle w:val="Compact"/>
              <w:jc w:val="left"/>
            </w:pPr>
            <w:r>
              <w:t xml:space="preserve">2.4 (1.9–2.9)</w:t>
            </w:r>
          </w:p>
        </w:tc>
        <w:tc>
          <w:tcPr/>
          <w:p>
            <w:pPr>
              <w:pStyle w:val="Compact"/>
              <w:jc w:val="left"/>
            </w:pPr>
            <w:r>
              <w:t xml:space="preserve">none (flat grid)</w:t>
            </w:r>
          </w:p>
        </w:tc>
      </w:tr>
    </w:tbl>
    <w:p>
      <w:pPr>
        <w:pStyle w:val="BodyText"/>
      </w:pPr>
      <w:r>
        <w:t xml:space="preserve">The two cases:</w:t>
      </w:r>
      <w:r>
        <w:t xml:space="preserve"> </w:t>
      </w:r>
      <w:r>
        <w:t xml:space="preserve">-</w:t>
      </w:r>
      <w:r>
        <w:t xml:space="preserve"> </w:t>
      </w:r>
      <w:r>
        <w:rPr>
          <w:bCs/>
          <w:b/>
        </w:rPr>
        <w:t xml:space="preserve">(a)</w:t>
      </w:r>
      <w:r>
        <w:t xml:space="preserve"> </w:t>
      </w:r>
      <w:r>
        <w:t xml:space="preserve">compares one unit’s saving with a delay to that unit. All three units’ saving against a three-unit slip gives the same answer, because both scale by 3.</w:t>
      </w:r>
      <w:r>
        <w:t xml:space="preserve"> </w:t>
      </w:r>
      <w:r>
        <w:t xml:space="preserve">-</w:t>
      </w:r>
      <w:r>
        <w:t xml:space="preserve"> </w:t>
      </w:r>
      <w:r>
        <w:rPr>
          <w:bCs/>
          <w:b/>
        </w:rPr>
        <w:t xml:space="preserve">(b)</w:t>
      </w:r>
      <w:r>
        <w:t xml:space="preserve"> </w:t>
      </w:r>
      <w:r>
        <w:t xml:space="preserve">compares all of Units 2–4’s saving with a delay to only one unit, for example when the first LC3 pour holds one unit’s critical path.</w:t>
      </w:r>
      <w:r>
        <w:t xml:space="preserve"> </w:t>
      </w:r>
      <w:r>
        <w:t xml:space="preserve">#### B5.4 C1’s carbon value against one month’s delay</w:t>
      </w:r>
    </w:p>
    <w:p>
      <w:pPr>
        <w:pStyle w:val="BodyText"/>
      </w:pPr>
      <w:r>
        <w:rPr>
          <w:iCs/>
          <w:i/>
        </w:rPr>
        <w:t xml:space="preserve">Table B22. C1’s carbon value (Units 2–4) against the value of the CO₂e lost in a one-month slip of all three units.</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§7. Carbon prices: federal headline industrial trajectory (Environment and Climate Change Canada, 2026) [TO VERIFY]; the superseded 2021 path is shown for comparison only.</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trPr>
        <w:tc>
          <w:tcPr/>
          <w:p>
            <w:pPr>
              <w:pStyle w:val="Compact"/>
              <w:jc w:val="right"/>
            </w:pPr>
            <w:r>
              <w:t xml:space="preserve">Carbon price (C$/t)</w:t>
            </w:r>
          </w:p>
        </w:tc>
        <w:tc>
          <w:tcPr/>
          <w:p>
            <w:pPr>
              <w:pStyle w:val="Compact"/>
              <w:jc w:val="left"/>
            </w:pPr>
            <w:r>
              <w:t xml:space="preserve">Basis</w:t>
            </w:r>
          </w:p>
        </w:tc>
        <w:tc>
          <w:tcPr/>
          <w:p>
            <w:pPr>
              <w:pStyle w:val="Compact"/>
              <w:jc w:val="left"/>
            </w:pPr>
            <w:r>
              <w:t xml:space="preserve">C1 carbon value, Units 2–4 (C$ m, 90% interval)</w:t>
            </w:r>
          </w:p>
        </w:tc>
        <w:tc>
          <w:tcPr/>
          <w:p>
            <w:pPr>
              <w:pStyle w:val="Compact"/>
              <w:jc w:val="left"/>
            </w:pPr>
            <w:r>
              <w:t xml:space="preserve">CO₂e lost in a one-month slip, average factor (C$ m, gross / net)</w:t>
            </w:r>
          </w:p>
        </w:tc>
        <w:tc>
          <w:tcPr/>
          <w:p>
            <w:pPr>
              <w:pStyle w:val="Compact"/>
              <w:jc w:val="left"/>
            </w:pPr>
            <w:r>
              <w:t xml:space="preserve">Same, marginal factor (C$ m, gross / net)</w:t>
            </w:r>
          </w:p>
        </w:tc>
      </w:tr>
      <w:tr>
        <w:tc>
          <w:tcPr/>
          <w:p>
            <w:pPr>
              <w:pStyle w:val="Compact"/>
              <w:jc w:val="right"/>
            </w:pPr>
            <w:r>
              <w:rPr>
                <w:bCs/>
                <w:b/>
              </w:rPr>
              <w:t xml:space="preserve">95</w:t>
            </w:r>
          </w:p>
        </w:tc>
        <w:tc>
          <w:tcPr/>
          <w:p>
            <w:pPr>
              <w:pStyle w:val="Compact"/>
              <w:jc w:val="left"/>
            </w:pPr>
            <w:r>
              <w:rPr>
                <w:bCs/>
                <w:b/>
              </w:rPr>
              <w:t xml:space="preserve">2026, current path (used)</w:t>
            </w:r>
          </w:p>
        </w:tc>
        <w:tc>
          <w:tcPr/>
          <w:p>
            <w:pPr>
              <w:pStyle w:val="Compact"/>
              <w:jc w:val="left"/>
            </w:pPr>
            <w:r>
              <w:rPr>
                <w:bCs/>
                <w:b/>
              </w:rPr>
              <w:t xml:space="preserve">0.49 (0.40–0.61)</w:t>
            </w:r>
          </w:p>
        </w:tc>
        <w:tc>
          <w:tcPr/>
          <w:p>
            <w:pPr>
              <w:pStyle w:val="Compact"/>
              <w:jc w:val="left"/>
            </w:pPr>
            <w:r>
              <w:t xml:space="preserve">1.64 / 1.03</w:t>
            </w:r>
          </w:p>
        </w:tc>
        <w:tc>
          <w:tcPr/>
          <w:p>
            <w:pPr>
              <w:pStyle w:val="Compact"/>
              <w:jc w:val="left"/>
            </w:pPr>
            <w:r>
              <w:t xml:space="preserve">11.24 / 10.63</w:t>
            </w:r>
          </w:p>
        </w:tc>
      </w:tr>
      <w:tr>
        <w:tc>
          <w:tcPr/>
          <w:p>
            <w:pPr>
              <w:pStyle w:val="Compact"/>
              <w:jc w:val="right"/>
            </w:pPr>
            <w:r>
              <w:t xml:space="preserve">110</w:t>
            </w:r>
          </w:p>
        </w:tc>
        <w:tc>
          <w:tcPr/>
          <w:p>
            <w:pPr>
              <w:pStyle w:val="Compact"/>
              <w:jc w:val="left"/>
            </w:pPr>
            <w:r>
              <w:t xml:space="preserve">2026, superseded path</w:t>
            </w:r>
          </w:p>
        </w:tc>
        <w:tc>
          <w:tcPr/>
          <w:p>
            <w:pPr>
              <w:pStyle w:val="Compact"/>
              <w:jc w:val="left"/>
            </w:pPr>
            <w:r>
              <w:t xml:space="preserve">0.57 (0.46–0.71)</w:t>
            </w:r>
          </w:p>
        </w:tc>
        <w:tc>
          <w:tcPr/>
          <w:p>
            <w:pPr>
              <w:pStyle w:val="Compact"/>
              <w:jc w:val="left"/>
            </w:pPr>
            <w:r>
              <w:t xml:space="preserve">1.90 / 1.20</w:t>
            </w:r>
          </w:p>
        </w:tc>
        <w:tc>
          <w:tcPr/>
          <w:p>
            <w:pPr>
              <w:pStyle w:val="Compact"/>
              <w:jc w:val="left"/>
            </w:pPr>
            <w:r>
              <w:t xml:space="preserve">13.01 / 12.31</w:t>
            </w:r>
          </w:p>
        </w:tc>
      </w:tr>
      <w:tr>
        <w:tc>
          <w:tcPr/>
          <w:p>
            <w:pPr>
              <w:pStyle w:val="Compact"/>
              <w:jc w:val="right"/>
            </w:pPr>
            <w:r>
              <w:rPr>
                <w:bCs/>
                <w:b/>
              </w:rPr>
              <w:t xml:space="preserve">115</w:t>
            </w:r>
          </w:p>
        </w:tc>
        <w:tc>
          <w:tcPr/>
          <w:p>
            <w:pPr>
              <w:pStyle w:val="Compact"/>
              <w:jc w:val="left"/>
            </w:pPr>
            <w:r>
              <w:rPr>
                <w:bCs/>
                <w:b/>
              </w:rPr>
              <w:t xml:space="preserve">2030, current path (used)</w:t>
            </w:r>
          </w:p>
        </w:tc>
        <w:tc>
          <w:tcPr/>
          <w:p>
            <w:pPr>
              <w:pStyle w:val="Compact"/>
              <w:jc w:val="left"/>
            </w:pPr>
            <w:r>
              <w:rPr>
                <w:bCs/>
                <w:b/>
              </w:rPr>
              <w:t xml:space="preserve">0.60 (0.48–0.74)</w:t>
            </w:r>
          </w:p>
        </w:tc>
        <w:tc>
          <w:tcPr/>
          <w:p>
            <w:pPr>
              <w:pStyle w:val="Compact"/>
              <w:jc w:val="left"/>
            </w:pPr>
            <w:r>
              <w:t xml:space="preserve">1.98 / 1.25</w:t>
            </w:r>
          </w:p>
        </w:tc>
        <w:tc>
          <w:tcPr/>
          <w:p>
            <w:pPr>
              <w:pStyle w:val="Compact"/>
              <w:jc w:val="left"/>
            </w:pPr>
            <w:r>
              <w:t xml:space="preserve">13.60 / 12.87</w:t>
            </w:r>
          </w:p>
        </w:tc>
      </w:tr>
      <w:tr>
        <w:tc>
          <w:tcPr/>
          <w:p>
            <w:pPr>
              <w:pStyle w:val="Compact"/>
              <w:jc w:val="right"/>
            </w:pPr>
            <w:r>
              <w:t xml:space="preserve">170</w:t>
            </w:r>
          </w:p>
        </w:tc>
        <w:tc>
          <w:tcPr/>
          <w:p>
            <w:pPr>
              <w:pStyle w:val="Compact"/>
              <w:jc w:val="left"/>
            </w:pPr>
            <w:r>
              <w:t xml:space="preserve">2030, superseded path</w:t>
            </w:r>
          </w:p>
        </w:tc>
        <w:tc>
          <w:tcPr/>
          <w:p>
            <w:pPr>
              <w:pStyle w:val="Compact"/>
              <w:jc w:val="left"/>
            </w:pPr>
            <w:r>
              <w:t xml:space="preserve">0.88 (0.71–1.10)</w:t>
            </w:r>
          </w:p>
        </w:tc>
        <w:tc>
          <w:tcPr/>
          <w:p>
            <w:pPr>
              <w:pStyle w:val="Compact"/>
              <w:jc w:val="left"/>
            </w:pPr>
            <w:r>
              <w:t xml:space="preserve">2.93 / 1.85</w:t>
            </w:r>
          </w:p>
        </w:tc>
        <w:tc>
          <w:tcPr/>
          <w:p>
            <w:pPr>
              <w:pStyle w:val="Compact"/>
              <w:jc w:val="left"/>
            </w:pPr>
            <w:r>
              <w:t xml:space="preserve">20.11 / 19.02</w:t>
            </w:r>
          </w:p>
        </w:tc>
      </w:tr>
    </w:tbl>
    <w:p>
      <w:pPr>
        <w:pStyle w:val="BodyText"/>
      </w:pPr>
      <w:r>
        <w:t xml:space="preserve">Working: carbon value = saving × price. For example, 5,201 t × C$95/t = C$0.49 m, and 5,201 × 115 = C$0.60 m. C1’s concrete would be placed in about 2029–2033, so the 2030 price is the relevant one; 2026 is today’s price.</w:t>
      </w:r>
    </w:p>
    <w:p>
      <w:pPr>
        <w:pStyle w:val="BodyText"/>
      </w:pPr>
      <w:r>
        <w:rPr>
          <w:bCs/>
          <w:b/>
        </w:rPr>
        <w:t xml:space="preserve">Direct cost of a one-month slip of Units 2–4</w:t>
      </w:r>
      <w:r>
        <w:t xml:space="preserve"> </w:t>
      </w:r>
      <w:r>
        <w:t xml:space="preserve">(inputs from</w:t>
      </w:r>
      <w:r>
        <w:t xml:space="preserve"> </w:t>
      </w:r>
      <w:r>
        <w:rPr>
          <w:rStyle w:val="VerbatimChar"/>
        </w:rPr>
        <w:t xml:space="preserve">parameters_run5.yaml</w:t>
      </w:r>
      <w:r>
        <w:t xml:space="preserve">; all TO VERIFY or assumptions):</w:t>
      </w:r>
      <w:r>
        <w:t xml:space="preserve"> </w:t>
      </w:r>
      <w:r>
        <w:t xml:space="preserve">-</w:t>
      </w:r>
      <w:r>
        <w:t xml:space="preserve"> </w:t>
      </w:r>
      <w:r>
        <w:rPr>
          <w:bCs/>
          <w:b/>
        </w:rPr>
        <w:t xml:space="preserve">Deferred output:</w:t>
      </w:r>
      <w:r>
        <w:t xml:space="preserve"> </w:t>
      </w:r>
      <w:r>
        <w:t xml:space="preserve">3 × 300 MW × 8,760 h × 0.90 / 12 = 591,300 MWh × C$149/MWh (OPG’s reported LCOE [TO VERIFY]) =</w:t>
      </w:r>
      <w:r>
        <w:t xml:space="preserve"> </w:t>
      </w:r>
      <w:r>
        <w:rPr>
          <w:bCs/>
          <w:b/>
        </w:rPr>
        <w:t xml:space="preserve">C$88 m</w:t>
      </w:r>
      <w:r>
        <w:t xml:space="preserve">. The output is deferred, not lost, so this is a cash-flow cost to OPG and ratepayers, not a social loss of that size.</w:t>
      </w:r>
      <w:r>
        <w:t xml:space="preserve"> </w:t>
      </w:r>
      <w:r>
        <w:t xml:space="preserve">-</w:t>
      </w:r>
      <w:r>
        <w:t xml:space="preserve"> </w:t>
      </w:r>
      <w:r>
        <w:rPr>
          <w:bCs/>
          <w:b/>
        </w:rPr>
        <w:t xml:space="preserve">Carrying cost:</w:t>
      </w:r>
      <w:r>
        <w:t xml:space="preserve"> </w:t>
      </w:r>
      <w:r>
        <w:t xml:space="preserve">C$13.2 bn (Units 2–4: C$20.9 bn less C$7.7 bn for Unit 1 and common infrastructure) × r / 12. At r = 3, 5, 7 and 10%, that is</w:t>
      </w:r>
      <w:r>
        <w:t xml:space="preserve"> </w:t>
      </w:r>
      <w:r>
        <w:rPr>
          <w:bCs/>
          <w:b/>
        </w:rPr>
        <w:t xml:space="preserve">C$33, 55, 77 and 110 m</w:t>
      </w:r>
      <w:r>
        <w:t xml:space="preserve">. It is an upper bound, because it assumes all the capital is already spent.</w:t>
      </w:r>
    </w:p>
    <w:p>
      <w:pPr>
        <w:pStyle w:val="BodyText"/>
      </w:pPr>
      <w:r>
        <w:rPr>
          <w:bCs/>
          <w:b/>
        </w:rPr>
        <w:t xml:space="preserve">How the 30–223× in §7 is derived:</w:t>
      </w:r>
      <w:r>
        <w:t xml:space="preserve"> </w:t>
      </w:r>
      <w:r>
        <w:t xml:space="preserve">-</w:t>
      </w:r>
      <w:r>
        <w:t xml:space="preserve"> </w:t>
      </w:r>
      <w:r>
        <w:rPr>
          <w:bCs/>
          <w:b/>
        </w:rPr>
        <w:t xml:space="preserve">Low end:</w:t>
      </w:r>
      <w:r>
        <w:t xml:space="preserve"> </w:t>
      </w:r>
      <w:r>
        <w:t xml:space="preserve">the lowest monthly cost (C$33 m) over the largest carbon value we can construct (C$1.10 m, the 95th-percentile saving at the superseded C$170/t) = 30×.</w:t>
      </w:r>
      <w:r>
        <w:t xml:space="preserve"> </w:t>
      </w:r>
      <w:r>
        <w:t xml:space="preserve">-</w:t>
      </w:r>
      <w:r>
        <w:t xml:space="preserve"> </w:t>
      </w:r>
      <w:r>
        <w:rPr>
          <w:bCs/>
          <w:b/>
        </w:rPr>
        <w:t xml:space="preserve">High end:</w:t>
      </w:r>
      <w:r>
        <w:t xml:space="preserve"> </w:t>
      </w:r>
      <w:r>
        <w:t xml:space="preserve">the highest cost (C$110 m) over the central value at C$95/t (C$0.49 m) = 223×.</w:t>
      </w:r>
      <w:r>
        <w:t xml:space="preserve"> </w:t>
      </w:r>
      <w:r>
        <w:t xml:space="preserve">-</w:t>
      </w:r>
      <w:r>
        <w:t xml:space="preserve"> </w:t>
      </w:r>
      <w:r>
        <w:rPr>
          <w:bCs/>
          <w:b/>
        </w:rPr>
        <w:t xml:space="preserve">On the current path alone</w:t>
      </w:r>
      <w:r>
        <w:t xml:space="preserve"> </w:t>
      </w:r>
      <w:r>
        <w:t xml:space="preserve">(largest value C$0.743 m: 6,458 t × C$115/t), the low end is C$33.0 m / 0.743 =</w:t>
      </w:r>
      <w:r>
        <w:t xml:space="preserve"> </w:t>
      </w:r>
      <w:r>
        <w:rPr>
          <w:bCs/>
          <w:b/>
        </w:rPr>
        <w:t xml:space="preserve">44.4×</w:t>
      </w:r>
      <w:r>
        <w:t xml:space="preserve"> </w:t>
      </w:r>
      <w:r>
        <w:t xml:space="preserve">and the high end C$110.0 m / 0.494 =</w:t>
      </w:r>
      <w:r>
        <w:t xml:space="preserve"> </w:t>
      </w:r>
      <w:r>
        <w:rPr>
          <w:bCs/>
          <w:b/>
        </w:rPr>
        <w:t xml:space="preserve">222.6×</w:t>
      </w:r>
      <w:r>
        <w:t xml:space="preserve">, i.e. 44–223× (</w:t>
      </w:r>
      <w:r>
        <w:rPr>
          <w:rStyle w:val="VerbatimChar"/>
        </w:rPr>
        <w:t xml:space="preserve">results/schedule_value.md</w:t>
      </w:r>
      <w:r>
        <w:t xml:space="preserve"> </w:t>
      </w:r>
      <w:r>
        <w:t xml:space="preserve">§7). The 30× in §7 uses the superseded C$170/t and is therefore the conservative bound.</w:t>
      </w:r>
      <w:r>
        <w:t xml:space="preserve"> </w:t>
      </w:r>
      <w:r>
        <w:t xml:space="preserve">-</w:t>
      </w:r>
      <w:r>
        <w:t xml:space="preserve"> </w:t>
      </w:r>
      <w:r>
        <w:rPr>
          <w:bCs/>
          <w:b/>
        </w:rPr>
        <w:t xml:space="preserve">In carbon alone,</w:t>
      </w:r>
      <w:r>
        <w:t xml:space="preserve"> </w:t>
      </w:r>
      <w:r>
        <w:t xml:space="preserve">the slip loses 10,865–118,278 t against C1’s 5,201 t, which is 2.1–22.7 times the saving.</w:t>
      </w:r>
    </w:p>
    <w:p>
      <w:pPr>
        <w:pStyle w:val="BodyText"/>
      </w:pPr>
      <w:r>
        <w:t xml:space="preserve">This agrees with</w:t>
      </w:r>
      <w:r>
        <w:t xml:space="preserve"> </w:t>
      </w:r>
      <w:r>
        <w:rPr>
          <w:rStyle w:val="VerbatimChar"/>
        </w:rPr>
        <w:t xml:space="preserve">results/initiative_cost.md</w:t>
      </w:r>
      <w:r>
        <w:t xml:space="preserve"> </w:t>
      </w:r>
      <w:r>
        <w:t xml:space="preserve">§5 (run 5): one day of delay costs C$1.8–2.9 m, against C1’s total carbon value of under C$1 m.</w:t>
      </w:r>
    </w:p>
    <w:bookmarkEnd w:id="81"/>
    <w:bookmarkStart w:id="82" w:name="b5.5-year-scale-delays"/>
    <w:p>
      <w:pPr>
        <w:pStyle w:val="Heading4"/>
      </w:pPr>
      <w:r>
        <w:t xml:space="preserve">B5.5 Year-scale delays</w:t>
      </w:r>
    </w:p>
    <w:p>
      <w:pPr>
        <w:pStyle w:val="FirstParagraph"/>
      </w:pPr>
      <w:r>
        <w:rPr>
          <w:iCs/>
          <w:i/>
        </w:rPr>
        <w:t xml:space="preserve">Table B23. CO₂e avoided to 2050 lost per year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§4 [inputs TO VERIFY].</w:t>
      </w:r>
    </w:p>
    <w:tbl>
      <w:tblPr>
        <w:tblStyle w:val="Table"/>
        <w:tblW w:type="pct" w:w="5000"/>
        <w:tblLook w:firstRow="1" w:lastRow="0" w:firstColumn="0" w:lastColumn="0" w:noHBand="0" w:noVBand="0" w:val="0020"/>
        <w:jc w:val="start"/>
      </w:tblPr>
      <w:tblGrid>
        <w:gridCol w:w="792"/>
        <w:gridCol w:w="792"/>
        <w:gridCol w:w="1056"/>
        <w:gridCol w:w="1056"/>
        <w:gridCol w:w="1056"/>
        <w:gridCol w:w="1056"/>
        <w:gridCol w:w="1056"/>
        <w:gridCol w:w="1056"/>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Start A</w:t>
            </w:r>
          </w:p>
        </w:tc>
        <w:tc>
          <w:tcPr/>
          <w:p>
            <w:pPr>
              <w:pStyle w:val="Compact"/>
              <w:jc w:val="right"/>
            </w:pPr>
            <w:r>
              <w:t xml:space="preserve">Start B</w:t>
            </w:r>
          </w:p>
        </w:tc>
        <w:tc>
          <w:tcPr/>
          <w:p>
            <w:pPr>
              <w:pStyle w:val="Compact"/>
              <w:jc w:val="right"/>
            </w:pPr>
            <w:r>
              <w:t xml:space="preserve">Avoided to 2050 (A)</w:t>
            </w:r>
          </w:p>
        </w:tc>
        <w:tc>
          <w:tcPr/>
          <w:p>
            <w:pPr>
              <w:pStyle w:val="Compact"/>
              <w:jc w:val="right"/>
            </w:pPr>
            <w:r>
              <w:t xml:space="preserve">Avoided to 2050 (B)</w:t>
            </w:r>
          </w:p>
        </w:tc>
        <w:tc>
          <w:tcPr/>
          <w:p>
            <w:pPr>
              <w:pStyle w:val="Compact"/>
              <w:jc w:val="right"/>
            </w:pPr>
            <w:r>
              <w:t xml:space="preserve">Lost</w:t>
            </w:r>
          </w:p>
        </w:tc>
        <w:tc>
          <w:tcPr/>
          <w:p>
            <w:pPr>
              <w:pStyle w:val="Compact"/>
              <w:jc w:val="right"/>
            </w:pPr>
            <w:r>
              <w:t xml:space="preserve">Lost per year of delay</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24.06 Mt</w:t>
            </w:r>
          </w:p>
        </w:tc>
        <w:tc>
          <w:tcPr/>
          <w:p>
            <w:pPr>
              <w:pStyle w:val="Compact"/>
              <w:jc w:val="right"/>
            </w:pPr>
            <w:r>
              <w:t xml:space="preserve">16.54 Mt</w:t>
            </w:r>
          </w:p>
        </w:tc>
        <w:tc>
          <w:tcPr/>
          <w:p>
            <w:pPr>
              <w:pStyle w:val="Compact"/>
              <w:jc w:val="right"/>
            </w:pPr>
            <w:r>
              <w:t xml:space="preserve">7.52 Mt</w:t>
            </w:r>
          </w:p>
        </w:tc>
        <w:tc>
          <w:tcPr/>
          <w:p>
            <w:pPr>
              <w:pStyle w:val="Compact"/>
              <w:jc w:val="right"/>
            </w:pPr>
            <w:r>
              <w:t xml:space="preserve">1.50 Mt</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1.64 Mt</w:t>
            </w:r>
          </w:p>
        </w:tc>
        <w:tc>
          <w:tcPr/>
          <w:p>
            <w:pPr>
              <w:pStyle w:val="Compact"/>
              <w:jc w:val="right"/>
            </w:pPr>
            <w:r>
              <w:t xml:space="preserve">0.67 Mt</w:t>
            </w:r>
          </w:p>
        </w:tc>
        <w:tc>
          <w:tcPr/>
          <w:p>
            <w:pPr>
              <w:pStyle w:val="Compact"/>
              <w:jc w:val="right"/>
            </w:pPr>
            <w:r>
              <w:t xml:space="preserve">0.97 Mt</w:t>
            </w:r>
          </w:p>
        </w:tc>
        <w:tc>
          <w:tcPr/>
          <w:p>
            <w:pPr>
              <w:pStyle w:val="Compact"/>
              <w:jc w:val="right"/>
            </w:pPr>
            <w:r>
              <w:t xml:space="preserve">0.19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7.90 Mt</w:t>
            </w:r>
          </w:p>
        </w:tc>
        <w:tc>
          <w:tcPr/>
          <w:p>
            <w:pPr>
              <w:pStyle w:val="Compact"/>
              <w:jc w:val="right"/>
            </w:pPr>
            <w:r>
              <w:t xml:space="preserve">3.85 Mt</w:t>
            </w:r>
          </w:p>
        </w:tc>
        <w:tc>
          <w:tcPr/>
          <w:p>
            <w:pPr>
              <w:pStyle w:val="Compact"/>
              <w:jc w:val="right"/>
            </w:pPr>
            <w:r>
              <w:t xml:space="preserve">4.06 Mt</w:t>
            </w:r>
          </w:p>
        </w:tc>
        <w:tc>
          <w:tcPr/>
          <w:p>
            <w:pPr>
              <w:pStyle w:val="Compact"/>
              <w:jc w:val="right"/>
            </w:pPr>
            <w:r>
              <w:t xml:space="preserve">0.81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2045</w:t>
            </w:r>
          </w:p>
        </w:tc>
        <w:tc>
          <w:tcPr/>
          <w:p>
            <w:pPr>
              <w:pStyle w:val="Compact"/>
              <w:jc w:val="right"/>
            </w:pPr>
            <w:r>
              <w:t xml:space="preserve">3.85 Mt</w:t>
            </w:r>
          </w:p>
        </w:tc>
        <w:tc>
          <w:tcPr/>
          <w:p>
            <w:pPr>
              <w:pStyle w:val="Compact"/>
              <w:jc w:val="right"/>
            </w:pPr>
            <w:r>
              <w:t xml:space="preserve">1.23 Mt</w:t>
            </w:r>
          </w:p>
        </w:tc>
        <w:tc>
          <w:tcPr/>
          <w:p>
            <w:pPr>
              <w:pStyle w:val="Compact"/>
              <w:jc w:val="right"/>
            </w:pPr>
            <w:r>
              <w:t xml:space="preserve">2.61 Mt</w:t>
            </w:r>
          </w:p>
        </w:tc>
        <w:tc>
          <w:tcPr/>
          <w:p>
            <w:pPr>
              <w:pStyle w:val="Compact"/>
              <w:jc w:val="right"/>
            </w:pPr>
            <w:r>
              <w:t xml:space="preserve">0.52 Mt</w:t>
            </w:r>
          </w:p>
        </w:tc>
      </w:tr>
      <w:tr>
        <w:tc>
          <w:tcPr/>
          <w:p>
            <w:pPr>
              <w:pStyle w:val="Compact"/>
              <w:jc w:val="left"/>
            </w:pPr>
            <w:r>
              <w:t xml:space="preserve">Darlington Unit 1</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1.01 Mt</w:t>
            </w:r>
          </w:p>
        </w:tc>
        <w:tc>
          <w:tcPr/>
          <w:p>
            <w:pPr>
              <w:pStyle w:val="Compact"/>
              <w:jc w:val="right"/>
            </w:pPr>
            <w:r>
              <w:t xml:space="preserve">0.80 Mt</w:t>
            </w:r>
          </w:p>
        </w:tc>
        <w:tc>
          <w:tcPr/>
          <w:p>
            <w:pPr>
              <w:pStyle w:val="Compact"/>
              <w:jc w:val="right"/>
            </w:pPr>
            <w:r>
              <w:t xml:space="preserve">0.22 Mt</w:t>
            </w:r>
          </w:p>
        </w:tc>
        <w:tc>
          <w:tcPr/>
          <w:p>
            <w:pPr>
              <w:pStyle w:val="Compact"/>
              <w:jc w:val="right"/>
            </w:pPr>
            <w:r>
              <w:t xml:space="preserve">0.11 Mt</w:t>
            </w:r>
          </w:p>
        </w:tc>
      </w:tr>
      <w:tr>
        <w:tc>
          <w:tcPr/>
          <w:p>
            <w:pPr>
              <w:pStyle w:val="Compact"/>
              <w:jc w:val="left"/>
            </w:pPr>
            <w:r>
              <w:t xml:space="preserve">Darlington Unit 1</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6.80 Mt</w:t>
            </w:r>
          </w:p>
        </w:tc>
        <w:tc>
          <w:tcPr/>
          <w:p>
            <w:pPr>
              <w:pStyle w:val="Compact"/>
              <w:jc w:val="right"/>
            </w:pPr>
            <w:r>
              <w:t xml:space="preserve">5.59 Mt</w:t>
            </w:r>
          </w:p>
        </w:tc>
        <w:tc>
          <w:tcPr/>
          <w:p>
            <w:pPr>
              <w:pStyle w:val="Compact"/>
              <w:jc w:val="right"/>
            </w:pPr>
            <w:r>
              <w:t xml:space="preserve">1.21 Mt</w:t>
            </w:r>
          </w:p>
        </w:tc>
        <w:tc>
          <w:tcPr/>
          <w:p>
            <w:pPr>
              <w:pStyle w:val="Compact"/>
              <w:jc w:val="right"/>
            </w:pPr>
            <w:r>
              <w:t xml:space="preserve">0.61 Mt</w:t>
            </w:r>
          </w:p>
        </w:tc>
      </w:tr>
    </w:tbl>
    <w:bookmarkEnd w:id="82"/>
    <w:bookmarkStart w:id="83" w:name="b5.6-limitations"/>
    <w:p>
      <w:pPr>
        <w:pStyle w:val="Heading4"/>
      </w:pPr>
      <w:r>
        <w:t xml:space="preserve">B5.6 Limitations</w:t>
      </w:r>
    </w:p>
    <w:p>
      <w:pPr>
        <w:numPr>
          <w:ilvl w:val="0"/>
          <w:numId w:val="1009"/>
        </w:numPr>
        <w:pStyle w:val="Compact"/>
      </w:pPr>
      <w:r>
        <w:t xml:space="preserve">Average factors understate what a late baseload unit would have displaced in Ontario, where gas is on the margin.</w:t>
      </w:r>
    </w:p>
    <w:p>
      <w:pPr>
        <w:numPr>
          <w:ilvl w:val="0"/>
          <w:numId w:val="1009"/>
        </w:numPr>
        <w:pStyle w:val="Compact"/>
      </w:pPr>
      <w:r>
        <w:t xml:space="preserve">The net basis assumes the plant’s life is fixed in years, not extended.</w:t>
      </w:r>
    </w:p>
    <w:p>
      <w:pPr>
        <w:numPr>
          <w:ilvl w:val="0"/>
          <w:numId w:val="1009"/>
        </w:numPr>
        <w:pStyle w:val="Compact"/>
      </w:pPr>
      <w:r>
        <w:t xml:space="preserve">The carbon value is realised only if someone prices it. Construction-material emissions appear to fall outside Ontario’s Emissions Performance Standards (analyst inference, run 5) [TO VERIFY].</w:t>
      </w:r>
    </w:p>
    <w:p>
      <w:pPr>
        <w:numPr>
          <w:ilvl w:val="0"/>
          <w:numId w:val="1009"/>
        </w:numPr>
        <w:pStyle w:val="Compact"/>
      </w:pPr>
      <w:r>
        <w:t xml:space="preserve">The carrying cost is an upper bound for an early slip.</w:t>
      </w:r>
    </w:p>
    <w:p>
      <w:pPr>
        <w:numPr>
          <w:ilvl w:val="0"/>
          <w:numId w:val="1009"/>
        </w:numPr>
        <w:pStyle w:val="Compact"/>
      </w:pPr>
      <w:r>
        <w:t xml:space="preserve">Every input is provisional.</w:t>
      </w:r>
    </w:p>
    <w:p>
      <w:r>
        <w:pict>
          <v:rect style="width:0;height:1.5pt" o:hralign="center" o:hrstd="t" o:hr="t"/>
        </w:pict>
      </w:r>
    </w:p>
    <w:bookmarkEnd w:id="83"/>
    <w:bookmarkEnd w:id="84"/>
    <w:bookmarkStart w:id="89" w:name="Xe9bf8aa20110d892414618c9830b1120addc14d"/>
    <w:p>
      <w:pPr>
        <w:pStyle w:val="Heading3"/>
      </w:pPr>
      <w:r>
        <w:t xml:space="preserve">B6. Same money: Darlington’s budget spent on firmed renewables</w:t>
      </w:r>
    </w:p>
    <w:p>
      <w:pPr>
        <w:pStyle w:val="FirstParagraph"/>
      </w:pPr>
      <w:r>
        <w:rPr>
          <w:bCs/>
          <w:b/>
        </w:rPr>
        <w:t xml:space="preserve">Result.</w:t>
      </w:r>
      <w:r>
        <w:t xml:space="preserve"> </w:t>
      </w:r>
      <w:r>
        <w:t xml:space="preserve">On GenCost 2023-24’s 2030 costs, the same annual spend as one SMR unit (A$0.72 bn a year) buys</w:t>
      </w:r>
      <w:r>
        <w:t xml:space="preserve"> </w:t>
      </w:r>
      <w:r>
        <w:rPr>
          <w:bCs/>
          <w:b/>
        </w:rPr>
        <w:t xml:space="preserve">2.9×</w:t>
      </w:r>
      <w:r>
        <w:t xml:space="preserve"> </w:t>
      </w:r>
      <w:r>
        <w:t xml:space="preserve">the energy from firmed renewables (6.8 TWh a year against 2.37). For a Liddell SMR from 2040 on the slow trajectory, those renewables avoid</w:t>
      </w:r>
      <w:r>
        <w:t xml:space="preserve"> </w:t>
      </w:r>
      <w:r>
        <w:rPr>
          <w:bCs/>
          <w:b/>
        </w:rPr>
        <w:t xml:space="preserve">10.9×</w:t>
      </w:r>
      <w:r>
        <w:t xml:space="preserve"> </w:t>
      </w:r>
      <w:r>
        <w:t xml:space="preserve">more CO₂e to 2050 (5.7× on the GenCost 2030 reading alone, with renewables at A$153). Across all Liddell cases tested the ratio is 4.9–26.0× (4.9× is the lowest, with the A$198 SMR lead and A$153 renewables), so renewables avoid more CO₂e by 2050 in every Liddell case tested.</w:t>
      </w:r>
      <w:r>
        <w:t xml:space="preserve"> </w:t>
      </w:r>
      <w:r>
        <w:rPr>
          <w:bCs/>
          <w:b/>
        </w:rPr>
        <w:t xml:space="preserve">On Ontario’s average grid the SMR wins, on two placeholders</w:t>
      </w:r>
      <w:r>
        <w:t xml:space="preserve"> </w:t>
      </w:r>
      <w:r>
        <w:t xml:space="preserve">(the 30 g/kWh renewables life-cycle value and the IESO 2040 grid; −0.4×, Table B27, row 5): once that grid is cleaner than the renewables’ assumed 30 g/kWh life-cycle value, extra renewables add emissions against it. On Ontario’s marginal grid renewables again lead (2.8×). On the alternative reading (SMR A$514/MWh), the ratios are 5.0× and 19.1× (9.3–45.8× across cases). Script:</w:t>
      </w:r>
      <w:r>
        <w:t xml:space="preserve"> </w:t>
      </w:r>
      <w:r>
        <w:rPr>
          <w:rStyle w:val="VerbatimChar"/>
        </w:rPr>
        <w:t xml:space="preserve">python3 -I 03_LCA_Calculations/scripts/same_money.py</w:t>
      </w:r>
      <w:r>
        <w:t xml:space="preserve">, with output in</w:t>
      </w:r>
      <w:r>
        <w:t xml:space="preserve"> </w:t>
      </w:r>
      <w:r>
        <w:rPr>
          <w:rStyle w:val="VerbatimChar"/>
        </w:rPr>
        <w:t xml:space="preserve">results/same_money.md</w:t>
      </w:r>
      <w:r>
        <w:t xml:space="preserve">.</w:t>
      </w:r>
    </w:p>
    <w:p>
      <w:pPr>
        <w:pStyle w:val="BodyText"/>
      </w:pPr>
      <w:r>
        <w:rPr>
          <w:bCs/>
          <w:b/>
        </w:rPr>
        <w:t xml:space="preserve">Basis of the tables.</w:t>
      </w:r>
      <w:r>
        <w:t xml:space="preserve"> </w:t>
      </w:r>
      <w:r>
        <w:t xml:space="preserve">The script now runs on the 2030 reading: SMR A$306/MWh (range 230–382) and firmed renewables A$107/MWh (89–125), from a news report of GenCost 2023-24 (Graham, Hayward and Foster, 2024, as reported) that gives A$387–641 as the SMR’s</w:t>
      </w:r>
      <w:r>
        <w:t xml:space="preserve"> </w:t>
      </w:r>
      <w:r>
        <w:rPr>
          <w:bCs/>
          <w:b/>
        </w:rPr>
        <w:t xml:space="preserve">2023</w:t>
      </w:r>
      <w:r>
        <w:t xml:space="preserve"> </w:t>
      </w:r>
      <w:r>
        <w:t xml:space="preserve">value and A$230–382 as its</w:t>
      </w:r>
      <w:r>
        <w:t xml:space="preserve"> </w:t>
      </w:r>
      <w:r>
        <w:rPr>
          <w:bCs/>
          <w:b/>
        </w:rPr>
        <w:t xml:space="preserve">2030</w:t>
      </w:r>
      <w:r>
        <w:t xml:space="preserve"> </w:t>
      </w:r>
      <w:r>
        <w:t xml:space="preserve">value [TO VERIFY: GenCost table/year; the news pointer is in</w:t>
      </w:r>
      <w:r>
        <w:t xml:space="preserve"> </w:t>
      </w:r>
      <w:r>
        <w:rPr>
          <w:rStyle w:val="VerbatimChar"/>
        </w:rPr>
        <w:t xml:space="preserve">sources_run5.md</w:t>
      </w:r>
      <w:r>
        <w:t xml:space="preserve">, not sources.md]. Run 1’s A$514 (387–641) / A$102 is kept as the alternative reading, in the sensitivity rows of Table B28 only. If Victor finds the table says otherwise, change</w:t>
      </w:r>
      <w:r>
        <w:t xml:space="preserve"> </w:t>
      </w:r>
      <w:r>
        <w:rPr>
          <w:rStyle w:val="VerbatimChar"/>
        </w:rPr>
        <w:t xml:space="preserve">smr_lcoe_aud</w:t>
      </w:r>
      <w:r>
        <w:t xml:space="preserve"> </w:t>
      </w:r>
      <w:r>
        <w:t xml:space="preserve">and</w:t>
      </w:r>
      <w:r>
        <w:t xml:space="preserve"> </w:t>
      </w:r>
      <w:r>
        <w:rPr>
          <w:rStyle w:val="VerbatimChar"/>
        </w:rPr>
        <w:t xml:space="preserve">vre_firmed_lcoe_aud</w:t>
      </w:r>
      <w:r>
        <w:t xml:space="preserve"> </w:t>
      </w:r>
      <w:r>
        <w:t xml:space="preserve">in</w:t>
      </w:r>
      <w:r>
        <w:t xml:space="preserve"> </w:t>
      </w:r>
      <w:r>
        <w:rPr>
          <w:rStyle w:val="VerbatimChar"/>
        </w:rPr>
        <w:t xml:space="preserve">parameters_run1.yaml</w:t>
      </w:r>
      <w:r>
        <w:t xml:space="preserve"> </w:t>
      </w:r>
      <w:r>
        <w:t xml:space="preserve">and re-run; every table here regenerates.</w:t>
      </w:r>
    </w:p>
    <w:bookmarkStart w:id="85" w:name="b6.1-inputs-and-method"/>
    <w:p>
      <w:pPr>
        <w:pStyle w:val="Heading4"/>
      </w:pPr>
      <w:r>
        <w:t xml:space="preserve">B6.1 Inputs and method</w:t>
      </w:r>
    </w:p>
    <w:p>
      <w:pPr>
        <w:pStyle w:val="FirstParagraph"/>
      </w:pPr>
      <w:r>
        <w:rPr>
          <w:iCs/>
          <w:i/>
        </w:rPr>
        <w:t xml:space="preserve">Table B24. Cost inputs and the two GenCost readings.</w:t>
      </w:r>
      <w:r>
        <w:t xml:space="preserve"> </w:t>
      </w:r>
      <w:r>
        <w:rPr>
          <w:iCs/>
          <w:i/>
        </w:rPr>
        <w:t xml:space="preserve">Source:</w:t>
      </w:r>
      <w:r>
        <w:rPr>
          <w:iCs/>
          <w:i/>
        </w:rPr>
        <w:t xml:space="preserve"> </w:t>
      </w:r>
      <w:r>
        <w:rPr>
          <w:rStyle w:val="VerbatimChar"/>
          <w:iCs/>
          <w:i/>
        </w:rPr>
        <w:t xml:space="preserve">parameters_run1.yaml</w:t>
      </w:r>
      <w:r>
        <w:rPr>
          <w:iCs/>
          <w:i/>
        </w:rPr>
        <w:t xml:space="preserve">;</w:t>
      </w:r>
      <w:r>
        <w:rPr>
          <w:iCs/>
          <w:i/>
        </w:rPr>
        <w:t xml:space="preserve"> </w:t>
      </w:r>
      <w:r>
        <w:rPr>
          <w:rStyle w:val="VerbatimChar"/>
          <w:iCs/>
          <w:i/>
        </w:rPr>
        <w:t xml:space="preserve">results/lcoe.md</w:t>
      </w:r>
      <w:r>
        <w:rPr>
          <w:iCs/>
          <w:i/>
        </w:rPr>
        <w:t xml:space="preserve"> </w:t>
      </w:r>
      <w:r>
        <w:rPr>
          <w:iCs/>
          <w:i/>
        </w:rPr>
        <w:t xml:space="preserve">§5; references as named. All TO VERIFY or assumptions.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(used in §7)</w:t>
            </w:r>
          </w:p>
        </w:tc>
        <w:tc>
          <w:tcPr/>
          <w:p>
            <w:pPr>
              <w:pStyle w:val="Compact"/>
              <w:jc w:val="left"/>
            </w:pPr>
            <w:r>
              <w:t xml:space="preserve">Alternative reading (sensitivity only)</w:t>
            </w:r>
          </w:p>
        </w:tc>
        <w:tc>
          <w:tcPr/>
          <w:p>
            <w:pPr>
              <w:pStyle w:val="Compact"/>
              <w:jc w:val="left"/>
            </w:pPr>
            <w:r>
              <w:t xml:space="preserve">Source</w:t>
            </w:r>
          </w:p>
        </w:tc>
      </w:tr>
      <w:tr>
        <w:tc>
          <w:tcPr/>
          <w:p>
            <w:pPr>
              <w:pStyle w:val="Compact"/>
              <w:jc w:val="left"/>
            </w:pPr>
            <w:r>
              <w:t xml:space="preserve">SMR LCOE</w:t>
            </w:r>
          </w:p>
        </w:tc>
        <w:tc>
          <w:tcPr/>
          <w:p>
            <w:pPr>
              <w:pStyle w:val="Compact"/>
              <w:jc w:val="left"/>
            </w:pPr>
            <w:r>
              <w:t xml:space="preserve">A$306/MWh (230–382), 2030</w:t>
            </w:r>
          </w:p>
        </w:tc>
        <w:tc>
          <w:tcPr/>
          <w:p>
            <w:pPr>
              <w:pStyle w:val="Compact"/>
              <w:jc w:val="left"/>
            </w:pPr>
            <w:r>
              <w:t xml:space="preserve">A$514 (387–641), the 2023 value</w:t>
            </w:r>
          </w:p>
        </w:tc>
        <w:tc>
          <w:tcPr/>
          <w:p>
            <w:pPr>
              <w:pStyle w:val="Compact"/>
              <w:jc w:val="left"/>
            </w:pPr>
            <w:r>
              <w:t xml:space="preserve">Graham, Hayward and Foster (2024), as reported [TO VERIFY: GenCost table/year]</w:t>
            </w:r>
          </w:p>
        </w:tc>
      </w:tr>
      <w:tr>
        <w:tc>
          <w:tcPr/>
          <w:p>
            <w:pPr>
              <w:pStyle w:val="Compact"/>
              <w:jc w:val="left"/>
            </w:pPr>
            <w:r>
              <w:t xml:space="preserve">Firmed renewables LCOE</w:t>
            </w:r>
          </w:p>
        </w:tc>
        <w:tc>
          <w:tcPr/>
          <w:p>
            <w:pPr>
              <w:pStyle w:val="Compact"/>
              <w:jc w:val="left"/>
            </w:pPr>
            <w:r>
              <w:t xml:space="preserve">A$107/MWh (89–125), solar and wind with integration costs, 2030; 153 = high case, assumption</w:t>
            </w:r>
          </w:p>
        </w:tc>
        <w:tc>
          <w:tcPr/>
          <w:p>
            <w:pPr>
              <w:pStyle w:val="Compact"/>
              <w:jc w:val="left"/>
            </w:pPr>
            <w:r>
              <w:t xml:space="preserve">A$102</w:t>
            </w:r>
          </w:p>
        </w:tc>
        <w:tc>
          <w:tcPr/>
          <w:p>
            <w:pPr>
              <w:pStyle w:val="Compact"/>
              <w:jc w:val="left"/>
            </w:pPr>
            <w:r>
              <w:t xml:space="preserve">Graham, Hayward and Foster (2024) [TO VERIFY]</w:t>
            </w:r>
          </w:p>
        </w:tc>
      </w:tr>
      <w:tr>
        <w:tc>
          <w:tcPr/>
          <w:p>
            <w:pPr>
              <w:pStyle w:val="Compact"/>
              <w:jc w:val="left"/>
            </w:pPr>
            <w:r>
              <w:t xml:space="preserve">Low SMR lead (sensitivity)</w:t>
            </w:r>
          </w:p>
        </w:tc>
        <w:tc>
          <w:tcPr/>
          <w:p>
            <w:pPr>
              <w:pStyle w:val="Compact"/>
              <w:jc w:val="left"/>
            </w:pPr>
            <w:r>
              <w:t xml:space="preserve">A$198/MWh</w:t>
            </w:r>
          </w:p>
        </w:tc>
        <w:tc>
          <w:tcPr/>
          <w:p>
            <w:pPr>
              <w:pStyle w:val="Compact"/>
              <w:jc w:val="left"/>
            </w:pPr>
            <w:r>
              <w:t xml:space="preserve">—</w:t>
            </w:r>
          </w:p>
        </w:tc>
        <w:tc>
          <w:tcPr/>
          <w:p>
            <w:pPr>
              <w:pStyle w:val="Compact"/>
              <w:jc w:val="left"/>
            </w:pPr>
            <w:r>
              <w:t xml:space="preserve">Kim and Macfarlane (2026) (edition unknown) [TO VERIFY]</w:t>
            </w:r>
          </w:p>
        </w:tc>
      </w:tr>
      <w:tr>
        <w:tc>
          <w:tcPr/>
          <w:p>
            <w:pPr>
              <w:pStyle w:val="Compact"/>
              <w:jc w:val="left"/>
            </w:pPr>
            <w:r>
              <w:t xml:space="preserve">Darlington budget</w:t>
            </w:r>
          </w:p>
        </w:tc>
        <w:tc>
          <w:tcPr/>
          <w:p>
            <w:pPr>
              <w:pStyle w:val="Compact"/>
              <w:jc w:val="left"/>
            </w:pPr>
            <w:r>
              <w:t xml:space="preserve">C$20.9 bn for four units; Unit 1 plus common infrastructure C$7.7 bn</w:t>
            </w:r>
          </w:p>
        </w:tc>
        <w:tc>
          <w:tcPr/>
          <w:p>
            <w:pPr>
              <w:pStyle w:val="Compact"/>
              <w:jc w:val="left"/>
            </w:pPr>
            <w:r>
              <w:t xml:space="preserve">—</w:t>
            </w:r>
          </w:p>
        </w:tc>
        <w:tc>
          <w:tcPr/>
          <w:p>
            <w:pPr>
              <w:pStyle w:val="Compact"/>
              <w:jc w:val="left"/>
            </w:pPr>
            <w:r>
              <w:t xml:space="preserve">Government of Ontario (2025) [TO VERIFY]</w:t>
            </w:r>
          </w:p>
        </w:tc>
      </w:tr>
      <w:tr>
        <w:tc>
          <w:tcPr/>
          <w:p>
            <w:pPr>
              <w:pStyle w:val="Compact"/>
              <w:jc w:val="left"/>
            </w:pPr>
            <w:r>
              <w:t xml:space="preserve">Exchange rate</w:t>
            </w:r>
          </w:p>
        </w:tc>
        <w:tc>
          <w:tcPr/>
          <w:p>
            <w:pPr>
              <w:pStyle w:val="Compact"/>
              <w:jc w:val="left"/>
            </w:pPr>
            <w:r>
              <w:t xml:space="preserve">A$1.119 per C$1 (1.10–1.13)</w:t>
            </w:r>
          </w:p>
        </w:tc>
        <w:tc>
          <w:tcPr/>
          <w:p>
            <w:pPr>
              <w:pStyle w:val="Compact"/>
              <w:jc w:val="left"/>
            </w:pPr>
            <w:r>
              <w:t xml:space="preserve">—</w:t>
            </w:r>
          </w:p>
        </w:tc>
        <w:tc>
          <w:tcPr/>
          <w:p>
            <w:pPr>
              <w:pStyle w:val="Compact"/>
              <w:jc w:val="left"/>
            </w:pPr>
            <w:r>
              <w:t xml:space="preserve">Reserve Bank of Australia (2025) [TO VERIFY]</w:t>
            </w:r>
          </w:p>
        </w:tc>
      </w:tr>
      <w:tr>
        <w:tc>
          <w:tcPr/>
          <w:p>
            <w:pPr>
              <w:pStyle w:val="Compact"/>
              <w:jc w:val="left"/>
            </w:pPr>
            <w:r>
              <w:t xml:space="preserve">Discount rate; annuity</w:t>
            </w:r>
          </w:p>
        </w:tc>
        <w:tc>
          <w:tcPr/>
          <w:p>
            <w:pPr>
              <w:pStyle w:val="Compact"/>
              <w:jc w:val="left"/>
            </w:pPr>
            <w:r>
              <w:t xml:space="preserve">7% real (3–10%); 30 years (30–60)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First year of renewables output</w:t>
            </w:r>
          </w:p>
        </w:tc>
        <w:tc>
          <w:tcPr/>
          <w:p>
            <w:pPr>
              <w:pStyle w:val="Compact"/>
              <w:jc w:val="left"/>
            </w:pPr>
            <w:r>
              <w:t xml:space="preserve">2028 (2027–2030)</w:t>
            </w:r>
          </w:p>
        </w:tc>
        <w:tc>
          <w:tcPr/>
          <w:p>
            <w:pPr>
              <w:pStyle w:val="Compact"/>
              <w:jc w:val="left"/>
            </w:pPr>
            <w:r>
              <w:t xml:space="preserve">—</w:t>
            </w:r>
          </w:p>
        </w:tc>
        <w:tc>
          <w:tcPr/>
          <w:p>
            <w:pPr>
              <w:pStyle w:val="Compact"/>
              <w:jc w:val="left"/>
            </w:pPr>
            <w:r>
              <w:t xml:space="preserve">Assumption [TODO: GenCost/AEMO lead times]</w:t>
            </w:r>
          </w:p>
        </w:tc>
      </w:tr>
      <w:tr>
        <w:tc>
          <w:tcPr/>
          <w:p>
            <w:pPr>
              <w:pStyle w:val="Compact"/>
              <w:jc w:val="left"/>
            </w:pPr>
            <w:r>
              <w:t xml:space="preserve">Renewables life cycle</w:t>
            </w:r>
          </w:p>
        </w:tc>
        <w:tc>
          <w:tcPr/>
          <w:p>
            <w:pPr>
              <w:pStyle w:val="Compact"/>
              <w:jc w:val="left"/>
            </w:pPr>
            <w:r>
              <w:t xml:space="preserve">30 g/kWh (8–83)</w:t>
            </w:r>
          </w:p>
        </w:tc>
        <w:tc>
          <w:tcPr/>
          <w:p>
            <w:pPr>
              <w:pStyle w:val="Compact"/>
              <w:jc w:val="left"/>
            </w:pPr>
            <w:r>
              <w:t xml:space="preserve">—</w:t>
            </w:r>
          </w:p>
        </w:tc>
        <w:tc>
          <w:tcPr/>
          <w:p>
            <w:pPr>
              <w:pStyle w:val="Compact"/>
              <w:jc w:val="left"/>
            </w:pPr>
            <w:r>
              <w:t xml:space="preserve">Assumption (range: UNECE PV, United Nations Economic Commission for Europe, 2021)</w:t>
            </w:r>
          </w:p>
        </w:tc>
      </w:tr>
    </w:tbl>
    <w:p>
      <w:pPr>
        <w:pStyle w:val="BodyText"/>
      </w:pPr>
      <w:r>
        <w:rPr>
          <w:bCs/>
          <w:b/>
        </w:rPr>
        <w:t xml:space="preserve">Method A: what the Darlington capital would buy.</w:t>
      </w:r>
      <w:r>
        <w:t xml:space="preserve"> </w:t>
      </w:r>
      <w:r>
        <w:t xml:space="preserve">1. Capital recovery factor: CRF(r, n) = r(1 + r)ⁿ / ((1 + r)ⁿ − 1). CRF(7%, 30) = 0.07 × 7.612 / 6.612 = 0.0806.</w:t>
      </w:r>
      <w:r>
        <w:t xml:space="preserve"> </w:t>
      </w:r>
      <w:r>
        <w:t xml:space="preserve">2. Annual capital charge = budget (A$) × CRF.</w:t>
      </w:r>
      <w:r>
        <w:t xml:space="preserve"> </w:t>
      </w:r>
      <w:r>
        <w:t xml:space="preserve">3. Capital-only LCOE = charge / annual output.</w:t>
      </w:r>
      <w:r>
        <w:t xml:space="preserve"> </w:t>
      </w:r>
      <w:r>
        <w:t xml:space="preserve">4. Firmed renewables bought with that charge = charge / renewables LCOE.</w:t>
      </w:r>
    </w:p>
    <w:p>
      <w:pPr>
        <w:pStyle w:val="BodyText"/>
      </w:pPr>
      <w:r>
        <w:t xml:space="preserve">Worked example (one unit, simple share):</w:t>
      </w:r>
      <w:r>
        <w:t xml:space="preserve"> </w:t>
      </w:r>
      <w:r>
        <w:t xml:space="preserve">1. Budget: C$5.225 bn × 1.119 = A$5.85 bn.</w:t>
      </w:r>
      <w:r>
        <w:t xml:space="preserve"> </w:t>
      </w:r>
      <w:r>
        <w:t xml:space="preserve">2. Annual charge: 5.85 bn × 0.0806 = A$471 m a year.</w:t>
      </w:r>
      <w:r>
        <w:t xml:space="preserve"> </w:t>
      </w:r>
      <w:r>
        <w:t xml:space="preserve">3. Capital-only LCOE: 471 m / 2,365,200 MWh =</w:t>
      </w:r>
      <w:r>
        <w:t xml:space="preserve"> </w:t>
      </w:r>
      <w:r>
        <w:rPr>
          <w:bCs/>
          <w:b/>
        </w:rPr>
        <w:t xml:space="preserve">A$199/MWh</w:t>
      </w:r>
      <w:r>
        <w:t xml:space="preserve">.</w:t>
      </w:r>
      <w:r>
        <w:t xml:space="preserve"> </w:t>
      </w:r>
      <w:r>
        <w:t xml:space="preserve">4. Renewables bought: 471 m / A$107 = 4.40 TWh, which is</w:t>
      </w:r>
      <w:r>
        <w:t xml:space="preserve"> </w:t>
      </w:r>
      <w:r>
        <w:rPr>
          <w:bCs/>
          <w:b/>
        </w:rPr>
        <w:t xml:space="preserve">1.9×</w:t>
      </w:r>
      <w:r>
        <w:t xml:space="preserve"> </w:t>
      </w:r>
      <w:r>
        <w:t xml:space="preserve">the SMR’s 2.37 TWh.</w:t>
      </w:r>
    </w:p>
    <w:p>
      <w:pPr>
        <w:pStyle w:val="BodyText"/>
      </w:pPr>
      <w:r>
        <w:t xml:space="preserve">The result is a lower bound on the renewables’ advantage, because it ignores the SMR’s operating and fuel costs.</w:t>
      </w:r>
    </w:p>
    <w:p>
      <w:pPr>
        <w:pStyle w:val="BodyText"/>
      </w:pPr>
      <w:r>
        <w:rPr>
          <w:bCs/>
          <w:b/>
        </w:rPr>
        <w:t xml:space="preserve">Method B: LCOE ratio and CO₂e per dollar.</w:t>
      </w:r>
      <w:r>
        <w:t xml:space="preserve"> </w:t>
      </w:r>
      <w:r>
        <w:t xml:space="preserve">1. Energy ratio = SMR LCOE / renewables LCOE: 306 / 107 =</w:t>
      </w:r>
      <w:r>
        <w:t xml:space="preserve"> </w:t>
      </w:r>
      <w:r>
        <w:rPr>
          <w:bCs/>
          <w:b/>
        </w:rPr>
        <w:t xml:space="preserve">2.9×</w:t>
      </w:r>
      <w:r>
        <w:t xml:space="preserve">.</w:t>
      </w:r>
      <w:r>
        <w:t xml:space="preserve"> </w:t>
      </w:r>
      <w:r>
        <w:t xml:space="preserve">2. CO₂e per A$1 m = (10⁶ / LCOE) MWh × (EF_grid − EF_technology) kg/MWh / 1,000. Example (SMR, NSW 640 g/kWh, A$306): 3,268 MWh × 635.8 / 1,000 = 2,078 t.</w:t>
      </w:r>
      <w:r>
        <w:t xml:space="preserve"> </w:t>
      </w:r>
      <w:r>
        <w:t xml:space="preserve">3. Cumulative comparison: the annual spend = SMR output × SMR LCOE, and the renewables bought with it = spend / renewables LCOE, from 2028. Each technology’s avoided CO₂e is summed on the same trajectory (B4.1), net of its own life-cycle intensity (4.2 or 30 g/kWh).</w:t>
      </w:r>
    </w:p>
    <w:bookmarkEnd w:id="85"/>
    <w:bookmarkStart w:id="86" w:name="b6.2-results"/>
    <w:p>
      <w:pPr>
        <w:pStyle w:val="Heading4"/>
      </w:pPr>
      <w:r>
        <w:t xml:space="preserve">B6.2 Results</w:t>
      </w:r>
    </w:p>
    <w:p>
      <w:pPr>
        <w:pStyle w:val="FirstParagraph"/>
      </w:pPr>
      <w:r>
        <w:rPr>
          <w:iCs/>
          <w:i/>
        </w:rPr>
        <w:t xml:space="preserve">Table B25. Method A: what Darlington’s capital would buy (7%, 30-year annuity).</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§2 [inputs TO VERIFY].</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Budget case</w:t>
            </w:r>
          </w:p>
        </w:tc>
        <w:tc>
          <w:tcPr/>
          <w:p>
            <w:pPr>
              <w:pStyle w:val="Compact"/>
              <w:jc w:val="right"/>
            </w:pPr>
            <w:r>
              <w:t xml:space="preserve">Annual capital charge (A$ m)</w:t>
            </w:r>
          </w:p>
        </w:tc>
        <w:tc>
          <w:tcPr/>
          <w:p>
            <w:pPr>
              <w:pStyle w:val="Compact"/>
              <w:jc w:val="right"/>
            </w:pPr>
            <w:r>
              <w:t xml:space="preserve">SMR capital-only LCOE (A$/MWh)</w:t>
            </w:r>
          </w:p>
        </w:tc>
        <w:tc>
          <w:tcPr/>
          <w:p>
            <w:pPr>
              <w:pStyle w:val="Compact"/>
              <w:jc w:val="right"/>
            </w:pPr>
            <w:r>
              <w:t xml:space="preserve">SMR output (TWh a year)</w:t>
            </w:r>
          </w:p>
        </w:tc>
        <w:tc>
          <w:tcPr/>
          <w:p>
            <w:pPr>
              <w:pStyle w:val="Compact"/>
              <w:jc w:val="right"/>
            </w:pPr>
            <w:r>
              <w:t xml:space="preserve">Firmed renewables bought (TWh a year)</w:t>
            </w:r>
          </w:p>
        </w:tc>
        <w:tc>
          <w:tcPr/>
          <w:p>
            <w:pPr>
              <w:pStyle w:val="Compact"/>
              <w:jc w:val="right"/>
            </w:pPr>
            <w:r>
              <w:t xml:space="preserve">Renewables / SMR energy</w:t>
            </w:r>
          </w:p>
        </w:tc>
      </w:tr>
      <w:tr>
        <w:tc>
          <w:tcPr/>
          <w:p>
            <w:pPr>
              <w:pStyle w:val="Compact"/>
              <w:jc w:val="left"/>
            </w:pPr>
            <w:r>
              <w:t xml:space="preserve">Four units, C$20.9 bn</w:t>
            </w:r>
          </w:p>
        </w:tc>
        <w:tc>
          <w:tcPr/>
          <w:p>
            <w:pPr>
              <w:pStyle w:val="Compact"/>
              <w:jc w:val="right"/>
            </w:pPr>
            <w:r>
              <w:t xml:space="preserve">1,885</w:t>
            </w:r>
          </w:p>
        </w:tc>
        <w:tc>
          <w:tcPr/>
          <w:p>
            <w:pPr>
              <w:pStyle w:val="Compact"/>
              <w:jc w:val="right"/>
            </w:pPr>
            <w:r>
              <w:t xml:space="preserve">199</w:t>
            </w:r>
          </w:p>
        </w:tc>
        <w:tc>
          <w:tcPr/>
          <w:p>
            <w:pPr>
              <w:pStyle w:val="Compact"/>
              <w:jc w:val="right"/>
            </w:pPr>
            <w:r>
              <w:t xml:space="preserve">9.46</w:t>
            </w:r>
          </w:p>
        </w:tc>
        <w:tc>
          <w:tcPr/>
          <w:p>
            <w:pPr>
              <w:pStyle w:val="Compact"/>
              <w:jc w:val="right"/>
            </w:pPr>
            <w:r>
              <w:t xml:space="preserve">17.61</w:t>
            </w:r>
          </w:p>
        </w:tc>
        <w:tc>
          <w:tcPr/>
          <w:p>
            <w:pPr>
              <w:pStyle w:val="Compact"/>
              <w:jc w:val="right"/>
            </w:pPr>
            <w:r>
              <w:t xml:space="preserve">1.9×</w:t>
            </w:r>
          </w:p>
        </w:tc>
      </w:tr>
      <w:tr>
        <w:tc>
          <w:tcPr/>
          <w:p>
            <w:pPr>
              <w:pStyle w:val="Compact"/>
              <w:jc w:val="left"/>
            </w:pPr>
            <w:r>
              <w:t xml:space="preserve">One unit, simple share</w:t>
            </w:r>
          </w:p>
        </w:tc>
        <w:tc>
          <w:tcPr/>
          <w:p>
            <w:pPr>
              <w:pStyle w:val="Compact"/>
              <w:jc w:val="right"/>
            </w:pPr>
            <w:r>
              <w:t xml:space="preserve">471</w:t>
            </w:r>
          </w:p>
        </w:tc>
        <w:tc>
          <w:tcPr/>
          <w:p>
            <w:pPr>
              <w:pStyle w:val="Compact"/>
              <w:jc w:val="right"/>
            </w:pPr>
            <w:r>
              <w:t xml:space="preserve">199</w:t>
            </w:r>
          </w:p>
        </w:tc>
        <w:tc>
          <w:tcPr/>
          <w:p>
            <w:pPr>
              <w:pStyle w:val="Compact"/>
              <w:jc w:val="right"/>
            </w:pPr>
            <w:r>
              <w:t xml:space="preserve">2.37</w:t>
            </w:r>
          </w:p>
        </w:tc>
        <w:tc>
          <w:tcPr/>
          <w:p>
            <w:pPr>
              <w:pStyle w:val="Compact"/>
              <w:jc w:val="right"/>
            </w:pPr>
            <w:r>
              <w:t xml:space="preserve">4.40</w:t>
            </w:r>
          </w:p>
        </w:tc>
        <w:tc>
          <w:tcPr/>
          <w:p>
            <w:pPr>
              <w:pStyle w:val="Compact"/>
              <w:jc w:val="right"/>
            </w:pPr>
            <w:r>
              <w:t xml:space="preserve">1.9×</w:t>
            </w:r>
          </w:p>
        </w:tc>
      </w:tr>
      <w:tr>
        <w:tc>
          <w:tcPr/>
          <w:p>
            <w:pPr>
              <w:pStyle w:val="Compact"/>
              <w:jc w:val="left"/>
            </w:pPr>
            <w:r>
              <w:t xml:space="preserve">Unit 1 plus common infrastructure, C$7.7 bn</w:t>
            </w:r>
          </w:p>
        </w:tc>
        <w:tc>
          <w:tcPr/>
          <w:p>
            <w:pPr>
              <w:pStyle w:val="Compact"/>
              <w:jc w:val="right"/>
            </w:pPr>
            <w:r>
              <w:t xml:space="preserve">694</w:t>
            </w:r>
          </w:p>
        </w:tc>
        <w:tc>
          <w:tcPr/>
          <w:p>
            <w:pPr>
              <w:pStyle w:val="Compact"/>
              <w:jc w:val="right"/>
            </w:pPr>
            <w:r>
              <w:t xml:space="preserve">294</w:t>
            </w:r>
          </w:p>
        </w:tc>
        <w:tc>
          <w:tcPr/>
          <w:p>
            <w:pPr>
              <w:pStyle w:val="Compact"/>
              <w:jc w:val="right"/>
            </w:pPr>
            <w:r>
              <w:t xml:space="preserve">2.37</w:t>
            </w:r>
          </w:p>
        </w:tc>
        <w:tc>
          <w:tcPr/>
          <w:p>
            <w:pPr>
              <w:pStyle w:val="Compact"/>
              <w:jc w:val="right"/>
            </w:pPr>
            <w:r>
              <w:t xml:space="preserve">6.49</w:t>
            </w:r>
          </w:p>
        </w:tc>
        <w:tc>
          <w:tcPr/>
          <w:p>
            <w:pPr>
              <w:pStyle w:val="Compact"/>
              <w:jc w:val="right"/>
            </w:pPr>
            <w:r>
              <w:t xml:space="preserve">2.7×</w:t>
            </w:r>
          </w:p>
        </w:tc>
      </w:tr>
    </w:tbl>
    <w:p>
      <w:pPr>
        <w:pStyle w:val="BodyText"/>
      </w:pPr>
      <w:r>
        <w:t xml:space="preserve">Capital-only LCOE for one unit across discount rates (30-year / 60-year annuity): 3%, A$126 / 89; 7%, A$199 / 176; 10%, A$262 / 248 per MWh (</w:t>
      </w:r>
      <w:r>
        <w:rPr>
          <w:rStyle w:val="VerbatimChar"/>
        </w:rPr>
        <w:t xml:space="preserve">results/same_money.md</w:t>
      </w:r>
      <w:r>
        <w:t xml:space="preserve"> </w:t>
      </w:r>
      <w:r>
        <w:t xml:space="preserve">§2).</w:t>
      </w:r>
    </w:p>
    <w:p>
      <w:pPr>
        <w:pStyle w:val="BodyText"/>
      </w:pPr>
      <w:r>
        <w:rPr>
          <w:iCs/>
          <w:i/>
        </w:rPr>
        <w:t xml:space="preserve">Table B26. Method B (SMR A$306, renewables A$107 per MWh): CO₂e avoided per dollar, Liddell/NEM.</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§3 [inputs TO VERIFY].</w:t>
      </w:r>
    </w:p>
    <w:tbl>
      <w:tblPr>
        <w:tblStyle w:val="Table"/>
        <w:tblW w:type="pct" w:w="5000"/>
        <w:tblLook w:firstRow="1" w:lastRow="0" w:firstColumn="0" w:lastColumn="0" w:noHBand="0" w:noVBand="0" w:val="0020"/>
        <w:jc w:val="start"/>
      </w:tblPr>
      <w:tblGrid>
        <w:gridCol w:w="1377"/>
        <w:gridCol w:w="1033"/>
        <w:gridCol w:w="1377"/>
        <w:gridCol w:w="1377"/>
        <w:gridCol w:w="1377"/>
        <w:gridCol w:w="1377"/>
      </w:tblGrid>
      <w:tr>
        <w:trPr>
          <w:tblHeader w:val="true"/>
        </w:trPr>
        <w:tc>
          <w:tcPr/>
          <w:p>
            <w:pPr>
              <w:pStyle w:val="Compact"/>
              <w:jc w:val="right"/>
            </w:pPr>
            <w:r>
              <w:t xml:space="preserve">Displaced grid intensity (g/kWh)</w:t>
            </w:r>
          </w:p>
        </w:tc>
        <w:tc>
          <w:tcPr/>
          <w:p>
            <w:pPr>
              <w:pStyle w:val="Compact"/>
              <w:jc w:val="left"/>
            </w:pPr>
            <w:r>
              <w:t xml:space="preserve">Case</w:t>
            </w:r>
          </w:p>
        </w:tc>
        <w:tc>
          <w:tcPr/>
          <w:p>
            <w:pPr>
              <w:pStyle w:val="Compact"/>
              <w:jc w:val="right"/>
            </w:pPr>
            <w:r>
              <w:t xml:space="preserve">SMR t CO₂e per A$1 m</w:t>
            </w:r>
          </w:p>
        </w:tc>
        <w:tc>
          <w:tcPr/>
          <w:p>
            <w:pPr>
              <w:pStyle w:val="Compact"/>
              <w:jc w:val="right"/>
            </w:pPr>
            <w:r>
              <w:t xml:space="preserve">Renewables t CO₂e per A$1 m</w:t>
            </w:r>
          </w:p>
        </w:tc>
        <w:tc>
          <w:tcPr/>
          <w:p>
            <w:pPr>
              <w:pStyle w:val="Compact"/>
              <w:jc w:val="right"/>
            </w:pPr>
            <w:r>
              <w:t xml:space="preserve">SMR A$/t (gross)</w:t>
            </w:r>
          </w:p>
        </w:tc>
        <w:tc>
          <w:tcPr/>
          <w:p>
            <w:pPr>
              <w:pStyle w:val="Compact"/>
              <w:jc w:val="right"/>
            </w:pPr>
            <w:r>
              <w:t xml:space="preserve">Renewables A$/t (gross)</w:t>
            </w:r>
          </w:p>
        </w:tc>
      </w:tr>
      <w:tr>
        <w:tc>
          <w:tcPr/>
          <w:p>
            <w:pPr>
              <w:pStyle w:val="Compact"/>
              <w:jc w:val="right"/>
            </w:pPr>
            <w:r>
              <w:t xml:space="preserve">640</w:t>
            </w:r>
          </w:p>
        </w:tc>
        <w:tc>
          <w:tcPr/>
          <w:p>
            <w:pPr>
              <w:pStyle w:val="Compact"/>
              <w:jc w:val="left"/>
            </w:pPr>
            <w:r>
              <w:t xml:space="preserve">NSW 2025 average</w:t>
            </w:r>
          </w:p>
        </w:tc>
        <w:tc>
          <w:tcPr/>
          <w:p>
            <w:pPr>
              <w:pStyle w:val="Compact"/>
              <w:jc w:val="right"/>
            </w:pPr>
            <w:r>
              <w:t xml:space="preserve">2,078</w:t>
            </w:r>
          </w:p>
        </w:tc>
        <w:tc>
          <w:tcPr/>
          <w:p>
            <w:pPr>
              <w:pStyle w:val="Compact"/>
              <w:jc w:val="right"/>
            </w:pPr>
            <w:r>
              <w:t xml:space="preserve">5,701</w:t>
            </w:r>
          </w:p>
        </w:tc>
        <w:tc>
          <w:tcPr/>
          <w:p>
            <w:pPr>
              <w:pStyle w:val="Compact"/>
              <w:jc w:val="right"/>
            </w:pPr>
            <w:r>
              <w:t xml:space="preserve">481</w:t>
            </w:r>
          </w:p>
        </w:tc>
        <w:tc>
          <w:tcPr/>
          <w:p>
            <w:pPr>
              <w:pStyle w:val="Compact"/>
              <w:jc w:val="right"/>
            </w:pPr>
            <w:r>
              <w:t xml:space="preserve">175</w:t>
            </w:r>
          </w:p>
        </w:tc>
      </w:tr>
      <w:tr>
        <w:tc>
          <w:tcPr/>
          <w:p>
            <w:pPr>
              <w:pStyle w:val="Compact"/>
              <w:jc w:val="right"/>
            </w:pPr>
            <w:r>
              <w:t xml:space="preserve">274</w:t>
            </w:r>
          </w:p>
        </w:tc>
        <w:tc>
          <w:tcPr/>
          <w:p>
            <w:pPr>
              <w:pStyle w:val="Compact"/>
              <w:jc w:val="left"/>
            </w:pPr>
            <w:r>
              <w:t xml:space="preserve">NEM-T2 in 2040</w:t>
            </w:r>
          </w:p>
        </w:tc>
        <w:tc>
          <w:tcPr/>
          <w:p>
            <w:pPr>
              <w:pStyle w:val="Compact"/>
              <w:jc w:val="right"/>
            </w:pPr>
            <w:r>
              <w:t xml:space="preserve">882</w:t>
            </w:r>
          </w:p>
        </w:tc>
        <w:tc>
          <w:tcPr/>
          <w:p>
            <w:pPr>
              <w:pStyle w:val="Compact"/>
              <w:jc w:val="right"/>
            </w:pPr>
            <w:r>
              <w:t xml:space="preserve">2,280</w:t>
            </w:r>
          </w:p>
        </w:tc>
        <w:tc>
          <w:tcPr/>
          <w:p>
            <w:pPr>
              <w:pStyle w:val="Compact"/>
              <w:jc w:val="right"/>
            </w:pPr>
            <w:r>
              <w:t xml:space="preserve">1,134</w:t>
            </w:r>
          </w:p>
        </w:tc>
        <w:tc>
          <w:tcPr/>
          <w:p>
            <w:pPr>
              <w:pStyle w:val="Compact"/>
              <w:jc w:val="right"/>
            </w:pPr>
            <w:r>
              <w:t xml:space="preserve">439</w:t>
            </w:r>
          </w:p>
        </w:tc>
      </w:tr>
      <w:tr>
        <w:tc>
          <w:tcPr/>
          <w:p>
            <w:pPr>
              <w:pStyle w:val="Compact"/>
              <w:jc w:val="right"/>
            </w:pPr>
            <w:r>
              <w:t xml:space="preserve">80</w:t>
            </w:r>
          </w:p>
        </w:tc>
        <w:tc>
          <w:tcPr/>
          <w:p>
            <w:pPr>
              <w:pStyle w:val="Compact"/>
              <w:jc w:val="left"/>
            </w:pPr>
            <w:r>
              <w:t xml:space="preserve">Post-coal mix + 50 (illustrative)</w:t>
            </w:r>
          </w:p>
        </w:tc>
        <w:tc>
          <w:tcPr/>
          <w:p>
            <w:pPr>
              <w:pStyle w:val="Compact"/>
              <w:jc w:val="right"/>
            </w:pPr>
            <w:r>
              <w:t xml:space="preserve">248</w:t>
            </w:r>
          </w:p>
        </w:tc>
        <w:tc>
          <w:tcPr/>
          <w:p>
            <w:pPr>
              <w:pStyle w:val="Compact"/>
              <w:jc w:val="right"/>
            </w:pPr>
            <w:r>
              <w:t xml:space="preserve">467</w:t>
            </w:r>
          </w:p>
        </w:tc>
        <w:tc>
          <w:tcPr/>
          <w:p>
            <w:pPr>
              <w:pStyle w:val="Compact"/>
              <w:jc w:val="right"/>
            </w:pPr>
            <w:r>
              <w:t xml:space="preserve">4,037</w:t>
            </w:r>
          </w:p>
        </w:tc>
        <w:tc>
          <w:tcPr/>
          <w:p>
            <w:pPr>
              <w:pStyle w:val="Compact"/>
              <w:jc w:val="right"/>
            </w:pPr>
            <w:r>
              <w:t xml:space="preserve">2,140</w:t>
            </w:r>
          </w:p>
        </w:tc>
      </w:tr>
    </w:tbl>
    <w:p>
      <w:pPr>
        <w:pStyle w:val="BodyText"/>
      </w:pPr>
      <w:r>
        <w:rPr>
          <w:iCs/>
          <w:i/>
        </w:rPr>
        <w:t xml:space="preserve">Table B27. Cumulative CO₂e avoided for the same annual spend as one SMR unit (A$0.72 bn a year buys 6.8 TWh a year of firmed renewables from 2028, against the SMR’s 2.37 TWh).</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§4 [inputs TO VERIFY]. The alternative reading (A$514 / A$102; A$1.22 bn buys 11.9 TWh) gives Liddell ratios of 10.1×, 45.8×, 19.1× and 9.3× for the first four rows (</w:t>
      </w:r>
      <w:r>
        <w:rPr>
          <w:rStyle w:val="VerbatimChar"/>
          <w:iCs/>
          <w:i/>
        </w:rPr>
        <w:t xml:space="preserve">same_money.md</w:t>
      </w:r>
      <w:r>
        <w:rPr>
          <w:iCs/>
          <w:i/>
        </w:rPr>
        <w:t xml:space="preserve"> </w:t>
      </w:r>
      <w:r>
        <w:rPr>
          <w:iCs/>
          <w:i/>
        </w:rPr>
        <w:t xml:space="preserve">§4; the NEM-T2 slow rows are in Table B28).</w:t>
      </w:r>
    </w:p>
    <w:tbl>
      <w:tblPr>
        <w:tblStyle w:val="Table"/>
        <w:tblW w:type="pct" w:w="5000"/>
        <w:tblLook w:firstRow="1" w:lastRow="0" w:firstColumn="0" w:lastColumn="0" w:noHBand="0" w:noVBand="0" w:val="0020"/>
        <w:jc w:val="start"/>
      </w:tblPr>
      <w:tblGrid>
        <w:gridCol w:w="792"/>
        <w:gridCol w:w="792"/>
        <w:gridCol w:w="1056"/>
        <w:gridCol w:w="1056"/>
        <w:gridCol w:w="1056"/>
        <w:gridCol w:w="1056"/>
        <w:gridCol w:w="1056"/>
        <w:gridCol w:w="1056"/>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SMR start</w:t>
            </w:r>
          </w:p>
        </w:tc>
        <w:tc>
          <w:tcPr/>
          <w:p>
            <w:pPr>
              <w:pStyle w:val="Compact"/>
              <w:jc w:val="right"/>
            </w:pPr>
            <w:r>
              <w:t xml:space="preserve">SMR to 2035</w:t>
            </w:r>
          </w:p>
        </w:tc>
        <w:tc>
          <w:tcPr/>
          <w:p>
            <w:pPr>
              <w:pStyle w:val="Compact"/>
              <w:jc w:val="right"/>
            </w:pPr>
            <w:r>
              <w:t xml:space="preserve">SMR to 2050</w:t>
            </w:r>
          </w:p>
        </w:tc>
        <w:tc>
          <w:tcPr/>
          <w:p>
            <w:pPr>
              <w:pStyle w:val="Compact"/>
              <w:jc w:val="right"/>
            </w:pPr>
            <w:r>
              <w:t xml:space="preserve">Renewables to 2035</w:t>
            </w:r>
          </w:p>
        </w:tc>
        <w:tc>
          <w:tcPr/>
          <w:p>
            <w:pPr>
              <w:pStyle w:val="Compact"/>
              <w:jc w:val="right"/>
            </w:pPr>
            <w:r>
              <w:t xml:space="preserve">Renewables to 2050</w:t>
            </w:r>
          </w:p>
        </w:tc>
        <w:tc>
          <w:tcPr/>
          <w:p>
            <w:pPr>
              <w:pStyle w:val="Compact"/>
              <w:jc w:val="right"/>
            </w:pPr>
            <w:r>
              <w:t xml:space="preserve">Renewables / SMR to 2050</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33.01 Mt</w:t>
            </w:r>
          </w:p>
        </w:tc>
        <w:tc>
          <w:tcPr/>
          <w:p>
            <w:pPr>
              <w:pStyle w:val="Compact"/>
              <w:jc w:val="right"/>
            </w:pPr>
            <w:r>
              <w:t xml:space="preserve">94.90 Mt</w:t>
            </w:r>
          </w:p>
        </w:tc>
        <w:tc>
          <w:tcPr/>
          <w:p>
            <w:pPr>
              <w:pStyle w:val="Compact"/>
              <w:jc w:val="right"/>
            </w:pPr>
            <w:r>
              <w:t xml:space="preserve">5.7×</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0.67 Mt</w:t>
            </w:r>
          </w:p>
        </w:tc>
        <w:tc>
          <w:tcPr/>
          <w:p>
            <w:pPr>
              <w:pStyle w:val="Compact"/>
              <w:jc w:val="right"/>
            </w:pPr>
            <w:r>
              <w:t xml:space="preserve">16.50 Mt</w:t>
            </w:r>
          </w:p>
        </w:tc>
        <w:tc>
          <w:tcPr/>
          <w:p>
            <w:pPr>
              <w:pStyle w:val="Compact"/>
              <w:jc w:val="right"/>
            </w:pPr>
            <w:r>
              <w:t xml:space="preserve">17.46 Mt</w:t>
            </w:r>
          </w:p>
        </w:tc>
        <w:tc>
          <w:tcPr/>
          <w:p>
            <w:pPr>
              <w:pStyle w:val="Compact"/>
              <w:jc w:val="right"/>
            </w:pPr>
            <w:r>
              <w:t xml:space="preserve">26.0×</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10.9×</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0.93 Mt</w:t>
            </w:r>
          </w:p>
        </w:tc>
        <w:tc>
          <w:tcPr/>
          <w:p>
            <w:pPr>
              <w:pStyle w:val="Compact"/>
              <w:jc w:val="right"/>
            </w:pPr>
            <w:r>
              <w:t xml:space="preserve">7.90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5.3×</w:t>
            </w:r>
          </w:p>
        </w:tc>
      </w:tr>
      <w:tr>
        <w:tc>
          <w:tcPr/>
          <w:p>
            <w:pPr>
              <w:pStyle w:val="Compact"/>
              <w:jc w:val="left"/>
            </w:pPr>
            <w:r>
              <w:t xml:space="preserve">Darlington (indicative, GenCost costs)</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0.54 Mt</w:t>
            </w:r>
          </w:p>
        </w:tc>
        <w:tc>
          <w:tcPr/>
          <w:p>
            <w:pPr>
              <w:pStyle w:val="Compact"/>
              <w:jc w:val="right"/>
            </w:pPr>
            <w:r>
              <w:t xml:space="preserve">1.01 Mt</w:t>
            </w:r>
          </w:p>
        </w:tc>
        <w:tc>
          <w:tcPr/>
          <w:p>
            <w:pPr>
              <w:pStyle w:val="Compact"/>
              <w:jc w:val="right"/>
            </w:pPr>
            <w:r>
              <w:t xml:space="preserve">0.88 Mt</w:t>
            </w:r>
          </w:p>
        </w:tc>
        <w:tc>
          <w:tcPr/>
          <w:p>
            <w:pPr>
              <w:pStyle w:val="Compact"/>
              <w:jc w:val="right"/>
            </w:pPr>
            <w:r>
              <w:t xml:space="preserve">−0.39 Mt</w:t>
            </w:r>
          </w:p>
        </w:tc>
        <w:tc>
          <w:tcPr/>
          <w:p>
            <w:pPr>
              <w:pStyle w:val="Compact"/>
              <w:jc w:val="right"/>
            </w:pPr>
            <w:r>
              <w:t xml:space="preserve">−0.4×</w:t>
            </w:r>
          </w:p>
        </w:tc>
      </w:tr>
      <w:tr>
        <w:tc>
          <w:tcPr/>
          <w:p>
            <w:pPr>
              <w:pStyle w:val="Compact"/>
              <w:jc w:val="left"/>
            </w:pPr>
            <w:r>
              <w:t xml:space="preserve">Darlington (indicative, GenCost costs)</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11.82 Mt</w:t>
            </w:r>
          </w:p>
        </w:tc>
        <w:tc>
          <w:tcPr/>
          <w:p>
            <w:pPr>
              <w:pStyle w:val="Compact"/>
              <w:jc w:val="right"/>
            </w:pPr>
            <w:r>
              <w:t xml:space="preserve">19.26 Mt</w:t>
            </w:r>
          </w:p>
        </w:tc>
        <w:tc>
          <w:tcPr/>
          <w:p>
            <w:pPr>
              <w:pStyle w:val="Compact"/>
              <w:jc w:val="right"/>
            </w:pPr>
            <w:r>
              <w:t xml:space="preserve">2.8×</w:t>
            </w:r>
          </w:p>
        </w:tc>
      </w:tr>
    </w:tbl>
    <w:p>
      <w:pPr>
        <w:pStyle w:val="BodyText"/>
      </w:pPr>
      <w:r>
        <w:t xml:space="preserve">The negative Ontario-average row arises because, once Ontario’s average falls below the renewables’ assumed 30 g/kWh life-cycle value, extra renewables add emissions against that average and the SMR’s lower life-cycle value wins. This is a real property of a near-clean grid. But it rests on two placeholders (the renewables’ life-cycle value and IESO’s 2040 figure) and on the average rather than the marginal factor.</w:t>
      </w:r>
    </w:p>
    <w:p>
      <w:pPr>
        <w:pStyle w:val="BodyText"/>
      </w:pPr>
      <w:r>
        <w:rPr>
          <w:iCs/>
          <w:i/>
        </w:rPr>
        <w:t xml:space="preserve">Table B28. Sensitivity of the same-money result (Liddell, NEM-T2 slow, SMR from 2040). Figure F7 data.</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§5 [inputs TO VERIFY]. Bold row is the central case §7 uses; the last six rows are the alternative reading (SMR A$514).</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Case (SMR / renewables LCOE, A$/MWh)</w:t>
            </w:r>
          </w:p>
        </w:tc>
        <w:tc>
          <w:tcPr/>
          <w:p>
            <w:pPr>
              <w:pStyle w:val="Compact"/>
              <w:jc w:val="right"/>
            </w:pPr>
            <w:r>
              <w:t xml:space="preserve">Energy ratio</w:t>
            </w:r>
          </w:p>
        </w:tc>
        <w:tc>
          <w:tcPr/>
          <w:p>
            <w:pPr>
              <w:pStyle w:val="Compact"/>
              <w:jc w:val="right"/>
            </w:pPr>
            <w:r>
              <w:t xml:space="preserve">Renewables / SMR CO₂e to 2050</w:t>
            </w:r>
          </w:p>
        </w:tc>
      </w:tr>
      <w:tr>
        <w:tc>
          <w:tcPr/>
          <w:p>
            <w:pPr>
              <w:pStyle w:val="Compact"/>
              <w:jc w:val="left"/>
            </w:pPr>
            <w:r>
              <w:rPr>
                <w:bCs/>
                <w:b/>
              </w:rPr>
              <w:t xml:space="preserve">Central: GenCost 2023-24, 2030 midpoints (306 / 107)</w:t>
            </w:r>
          </w:p>
        </w:tc>
        <w:tc>
          <w:tcPr/>
          <w:p>
            <w:pPr>
              <w:pStyle w:val="Compact"/>
              <w:jc w:val="right"/>
            </w:pPr>
            <w:r>
              <w:rPr>
                <w:bCs/>
                <w:b/>
              </w:rPr>
              <w:t xml:space="preserve">2.9×</w:t>
            </w:r>
          </w:p>
        </w:tc>
        <w:tc>
          <w:tcPr/>
          <w:p>
            <w:pPr>
              <w:pStyle w:val="Compact"/>
              <w:jc w:val="right"/>
            </w:pPr>
            <w:r>
              <w:rPr>
                <w:bCs/>
                <w:b/>
              </w:rPr>
              <w:t xml:space="preserve">10.9×</w:t>
            </w:r>
          </w:p>
        </w:tc>
      </w:tr>
      <w:tr>
        <w:tc>
          <w:tcPr/>
          <w:p>
            <w:pPr>
              <w:pStyle w:val="Compact"/>
              <w:jc w:val="left"/>
            </w:pPr>
            <w:r>
              <w:t xml:space="preserve">SMR LCOE 2030 low (230 / 107)</w:t>
            </w:r>
          </w:p>
        </w:tc>
        <w:tc>
          <w:tcPr/>
          <w:p>
            <w:pPr>
              <w:pStyle w:val="Compact"/>
              <w:jc w:val="right"/>
            </w:pPr>
            <w:r>
              <w:t xml:space="preserve">2.1×</w:t>
            </w:r>
          </w:p>
        </w:tc>
        <w:tc>
          <w:tcPr/>
          <w:p>
            <w:pPr>
              <w:pStyle w:val="Compact"/>
              <w:jc w:val="right"/>
            </w:pPr>
            <w:r>
              <w:t xml:space="preserve">8.2×</w:t>
            </w:r>
          </w:p>
        </w:tc>
      </w:tr>
      <w:tr>
        <w:tc>
          <w:tcPr/>
          <w:p>
            <w:pPr>
              <w:pStyle w:val="Compact"/>
              <w:jc w:val="left"/>
            </w:pPr>
            <w:r>
              <w:t xml:space="preserve">SMR LCOE 2030 high (382 / 107)</w:t>
            </w:r>
          </w:p>
        </w:tc>
        <w:tc>
          <w:tcPr/>
          <w:p>
            <w:pPr>
              <w:pStyle w:val="Compact"/>
              <w:jc w:val="right"/>
            </w:pPr>
            <w:r>
              <w:t xml:space="preserve">3.6×</w:t>
            </w:r>
          </w:p>
        </w:tc>
        <w:tc>
          <w:tcPr/>
          <w:p>
            <w:pPr>
              <w:pStyle w:val="Compact"/>
              <w:jc w:val="right"/>
            </w:pPr>
            <w:r>
              <w:t xml:space="preserve">13.6×</w:t>
            </w:r>
          </w:p>
        </w:tc>
      </w:tr>
      <w:tr>
        <w:tc>
          <w:tcPr/>
          <w:p>
            <w:pPr>
              <w:pStyle w:val="Compact"/>
              <w:jc w:val="left"/>
            </w:pPr>
            <w:r>
              <w:t xml:space="preserve">Renewables LCOE 2030 low (306 / 89)</w:t>
            </w:r>
          </w:p>
        </w:tc>
        <w:tc>
          <w:tcPr/>
          <w:p>
            <w:pPr>
              <w:pStyle w:val="Compact"/>
              <w:jc w:val="right"/>
            </w:pPr>
            <w:r>
              <w:t xml:space="preserve">3.4×</w:t>
            </w:r>
          </w:p>
        </w:tc>
        <w:tc>
          <w:tcPr/>
          <w:p>
            <w:pPr>
              <w:pStyle w:val="Compact"/>
              <w:jc w:val="right"/>
            </w:pPr>
            <w:r>
              <w:t xml:space="preserve">13.1×</w:t>
            </w:r>
          </w:p>
        </w:tc>
      </w:tr>
      <w:tr>
        <w:tc>
          <w:tcPr/>
          <w:p>
            <w:pPr>
              <w:pStyle w:val="Compact"/>
              <w:jc w:val="left"/>
            </w:pPr>
            <w:r>
              <w:t xml:space="preserve">Renewables LCOE 2030 high (306 / 125)</w:t>
            </w:r>
          </w:p>
        </w:tc>
        <w:tc>
          <w:tcPr/>
          <w:p>
            <w:pPr>
              <w:pStyle w:val="Compact"/>
              <w:jc w:val="right"/>
            </w:pPr>
            <w:r>
              <w:t xml:space="preserve">2.4×</w:t>
            </w:r>
          </w:p>
        </w:tc>
        <w:tc>
          <w:tcPr/>
          <w:p>
            <w:pPr>
              <w:pStyle w:val="Compact"/>
              <w:jc w:val="right"/>
            </w:pPr>
            <w:r>
              <w:t xml:space="preserve">9.3×</w:t>
            </w:r>
          </w:p>
        </w:tc>
      </w:tr>
      <w:tr>
        <w:tc>
          <w:tcPr/>
          <w:p>
            <w:pPr>
              <w:pStyle w:val="Compact"/>
              <w:jc w:val="left"/>
            </w:pPr>
            <w:r>
              <w:t xml:space="preserve">Renewables high, assumption (306 / 153)</w:t>
            </w:r>
          </w:p>
        </w:tc>
        <w:tc>
          <w:tcPr/>
          <w:p>
            <w:pPr>
              <w:pStyle w:val="Compact"/>
              <w:jc w:val="right"/>
            </w:pPr>
            <w:r>
              <w:t xml:space="preserve">2.0×</w:t>
            </w:r>
          </w:p>
        </w:tc>
        <w:tc>
          <w:tcPr/>
          <w:p>
            <w:pPr>
              <w:pStyle w:val="Compact"/>
              <w:jc w:val="right"/>
            </w:pPr>
            <w:r>
              <w:t xml:space="preserve">7.6×</w:t>
            </w:r>
          </w:p>
        </w:tc>
      </w:tr>
      <w:tr>
        <w:tc>
          <w:tcPr/>
          <w:p>
            <w:pPr>
              <w:pStyle w:val="Compact"/>
              <w:jc w:val="left"/>
            </w:pPr>
            <w:r>
              <w:t xml:space="preserve">Worst case for renewables on the 2030 reading (230 / 153)</w:t>
            </w:r>
          </w:p>
        </w:tc>
        <w:tc>
          <w:tcPr/>
          <w:p>
            <w:pPr>
              <w:pStyle w:val="Compact"/>
              <w:jc w:val="right"/>
            </w:pPr>
            <w:r>
              <w:t xml:space="preserve">1.5×</w:t>
            </w:r>
          </w:p>
        </w:tc>
        <w:tc>
          <w:tcPr/>
          <w:p>
            <w:pPr>
              <w:pStyle w:val="Compact"/>
              <w:jc w:val="right"/>
            </w:pPr>
            <w:r>
              <w:t xml:space="preserve">5.7×</w:t>
            </w:r>
          </w:p>
        </w:tc>
      </w:tr>
      <w:tr>
        <w:tc>
          <w:tcPr/>
          <w:p>
            <w:pPr>
              <w:pStyle w:val="Compact"/>
              <w:jc w:val="left"/>
            </w:pPr>
            <w:r>
              <w:t xml:space="preserve">Low SMR lead (198 / 107)</w:t>
            </w:r>
          </w:p>
        </w:tc>
        <w:tc>
          <w:tcPr/>
          <w:p>
            <w:pPr>
              <w:pStyle w:val="Compact"/>
              <w:jc w:val="right"/>
            </w:pPr>
            <w:r>
              <w:t xml:space="preserve">1.9×</w:t>
            </w:r>
          </w:p>
        </w:tc>
        <w:tc>
          <w:tcPr/>
          <w:p>
            <w:pPr>
              <w:pStyle w:val="Compact"/>
              <w:jc w:val="right"/>
            </w:pPr>
            <w:r>
              <w:t xml:space="preserve">7.0×</w:t>
            </w:r>
          </w:p>
        </w:tc>
      </w:tr>
      <w:tr>
        <w:tc>
          <w:tcPr/>
          <w:p>
            <w:pPr>
              <w:pStyle w:val="Compact"/>
              <w:jc w:val="left"/>
            </w:pPr>
            <w:r>
              <w:t xml:space="preserve">Lowest SMR lead, worst case tested (198 / 153)</w:t>
            </w:r>
          </w:p>
        </w:tc>
        <w:tc>
          <w:tcPr/>
          <w:p>
            <w:pPr>
              <w:pStyle w:val="Compact"/>
              <w:jc w:val="right"/>
            </w:pPr>
            <w:r>
              <w:t xml:space="preserve">1.3×</w:t>
            </w:r>
          </w:p>
        </w:tc>
        <w:tc>
          <w:tcPr/>
          <w:p>
            <w:pPr>
              <w:pStyle w:val="Compact"/>
              <w:jc w:val="right"/>
            </w:pPr>
            <w:r>
              <w:t xml:space="preserve">4.9×</w:t>
            </w:r>
          </w:p>
        </w:tc>
      </w:tr>
      <w:tr>
        <w:tc>
          <w:tcPr/>
          <w:p>
            <w:pPr>
              <w:pStyle w:val="Compact"/>
              <w:jc w:val="left"/>
            </w:pPr>
            <w:r>
              <w:t xml:space="preserve">SMR starts 2035 (306 / 107)</w:t>
            </w:r>
          </w:p>
        </w:tc>
        <w:tc>
          <w:tcPr/>
          <w:p>
            <w:pPr>
              <w:pStyle w:val="Compact"/>
              <w:jc w:val="right"/>
            </w:pPr>
            <w:r>
              <w:t xml:space="preserve">2.9×</w:t>
            </w:r>
          </w:p>
        </w:tc>
        <w:tc>
          <w:tcPr/>
          <w:p>
            <w:pPr>
              <w:pStyle w:val="Compact"/>
              <w:jc w:val="right"/>
            </w:pPr>
            <w:r>
              <w:t xml:space="preserve">5.3×</w:t>
            </w:r>
          </w:p>
        </w:tc>
      </w:tr>
      <w:tr>
        <w:tc>
          <w:tcPr/>
          <w:p>
            <w:pPr>
              <w:pStyle w:val="Compact"/>
              <w:jc w:val="left"/>
            </w:pPr>
            <w:r>
              <w:t xml:space="preserve">Renewables start 2030 (306 / 107)</w:t>
            </w:r>
          </w:p>
        </w:tc>
        <w:tc>
          <w:tcPr/>
          <w:p>
            <w:pPr>
              <w:pStyle w:val="Compact"/>
              <w:jc w:val="right"/>
            </w:pPr>
            <w:r>
              <w:t xml:space="preserve">2.9×</w:t>
            </w:r>
          </w:p>
        </w:tc>
        <w:tc>
          <w:tcPr/>
          <w:p>
            <w:pPr>
              <w:pStyle w:val="Compact"/>
              <w:jc w:val="right"/>
            </w:pPr>
            <w:r>
              <w:t xml:space="preserve">9.0×</w:t>
            </w:r>
          </w:p>
        </w:tc>
      </w:tr>
      <w:tr>
        <w:tc>
          <w:tcPr/>
          <w:p>
            <w:pPr>
              <w:pStyle w:val="Compact"/>
              <w:jc w:val="left"/>
            </w:pPr>
            <w:r>
              <w:t xml:space="preserve">Renewables life cycle 83 g/kWh (306 / 107)</w:t>
            </w:r>
          </w:p>
        </w:tc>
        <w:tc>
          <w:tcPr/>
          <w:p>
            <w:pPr>
              <w:pStyle w:val="Compact"/>
              <w:jc w:val="right"/>
            </w:pPr>
            <w:r>
              <w:t xml:space="preserve">2.9×</w:t>
            </w:r>
          </w:p>
        </w:tc>
        <w:tc>
          <w:tcPr/>
          <w:p>
            <w:pPr>
              <w:pStyle w:val="Compact"/>
              <w:jc w:val="right"/>
            </w:pPr>
            <w:r>
              <w:t xml:space="preserve">8.7×</w:t>
            </w:r>
          </w:p>
        </w:tc>
      </w:tr>
      <w:tr>
        <w:tc>
          <w:tcPr/>
          <w:p>
            <w:pPr>
              <w:pStyle w:val="Compact"/>
              <w:jc w:val="left"/>
            </w:pPr>
            <w:r>
              <w:t xml:space="preserve">SMR life cycle 5.8 g/kWh, our 95th percentile (306 / 107)</w:t>
            </w:r>
          </w:p>
        </w:tc>
        <w:tc>
          <w:tcPr/>
          <w:p>
            <w:pPr>
              <w:pStyle w:val="Compact"/>
              <w:jc w:val="right"/>
            </w:pPr>
            <w:r>
              <w:t xml:space="preserve">2.9×</w:t>
            </w:r>
          </w:p>
        </w:tc>
        <w:tc>
          <w:tcPr/>
          <w:p>
            <w:pPr>
              <w:pStyle w:val="Compact"/>
              <w:jc w:val="right"/>
            </w:pPr>
            <w:r>
              <w:t xml:space="preserve">11.0×</w:t>
            </w:r>
          </w:p>
        </w:tc>
      </w:tr>
      <w:tr>
        <w:tc>
          <w:tcPr/>
          <w:p>
            <w:pPr>
              <w:pStyle w:val="Compact"/>
              <w:jc w:val="left"/>
            </w:pPr>
            <w:r>
              <w:t xml:space="preserve">Alternative reading, central (514 / 102)</w:t>
            </w:r>
          </w:p>
        </w:tc>
        <w:tc>
          <w:tcPr/>
          <w:p>
            <w:pPr>
              <w:pStyle w:val="Compact"/>
              <w:jc w:val="right"/>
            </w:pPr>
            <w:r>
              <w:t xml:space="preserve">5.0×</w:t>
            </w:r>
          </w:p>
        </w:tc>
        <w:tc>
          <w:tcPr/>
          <w:p>
            <w:pPr>
              <w:pStyle w:val="Compact"/>
              <w:jc w:val="right"/>
            </w:pPr>
            <w:r>
              <w:t xml:space="preserve">19.1×</w:t>
            </w:r>
          </w:p>
        </w:tc>
      </w:tr>
      <w:tr>
        <w:tc>
          <w:tcPr/>
          <w:p>
            <w:pPr>
              <w:pStyle w:val="Compact"/>
              <w:jc w:val="left"/>
            </w:pPr>
            <w:r>
              <w:t xml:space="preserve">Alternative reading, SMR low (387 / 102)</w:t>
            </w:r>
          </w:p>
        </w:tc>
        <w:tc>
          <w:tcPr/>
          <w:p>
            <w:pPr>
              <w:pStyle w:val="Compact"/>
              <w:jc w:val="right"/>
            </w:pPr>
            <w:r>
              <w:t xml:space="preserve">3.8×</w:t>
            </w:r>
          </w:p>
        </w:tc>
        <w:tc>
          <w:tcPr/>
          <w:p>
            <w:pPr>
              <w:pStyle w:val="Compact"/>
              <w:jc w:val="right"/>
            </w:pPr>
            <w:r>
              <w:t xml:space="preserve">14.4×</w:t>
            </w:r>
          </w:p>
        </w:tc>
      </w:tr>
      <w:tr>
        <w:tc>
          <w:tcPr/>
          <w:p>
            <w:pPr>
              <w:pStyle w:val="Compact"/>
              <w:jc w:val="left"/>
            </w:pPr>
            <w:r>
              <w:t xml:space="preserve">Alternative reading, SMR high (641 / 102)</w:t>
            </w:r>
          </w:p>
        </w:tc>
        <w:tc>
          <w:tcPr/>
          <w:p>
            <w:pPr>
              <w:pStyle w:val="Compact"/>
              <w:jc w:val="right"/>
            </w:pPr>
            <w:r>
              <w:t xml:space="preserve">6.3×</w:t>
            </w:r>
          </w:p>
        </w:tc>
        <w:tc>
          <w:tcPr/>
          <w:p>
            <w:pPr>
              <w:pStyle w:val="Compact"/>
              <w:jc w:val="right"/>
            </w:pPr>
            <w:r>
              <w:t xml:space="preserve">23.9×</w:t>
            </w:r>
          </w:p>
        </w:tc>
      </w:tr>
      <w:tr>
        <w:tc>
          <w:tcPr/>
          <w:p>
            <w:pPr>
              <w:pStyle w:val="Compact"/>
              <w:jc w:val="left"/>
            </w:pPr>
            <w:r>
              <w:t xml:space="preserve">Alternative reading, renewables low (514 / 91)</w:t>
            </w:r>
          </w:p>
        </w:tc>
        <w:tc>
          <w:tcPr/>
          <w:p>
            <w:pPr>
              <w:pStyle w:val="Compact"/>
              <w:jc w:val="right"/>
            </w:pPr>
            <w:r>
              <w:t xml:space="preserve">5.6×</w:t>
            </w:r>
          </w:p>
        </w:tc>
        <w:tc>
          <w:tcPr/>
          <w:p>
            <w:pPr>
              <w:pStyle w:val="Compact"/>
              <w:jc w:val="right"/>
            </w:pPr>
            <w:r>
              <w:t xml:space="preserve">21.4×</w:t>
            </w:r>
          </w:p>
        </w:tc>
      </w:tr>
      <w:tr>
        <w:tc>
          <w:tcPr/>
          <w:p>
            <w:pPr>
              <w:pStyle w:val="Compact"/>
              <w:jc w:val="left"/>
            </w:pPr>
            <w:r>
              <w:t xml:space="preserve">Alternative reading, renewables high, assumption (514 / 153)</w:t>
            </w:r>
          </w:p>
        </w:tc>
        <w:tc>
          <w:tcPr/>
          <w:p>
            <w:pPr>
              <w:pStyle w:val="Compact"/>
              <w:jc w:val="right"/>
            </w:pPr>
            <w:r>
              <w:t xml:space="preserve">3.4×</w:t>
            </w:r>
          </w:p>
        </w:tc>
        <w:tc>
          <w:tcPr/>
          <w:p>
            <w:pPr>
              <w:pStyle w:val="Compact"/>
              <w:jc w:val="right"/>
            </w:pPr>
            <w:r>
              <w:t xml:space="preserve">12.8×</w:t>
            </w:r>
          </w:p>
        </w:tc>
      </w:tr>
      <w:tr>
        <w:tc>
          <w:tcPr/>
          <w:p>
            <w:pPr>
              <w:pStyle w:val="Compact"/>
              <w:jc w:val="left"/>
            </w:pPr>
            <w:r>
              <w:t xml:space="preserve">Alternative reading, SMR starts 2035</w:t>
            </w:r>
          </w:p>
        </w:tc>
        <w:tc>
          <w:tcPr/>
          <w:p>
            <w:pPr>
              <w:pStyle w:val="Compact"/>
              <w:jc w:val="right"/>
            </w:pPr>
            <w:r>
              <w:t xml:space="preserve">5.0×</w:t>
            </w:r>
          </w:p>
        </w:tc>
        <w:tc>
          <w:tcPr/>
          <w:p>
            <w:pPr>
              <w:pStyle w:val="Compact"/>
              <w:jc w:val="right"/>
            </w:pPr>
            <w:r>
              <w:t xml:space="preserve">9.3×</w:t>
            </w:r>
          </w:p>
        </w:tc>
      </w:tr>
    </w:tbl>
    <w:bookmarkEnd w:id="86"/>
    <w:bookmarkStart w:id="87" w:name="Xb46440dcd6bb376dc9fa16a124016f8e20a5823"/>
    <w:p>
      <w:pPr>
        <w:pStyle w:val="Heading4"/>
      </w:pPr>
      <w:r>
        <w:t xml:space="preserve">B6.3 Check against our own LCOE and OPG’s figure</w:t>
      </w:r>
    </w:p>
    <w:p>
      <w:pPr>
        <w:pStyle w:val="FirstParagraph"/>
      </w:pPr>
      <w:r>
        <w:t xml:space="preserve">Our Darlington LCOE (</w:t>
      </w:r>
      <w:r>
        <w:rPr>
          <w:rStyle w:val="VerbatimChar"/>
        </w:rPr>
        <w:t xml:space="preserve">results/lcoe.md</w:t>
      </w:r>
      <w:r>
        <w:t xml:space="preserve">; case B, 60 years, vendor operating costs, CF 0.90) is C$112/151/198/280 per MWh at 3/5/7/10% real (A$125/169/221/313).</w:t>
      </w:r>
      <w:r>
        <w:t xml:space="preserve"> </w:t>
      </w:r>
      <w:r>
        <w:t xml:space="preserve">-</w:t>
      </w:r>
      <w:r>
        <w:t xml:space="preserve"> </w:t>
      </w:r>
      <w:r>
        <w:rPr>
          <w:bCs/>
          <w:b/>
        </w:rPr>
        <w:t xml:space="preserve">Against GenCost:</w:t>
      </w:r>
      <w:r>
        <w:t xml:space="preserve"> </w:t>
      </w:r>
      <w:r>
        <w:t xml:space="preserve">A$221 at 7% sits just below GenCost 2023-24’s 2030 SMR range (A$230–382) [TO VERIFY]. Two reasons it should sit low: Darlington is a four-unit site with shared infrastructure, whereas GenCost prices a generic single Australian SMR; and GenCost 2025-26 reports revising Darlington’s capital downwards for interest during construction (Graham and Hayward, 2026) [TO VERIFY]. At 10% (A$313) our figure falls in the upper half of GenCost’s range. GenCost 2024-25 gives an SMR value of up to A$487 (</w:t>
      </w:r>
      <w:r>
        <w:rPr>
          <w:rStyle w:val="VerbatimChar"/>
        </w:rPr>
        <w:t xml:space="preserve">results/lcoe.md</w:t>
      </w:r>
      <w:r>
        <w:t xml:space="preserve"> </w:t>
      </w:r>
      <w:r>
        <w:t xml:space="preserve">§5), so A$221 is below every GenCost range; the 2025-26 SMR value was not found.</w:t>
      </w:r>
      <w:r>
        <w:t xml:space="preserve"> </w:t>
      </w:r>
      <w:r>
        <w:t xml:space="preserve">-</w:t>
      </w:r>
      <w:r>
        <w:t xml:space="preserve"> </w:t>
      </w:r>
      <w:r>
        <w:rPr>
          <w:bCs/>
          <w:b/>
        </w:rPr>
        <w:t xml:space="preserve">Against OPG:</w:t>
      </w:r>
      <w:r>
        <w:t xml:space="preserve"> </w:t>
      </w:r>
      <w:r>
        <w:t xml:space="preserve">OPG’s reported four-unit average of C$149/MWh [TO VERIFY] is reproduced at a real discount rate of 4.9%. That rate is consistent with a ratepayer-backed Crown utility, not with merchant finance.</w:t>
      </w:r>
      <w:r>
        <w:t xml:space="preserve"> </w:t>
      </w:r>
      <w:r>
        <w:t xml:space="preserve">-</w:t>
      </w:r>
      <w:r>
        <w:t xml:space="preserve"> </w:t>
      </w:r>
      <w:r>
        <w:rPr>
          <w:bCs/>
          <w:b/>
        </w:rPr>
        <w:t xml:space="preserve">Cost ratio:</w:t>
      </w:r>
      <w:r>
        <w:t xml:space="preserve"> </w:t>
      </w:r>
      <w:r>
        <w:t xml:space="preserve">on our 7% value against GenCost 2024-25’s firmed-renewables lead, the SMR/renewables cost ratio is 221 / 101 = 2.2× (</w:t>
      </w:r>
      <w:r>
        <w:rPr>
          <w:rStyle w:val="VerbatimChar"/>
        </w:rPr>
        <w:t xml:space="preserve">results/lcoe.md</w:t>
      </w:r>
      <w:r>
        <w:t xml:space="preserve"> </w:t>
      </w:r>
      <w:r>
        <w:t xml:space="preserve">§5).</w:t>
      </w:r>
      <w:r>
        <w:t xml:space="preserve"> </w:t>
      </w:r>
      <w:r>
        <w:t xml:space="preserve">-</w:t>
      </w:r>
      <w:r>
        <w:t xml:space="preserve"> </w:t>
      </w:r>
      <w:r>
        <w:rPr>
          <w:bCs/>
          <w:b/>
        </w:rPr>
        <w:t xml:space="preserve">Full working:</w:t>
      </w:r>
      <w:r>
        <w:t xml:space="preserve"> </w:t>
      </w:r>
      <w:r>
        <w:t xml:space="preserve">in</w:t>
      </w:r>
      <w:r>
        <w:t xml:space="preserve"> </w:t>
      </w:r>
      <w:r>
        <w:rPr>
          <w:rStyle w:val="VerbatimChar"/>
        </w:rPr>
        <w:t xml:space="preserve">results/lcoe.md</w:t>
      </w:r>
      <w:r>
        <w:t xml:space="preserve"> </w:t>
      </w:r>
      <w:r>
        <w:t xml:space="preserve">[TODO: an Appendix B subsection for the LCOE with §8.2].</w:t>
      </w:r>
    </w:p>
    <w:bookmarkEnd w:id="87"/>
    <w:bookmarkStart w:id="88" w:name="b6.4-limitations"/>
    <w:p>
      <w:pPr>
        <w:pStyle w:val="Heading4"/>
      </w:pPr>
      <w:r>
        <w:t xml:space="preserve">B6.4 Limitations</w:t>
      </w:r>
    </w:p>
    <w:p>
      <w:pPr>
        <w:numPr>
          <w:ilvl w:val="0"/>
          <w:numId w:val="1010"/>
        </w:numPr>
        <w:pStyle w:val="Compact"/>
      </w:pPr>
      <w:r>
        <w:t xml:space="preserve">Adding several TWh a year of firmed renewables would itself change the NEM trajectory, so the comparison holds only at the margin of the stated trajectory.</w:t>
      </w:r>
    </w:p>
    <w:p>
      <w:pPr>
        <w:numPr>
          <w:ilvl w:val="0"/>
          <w:numId w:val="1010"/>
        </w:numPr>
        <w:pStyle w:val="Compact"/>
      </w:pPr>
      <w:r>
        <w:t xml:space="preserve">The LCOE of firmed renewables rises with their share, and GenCost’s integration costs cover this only up to the shares it models.</w:t>
      </w:r>
    </w:p>
    <w:p>
      <w:pPr>
        <w:numPr>
          <w:ilvl w:val="0"/>
          <w:numId w:val="1010"/>
        </w:numPr>
        <w:pStyle w:val="Compact"/>
      </w:pPr>
      <w:r>
        <w:t xml:space="preserve">Darlington’s budget is in nominal Canadian dollars (2025 announcement), while GenCost is in real Australian dollars. Method A is therefore an order-of-magnitude cross-check, not a precise conversion.</w:t>
      </w:r>
    </w:p>
    <w:p>
      <w:pPr>
        <w:numPr>
          <w:ilvl w:val="0"/>
          <w:numId w:val="1010"/>
        </w:numPr>
        <w:pStyle w:val="Compact"/>
      </w:pPr>
      <w:r>
        <w:t xml:space="preserve">Renewable assets last about 25–30 years [TO VERIFY, GenCost]. No replacement falls before 2050, but a whole-life comparison would need one.</w:t>
      </w:r>
    </w:p>
    <w:p>
      <w:pPr>
        <w:numPr>
          <w:ilvl w:val="0"/>
          <w:numId w:val="1010"/>
        </w:numPr>
        <w:pStyle w:val="Compact"/>
      </w:pPr>
      <w:r>
        <w:t xml:space="preserve">The Ontario rows use Australian costs and are indicative only. Ontario-specific costs were a STRETCH item in the plan and were not done.</w:t>
      </w:r>
    </w:p>
    <w:p>
      <w:r>
        <w:pict>
          <v:rect style="width:0;height:1.5pt" o:hralign="center" o:hrstd="t" o:hr="t"/>
        </w:pict>
      </w:r>
    </w:p>
    <w:bookmarkEnd w:id="88"/>
    <w:bookmarkEnd w:id="89"/>
    <w:bookmarkStart w:id="96" w:name="Xc131c5b7da9b849e6bc37677db63fd4f3349dcd"/>
    <w:p>
      <w:pPr>
        <w:pStyle w:val="Heading3"/>
      </w:pPr>
      <w:r>
        <w:t xml:space="preserve">B7. Multi-criteria analysis (MCDA): status quo, SMR, SMR + C1 and firmed renewables</w:t>
      </w:r>
    </w:p>
    <w:p>
      <w:pPr>
        <w:pStyle w:val="FirstParagraph"/>
      </w:pPr>
      <w:r>
        <w:rPr>
          <w:bCs/>
          <w:b/>
        </w:rPr>
        <w:t xml:space="preserve">Result.</w:t>
      </w:r>
      <w:r>
        <w:t xml:space="preserve"> </w:t>
      </w:r>
      <w:r>
        <w:t xml:space="preserve">Firmed renewables for the same money score highest under all four weight sets (80.1, 85.9, 63.7 and 89.3 of 100). The status quo is second, and SMR and SMR + C1 tie for third (29.7, 24.0, 43.6 and 20.4). C1 moves the SMR’s score by under 0.005 point.</w:t>
      </w:r>
      <w:r>
        <w:t xml:space="preserve"> </w:t>
      </w:r>
      <w:r>
        <w:rPr>
          <w:bCs/>
          <w:b/>
        </w:rPr>
        <w:t xml:space="preserve">The ranking is a structured comparison, not a measurement:</w:t>
      </w:r>
      <w:r>
        <w:t xml:space="preserve"> </w:t>
      </w:r>
      <w:r>
        <w:t xml:space="preserve">the social, legal and renewables-supply scores and the weights are our judgement, and most inputs are [TO VERIFY]. The main-text summary is §9 (Tables T4 and T5). Source:</w:t>
      </w:r>
      <w:r>
        <w:t xml:space="preserve"> </w:t>
      </w:r>
      <w:r>
        <w:rPr>
          <w:rStyle w:val="VerbatimChar"/>
        </w:rPr>
        <w:t xml:space="preserve">scripts/mcda.py</w:t>
      </w:r>
      <w:r>
        <w:t xml:space="preserve"> </w:t>
      </w:r>
      <w:r>
        <w:t xml:space="preserve">(analyst run 9, C1 case</w:t>
      </w:r>
      <w:r>
        <w:t xml:space="preserve"> </w:t>
      </w:r>
      <w:r>
        <w:rPr>
          <w:rStyle w:val="VerbatimChar"/>
        </w:rPr>
        <w:t xml:space="preserve">new_2200</w:t>
      </w:r>
      <w:r>
        <w:t xml:space="preserv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 which holds every raw score, normalised score, weight set and perturbation (593 rows).</w:t>
      </w:r>
    </w:p>
    <w:bookmarkStart w:id="90" w:name="b7.1-options-criteria-and-inputs"/>
    <w:p>
      <w:pPr>
        <w:pStyle w:val="Heading4"/>
      </w:pPr>
      <w:r>
        <w:t xml:space="preserve">B7.1 Options, criteria and inputs</w:t>
      </w:r>
    </w:p>
    <w:p>
      <w:pPr>
        <w:pStyle w:val="FirstParagraph"/>
      </w:pPr>
      <w:r>
        <w:t xml:space="preserve">The four options are the status quo (Liddell closed, NSW grid unchanged), one BWRX-300 at Liddell, the same plant with C1, and the same annual spend on firmed renewables. Lower is better for life-cycle CO₂e, cost, first-power year and HHI; higher is better for CO₂e avoided per dollar, social licence and legal feasibility.</w:t>
      </w:r>
    </w:p>
    <w:p>
      <w:pPr>
        <w:pStyle w:val="BodyText"/>
      </w:pPr>
      <w:r>
        <w:rPr>
          <w:iCs/>
          <w:i/>
        </w:rPr>
        <w:t xml:space="preserve">Table B29. Performance matrix (raw values) and the source of each score.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§2. SMR + C1 shown for the 2,200 t case.</w:t>
      </w:r>
    </w:p>
    <w:tbl>
      <w:tblPr>
        <w:tblStyle w:val="Table"/>
        <w:tblW w:type="pct" w:w="5000"/>
        <w:tblLook w:firstRow="1" w:lastRow="0" w:firstColumn="0" w:lastColumn="0" w:noHBand="0" w:noVBand="0" w:val="0020"/>
        <w:jc w:val="start"/>
      </w:tblPr>
      <w:tblGrid>
        <w:gridCol w:w="1080"/>
        <w:gridCol w:w="1440"/>
        <w:gridCol w:w="1440"/>
        <w:gridCol w:w="1440"/>
        <w:gridCol w:w="1440"/>
        <w:gridCol w:w="1080"/>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Source (status)</w:t>
            </w:r>
          </w:p>
        </w:tc>
      </w:tr>
      <w:tr>
        <w:tc>
          <w:tcPr/>
          <w:p>
            <w:pPr>
              <w:pStyle w:val="Compact"/>
              <w:jc w:val="left"/>
            </w:pPr>
            <w:r>
              <w:t xml:space="preserve">Life-cycle CO₂e (g/kWh)</w:t>
            </w:r>
          </w:p>
        </w:tc>
        <w:tc>
          <w:tcPr/>
          <w:p>
            <w:pPr>
              <w:pStyle w:val="Compact"/>
              <w:jc w:val="right"/>
            </w:pPr>
            <w:r>
              <w:t xml:space="preserve">640</w:t>
            </w:r>
          </w:p>
        </w:tc>
        <w:tc>
          <w:tcPr/>
          <w:p>
            <w:pPr>
              <w:pStyle w:val="Compact"/>
              <w:jc w:val="right"/>
            </w:pPr>
            <w:r>
              <w:t xml:space="preserve">4.2</w:t>
            </w:r>
          </w:p>
        </w:tc>
        <w:tc>
          <w:tcPr/>
          <w:p>
            <w:pPr>
              <w:pStyle w:val="Compact"/>
              <w:jc w:val="right"/>
            </w:pPr>
            <w:r>
              <w:t xml:space="preserve">4.1845</w:t>
            </w:r>
          </w:p>
        </w:tc>
        <w:tc>
          <w:tcPr/>
          <w:p>
            <w:pPr>
              <w:pStyle w:val="Compact"/>
              <w:jc w:val="right"/>
            </w:pPr>
            <w:r>
              <w:t xml:space="preserve">30</w:t>
            </w:r>
          </w:p>
        </w:tc>
        <w:tc>
          <w:tcPr/>
          <w:p>
            <w:pPr>
              <w:pStyle w:val="Compact"/>
              <w:jc w:val="left"/>
            </w:pPr>
            <w:r>
              <w:t xml:space="preserve">SMR: team LCA median (§6; earlier 20,700 m³ model, re-base pending). Renewables: 30 g/kWh assumption inside UNECE’s PV range of 8–83 [TO VERIFY]. Status quo: NSW grid factor 2025 (NGA Factors) [TO VERIFY]</w:t>
            </w:r>
          </w:p>
        </w:tc>
      </w:tr>
      <w:tr>
        <w:tc>
          <w:tcPr/>
          <w:p>
            <w:pPr>
              <w:pStyle w:val="Compact"/>
              <w:jc w:val="left"/>
            </w:pPr>
            <w:r>
              <w:t xml:space="preserve">CO₂e avoided to 2050 (Mt per A$1 bn/yr)</w:t>
            </w:r>
          </w:p>
        </w:tc>
        <w:tc>
          <w:tcPr/>
          <w:p>
            <w:pPr>
              <w:pStyle w:val="Compact"/>
              <w:jc w:val="right"/>
            </w:pPr>
            <w:r>
              <w:t xml:space="preserve">0</w:t>
            </w:r>
          </w:p>
        </w:tc>
        <w:tc>
          <w:tcPr/>
          <w:p>
            <w:pPr>
              <w:pStyle w:val="Compact"/>
              <w:jc w:val="right"/>
            </w:pPr>
            <w:r>
              <w:t xml:space="preserve">5.31</w:t>
            </w:r>
          </w:p>
        </w:tc>
        <w:tc>
          <w:tcPr/>
          <w:p>
            <w:pPr>
              <w:pStyle w:val="Compact"/>
              <w:jc w:val="right"/>
            </w:pPr>
            <w:r>
              <w:t xml:space="preserve">5.31</w:t>
            </w:r>
          </w:p>
        </w:tc>
        <w:tc>
          <w:tcPr/>
          <w:p>
            <w:pPr>
              <w:pStyle w:val="Compact"/>
              <w:jc w:val="right"/>
            </w:pPr>
            <w:r>
              <w:t xml:space="preserve">57.69</w:t>
            </w:r>
          </w:p>
        </w:tc>
        <w:tc>
          <w:tcPr/>
          <w:p>
            <w:pPr>
              <w:pStyle w:val="Compact"/>
              <w:jc w:val="left"/>
            </w:pPr>
            <w:r>
              <w:t xml:space="preserve">B6 frame (</w:t>
            </w:r>
            <w:r>
              <w:rPr>
                <w:rStyle w:val="VerbatimChar"/>
              </w:rPr>
              <w:t xml:space="preserve">same_money.py</w:t>
            </w:r>
            <w:r>
              <w:t xml:space="preserve">); GenCost 2030 LCOEs [TO VERIFY]; NEM trajectory T2, slow (assumption)</w:t>
            </w:r>
          </w:p>
        </w:tc>
      </w:tr>
      <w:tr>
        <w:tc>
          <w:tcPr/>
          <w:p>
            <w:pPr>
              <w:pStyle w:val="Compact"/>
              <w:jc w:val="left"/>
            </w:pPr>
            <w:r>
              <w:t xml:space="preserve">Cost, LCOE (A$/MWh)</w:t>
            </w:r>
          </w:p>
        </w:tc>
        <w:tc>
          <w:tcPr/>
          <w:p>
            <w:pPr>
              <w:pStyle w:val="Compact"/>
              <w:jc w:val="right"/>
            </w:pPr>
            <w:r>
              <w:t xml:space="preserve">0</w:t>
            </w:r>
          </w:p>
        </w:tc>
        <w:tc>
          <w:tcPr/>
          <w:p>
            <w:pPr>
              <w:pStyle w:val="Compact"/>
              <w:jc w:val="right"/>
            </w:pPr>
            <w:r>
              <w:t xml:space="preserve">306.00</w:t>
            </w:r>
          </w:p>
        </w:tc>
        <w:tc>
          <w:tcPr/>
          <w:p>
            <w:pPr>
              <w:pStyle w:val="Compact"/>
              <w:jc w:val="right"/>
            </w:pPr>
            <w:r>
              <w:t xml:space="preserve">306.04</w:t>
            </w:r>
          </w:p>
        </w:tc>
        <w:tc>
          <w:tcPr/>
          <w:p>
            <w:pPr>
              <w:pStyle w:val="Compact"/>
              <w:jc w:val="right"/>
            </w:pPr>
            <w:r>
              <w:t xml:space="preserve">107</w:t>
            </w:r>
          </w:p>
        </w:tc>
        <w:tc>
          <w:tcPr/>
          <w:p>
            <w:pPr>
              <w:pStyle w:val="Compact"/>
              <w:jc w:val="left"/>
            </w:pPr>
            <w:r>
              <w:t xml:space="preserve">GenCost 2023-24, 2030 midpoints: SMR 230–382, firmed renewables 89–125 [TO VERIFY]. C1 adds A$0.038/MWh (assumptions)</w:t>
            </w:r>
          </w:p>
        </w:tc>
      </w:tr>
      <w:tr>
        <w:tc>
          <w:tcPr/>
          <w:p>
            <w:pPr>
              <w:pStyle w:val="Compact"/>
              <w:jc w:val="left"/>
            </w:pPr>
            <w:r>
              <w:t xml:space="preserve">First full year of new supply</w:t>
            </w:r>
          </w:p>
        </w:tc>
        <w:tc>
          <w:tcPr/>
          <w:p>
            <w:pPr>
              <w:pStyle w:val="Compact"/>
              <w:jc w:val="right"/>
            </w:pPr>
            <w:r>
              <w:t xml:space="preserve">2050</w:t>
            </w:r>
          </w:p>
        </w:tc>
        <w:tc>
          <w:tcPr/>
          <w:p>
            <w:pPr>
              <w:pStyle w:val="Compact"/>
              <w:jc w:val="right"/>
            </w:pPr>
            <w:r>
              <w:t xml:space="preserve">2040</w:t>
            </w:r>
          </w:p>
        </w:tc>
        <w:tc>
          <w:tcPr/>
          <w:p>
            <w:pPr>
              <w:pStyle w:val="Compact"/>
              <w:jc w:val="right"/>
            </w:pPr>
            <w:r>
              <w:t xml:space="preserve">2040</w:t>
            </w:r>
          </w:p>
        </w:tc>
        <w:tc>
          <w:tcPr/>
          <w:p>
            <w:pPr>
              <w:pStyle w:val="Compact"/>
              <w:jc w:val="right"/>
            </w:pPr>
            <w:r>
              <w:t xml:space="preserve">2028</w:t>
            </w:r>
          </w:p>
        </w:tc>
        <w:tc>
          <w:tcPr/>
          <w:p>
            <w:pPr>
              <w:pStyle w:val="Compact"/>
              <w:jc w:val="left"/>
            </w:pPr>
            <w:r>
              <w:t xml:space="preserve">SMR: CSIRO</w:t>
            </w:r>
            <w:r>
              <w:t xml:space="preserve"> </w:t>
            </w:r>
            <w:r>
              <w:t xml:space="preserve">“</w:t>
            </w:r>
            <w:r>
              <w:t xml:space="preserve">2040 at the earliest</w:t>
            </w:r>
            <w:r>
              <w:t xml:space="preserve">”</w:t>
            </w:r>
            <w:r>
              <w:t xml:space="preserve"> </w:t>
            </w:r>
            <w:r>
              <w:t xml:space="preserve">[TO VERIFY: Leroy §4.1]. Renewables: 2028 (assumption). Status quo: no new supply by 2050 (convention)</w:t>
            </w:r>
          </w:p>
        </w:tc>
      </w:tr>
      <w:tr>
        <w:tc>
          <w:tcPr/>
          <w:p>
            <w:pPr>
              <w:pStyle w:val="Compact"/>
              <w:jc w:val="left"/>
            </w:pPr>
            <w:r>
              <w:t xml:space="preserve">Supply concentration (HHI)</w:t>
            </w:r>
          </w:p>
        </w:tc>
        <w:tc>
          <w:tcPr/>
          <w:p>
            <w:pPr>
              <w:pStyle w:val="Compact"/>
              <w:jc w:val="right"/>
            </w:pPr>
            <w:r>
              <w:t xml:space="preserve">0</w:t>
            </w:r>
          </w:p>
        </w:tc>
        <w:tc>
          <w:tcPr/>
          <w:p>
            <w:pPr>
              <w:pStyle w:val="Compact"/>
              <w:jc w:val="right"/>
            </w:pPr>
            <w:r>
              <w:t xml:space="preserve">3,009</w:t>
            </w:r>
          </w:p>
        </w:tc>
        <w:tc>
          <w:tcPr/>
          <w:p>
            <w:pPr>
              <w:pStyle w:val="Compact"/>
              <w:jc w:val="right"/>
            </w:pPr>
            <w:r>
              <w:t xml:space="preserve">3,009</w:t>
            </w:r>
          </w:p>
        </w:tc>
        <w:tc>
          <w:tcPr/>
          <w:p>
            <w:pPr>
              <w:pStyle w:val="Compact"/>
              <w:jc w:val="right"/>
            </w:pPr>
            <w:r>
              <w:t xml:space="preserve">6,400</w:t>
            </w:r>
          </w:p>
        </w:tc>
        <w:tc>
          <w:tcPr/>
          <w:p>
            <w:pPr>
              <w:pStyle w:val="Compact"/>
              <w:jc w:val="left"/>
            </w:pPr>
            <w:r>
              <w:t xml:space="preserve">SMR: enrichment, B2 [TO VERIFY]. Renewables: lower bound from China’s share, above 80% of every PV stage (International Energy Agency, 2022) [TO VERIFY]. Status quo: convention</w:t>
            </w:r>
          </w:p>
        </w:tc>
      </w:tr>
      <w:tr>
        <w:tc>
          <w:tcPr/>
          <w:p>
            <w:pPr>
              <w:pStyle w:val="Compact"/>
              <w:jc w:val="left"/>
            </w:pPr>
            <w:r>
              <w:t xml:space="preserve">Social licence (Table T13 total, 5–15)</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14</w:t>
            </w:r>
          </w:p>
        </w:tc>
        <w:tc>
          <w:tcPr/>
          <w:p>
            <w:pPr>
              <w:pStyle w:val="Compact"/>
              <w:jc w:val="left"/>
            </w:pPr>
            <w:r>
              <w:t xml:space="preserve">§8.4, Table T13 (our judgement)</w:t>
            </w:r>
          </w:p>
        </w:tc>
      </w:tr>
      <w:tr>
        <w:tc>
          <w:tcPr/>
          <w:p>
            <w:pPr>
              <w:pStyle w:val="Compact"/>
              <w:jc w:val="left"/>
            </w:pPr>
            <w:r>
              <w:t xml:space="preserve">Legal feasibility (Table B13 total, 4–12)</w:t>
            </w:r>
          </w:p>
        </w:tc>
        <w:tc>
          <w:tcPr/>
          <w:p>
            <w:pPr>
              <w:pStyle w:val="Compact"/>
              <w:jc w:val="right"/>
            </w:pPr>
            <w:r>
              <w:t xml:space="preserve">12</w:t>
            </w:r>
          </w:p>
        </w:tc>
        <w:tc>
          <w:tcPr/>
          <w:p>
            <w:pPr>
              <w:pStyle w:val="Compact"/>
              <w:jc w:val="right"/>
            </w:pPr>
            <w:r>
              <w:t xml:space="preserve">8</w:t>
            </w:r>
          </w:p>
        </w:tc>
        <w:tc>
          <w:tcPr/>
          <w:p>
            <w:pPr>
              <w:pStyle w:val="Compact"/>
              <w:jc w:val="right"/>
            </w:pPr>
            <w:r>
              <w:t xml:space="preserve">8</w:t>
            </w:r>
          </w:p>
        </w:tc>
        <w:tc>
          <w:tcPr/>
          <w:p>
            <w:pPr>
              <w:pStyle w:val="Compact"/>
              <w:jc w:val="right"/>
            </w:pPr>
            <w:r>
              <w:t xml:space="preserve">12</w:t>
            </w:r>
          </w:p>
        </w:tc>
        <w:tc>
          <w:tcPr/>
          <w:p>
            <w:pPr>
              <w:pStyle w:val="Compact"/>
              <w:jc w:val="left"/>
            </w:pPr>
            <w:r>
              <w:t xml:space="preserve">B3, best SMR route under equal weights (route C, 8); route A rescored to 6 after fact-check M2, which leaves this input unchanged (our judgement)</w:t>
            </w:r>
          </w:p>
        </w:tc>
      </w:tr>
    </w:tbl>
    <w:p>
      <w:pPr>
        <w:pStyle w:val="BodyText"/>
      </w:pPr>
      <w:r>
        <w:rPr>
          <w:bCs/>
          <w:b/>
        </w:rPr>
        <w:t xml:space="preserve">Conventions for the status quo (a do-nothing reference).</w:t>
      </w:r>
      <w:r>
        <w:t xml:space="preserve"> </w:t>
      </w:r>
      <w:r>
        <w:t xml:space="preserve">It takes the NSW grid factor as its</w:t>
      </w:r>
      <w:r>
        <w:t xml:space="preserve"> </w:t>
      </w:r>
      <w:r>
        <w:t xml:space="preserve">“</w:t>
      </w:r>
      <w:r>
        <w:t xml:space="preserve">life cycle</w:t>
      </w:r>
      <w:r>
        <w:t xml:space="preserve">”</w:t>
      </w:r>
      <w:r>
        <w:t xml:space="preserve"> </w:t>
      </w:r>
      <w:r>
        <w:t xml:space="preserve">(a boundary mismatch: scope 2 only, but it is last on this criterion whatever the boundary), avoids nothing, adds no cost or supply chain, has first supply in 2050, and scores 13 on social licence (nothing to consent to, but no benefit reaches the Upper Hunter) and 12 on legal feasibility. B7.4 tests the cost, supply and social conventions.</w:t>
      </w:r>
    </w:p>
    <w:p>
      <w:pPr>
        <w:pStyle w:val="BodyText"/>
      </w:pPr>
      <w:r>
        <w:rPr>
          <w:bCs/>
          <w:b/>
        </w:rPr>
        <w:t xml:space="preserve">Not scored.</w:t>
      </w:r>
      <w:r>
        <w:t xml:space="preserve"> </w:t>
      </w:r>
      <w:r>
        <w:t xml:space="preserve">Technology readiness level (TRL): no TRL figure exists yet in the sections or briefs [TODO: Leroy §4.1]. Schedule risk enters through the first-power year (tested at 2035 and 2045) and the C1 delay case.</w:t>
      </w:r>
    </w:p>
    <w:bookmarkEnd w:id="90"/>
    <w:bookmarkStart w:id="91" w:name="b7.2-method"/>
    <w:p>
      <w:pPr>
        <w:pStyle w:val="Heading4"/>
      </w:pPr>
      <w:r>
        <w:t xml:space="preserve">B7.2 Method</w:t>
      </w:r>
    </w:p>
    <w:p>
      <w:pPr>
        <w:numPr>
          <w:ilvl w:val="0"/>
          <w:numId w:val="1011"/>
        </w:numPr>
        <w:pStyle w:val="Compact"/>
      </w:pPr>
      <w:r>
        <w:rPr>
          <w:bCs/>
          <w:b/>
        </w:rPr>
        <w:t xml:space="preserve">Model.</w:t>
      </w:r>
      <w:r>
        <w:t xml:space="preserve"> </w:t>
      </w:r>
      <w:r>
        <w:t xml:space="preserve">Linear additive (weighted-sum) MCDA, the standard compensatory model in the UK government manual (Dodgson et al., 2009) [TO VERIFY: gov.uk blocked 21/10].</w:t>
      </w:r>
    </w:p>
    <w:p>
      <w:pPr>
        <w:numPr>
          <w:ilvl w:val="0"/>
          <w:numId w:val="1011"/>
        </w:numPr>
        <w:pStyle w:val="Compact"/>
      </w:pPr>
      <w:r>
        <w:rPr>
          <w:bCs/>
          <w:b/>
        </w:rPr>
        <w:t xml:space="preserve">Normalisation.</w:t>
      </w:r>
      <w:r>
        <w:t xml:space="preserve"> </w:t>
      </w:r>
      <w:r>
        <w:t xml:space="preserve">Each criterion is min–max normalised across the four options: s = (x − worst) / (best − worst), so the best option scores 1 and the worst 0.</w:t>
      </w:r>
    </w:p>
    <w:p>
      <w:pPr>
        <w:numPr>
          <w:ilvl w:val="0"/>
          <w:numId w:val="1011"/>
        </w:numPr>
        <w:pStyle w:val="Compact"/>
      </w:pPr>
      <w:r>
        <w:rPr>
          <w:bCs/>
          <w:b/>
        </w:rPr>
        <w:t xml:space="preserve">Total.</w:t>
      </w:r>
      <w:r>
        <w:t xml:space="preserve"> </w:t>
      </w:r>
      <w:r>
        <w:t xml:space="preserve">T = 100 × Σ w_c s_c, with weights renormalised to sum to 1.</w:t>
      </w:r>
    </w:p>
    <w:p>
      <w:pPr>
        <w:numPr>
          <w:ilvl w:val="0"/>
          <w:numId w:val="1011"/>
        </w:numPr>
        <w:pStyle w:val="Compact"/>
      </w:pPr>
      <w:r>
        <w:rPr>
          <w:bCs/>
          <w:b/>
        </w:rPr>
        <w:t xml:space="preserve">CO₂e avoided per dollar.</w:t>
      </w:r>
      <w:r>
        <w:t xml:space="preserve"> </w:t>
      </w:r>
      <w:r>
        <w:t xml:space="preserve">The same annual spend buys 2,365,200 MWh/yr × A$306/MWh = A$0.724 bn/yr of SMR output, or A$0.724 bn / A$107 = 6.76 TWh/yr of firmed renewables from 2028. Avoided CO₂e to 2050 = Σ over years of MWh × (grid factor − option’s life-cycle factor), with the grid falling linearly from 640 g/kWh in 2025 to 30 in 2050 (B6 frame). The SMR avoids 3.85 Mt and renewables 41.76 Mt, divided by A$0.724 bn/yr.</w:t>
      </w:r>
    </w:p>
    <w:p>
      <w:pPr>
        <w:numPr>
          <w:ilvl w:val="0"/>
          <w:numId w:val="1011"/>
        </w:numPr>
        <w:pStyle w:val="Compact"/>
      </w:pPr>
      <w:r>
        <w:rPr>
          <w:bCs/>
          <w:b/>
        </w:rPr>
        <w:t xml:space="preserve">C1 in the model.</w:t>
      </w:r>
      <w:r>
        <w:t xml:space="preserve"> </w:t>
      </w:r>
      <w:r>
        <w:t xml:space="preserve">Life-cycle reduction = saving / lifetime output. For 2,200 t: 2,200 × 10⁶ g / (2,365,200 MWh × 1,000 × 60 years = 1.419 × 10¹¹ kWh) =</w:t>
      </w:r>
      <w:r>
        <w:t xml:space="preserve"> </w:t>
      </w:r>
      <w:r>
        <w:rPr>
          <w:bCs/>
          <w:b/>
        </w:rPr>
        <w:t xml:space="preserve">0.0155 g/kWh</w:t>
      </w:r>
      <w:r>
        <w:t xml:space="preserve"> </w:t>
      </w:r>
      <w:r>
        <w:t xml:space="preserve">(0.37% of 4.2). For 1,734 t it is 0.0122 g/kWh (0.29%). C1’s cost is a premium (base 0%) × C$229/m³ × 20,000 m³ plus qualification (base C$1.0 m), × 1.119 AUD/CAD, annualised at a capital recovery factor of 0.0806 (7%, 30 years) over 2,365,200 MWh:</w:t>
      </w:r>
      <w:r>
        <w:t xml:space="preserve"> </w:t>
      </w:r>
      <w:r>
        <w:rPr>
          <w:bCs/>
          <w:b/>
        </w:rPr>
        <w:t xml:space="preserve">+A$0.038/MWh</w:t>
      </w:r>
      <w:r>
        <w:t xml:space="preserve">. The base case is schedule-neutral (the §8.6 condition).</w:t>
      </w:r>
    </w:p>
    <w:p>
      <w:pPr>
        <w:pStyle w:val="FirstParagraph"/>
      </w:pPr>
      <w:r>
        <w:rPr>
          <w:bCs/>
          <w:b/>
        </w:rPr>
        <w:t xml:space="preserve">Worked example (equal weights, SMR).</w:t>
      </w:r>
      <w:r>
        <w:t xml:space="preserve"> </w:t>
      </w:r>
      <w:r>
        <w:t xml:space="preserve">Life cycle: (640 − 4.2) / (640 − 4.1845) = 0.99998. Avoided per dollar: 5.31 / 57.69 = 0.0921. Cost: (306.04 − 306.00) / 306.04 = 0.0001. Time: (2050 − 2040) / (2050 − 2028) = 0.4545. Supply: (6,400 − 3,009) / 6,400 = 0.5298. Social: (11 − 11) / (14 − 11) = 0. Legal: (8 − 8) / (12 − 8) = 0. The sum is 2.0766, and T = 100 × 2.0766 / 7 =</w:t>
      </w:r>
      <w:r>
        <w:t xml:space="preserve"> </w:t>
      </w:r>
      <w:r>
        <w:rPr>
          <w:bCs/>
          <w:b/>
        </w:rPr>
        <w:t xml:space="preserve">29.7</w:t>
      </w:r>
      <w:r>
        <w:t xml:space="preserve">.</w:t>
      </w:r>
    </w:p>
    <w:p>
      <w:pPr>
        <w:pStyle w:val="BodyText"/>
      </w:pPr>
      <w:r>
        <w:rPr>
          <w:iCs/>
          <w:i/>
        </w:rPr>
        <w:t xml:space="preserve">Table B30. Normalised scores (1 = best of the four options).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r>
      <w:tr>
        <w:tc>
          <w:tcPr/>
          <w:p>
            <w:pPr>
              <w:pStyle w:val="Compact"/>
              <w:jc w:val="left"/>
            </w:pPr>
            <w:r>
              <w:t xml:space="preserve">Life cycle</w:t>
            </w:r>
          </w:p>
        </w:tc>
        <w:tc>
          <w:tcPr/>
          <w:p>
            <w:pPr>
              <w:pStyle w:val="Compact"/>
              <w:jc w:val="right"/>
            </w:pPr>
            <w:r>
              <w:t xml:space="preserve">0.0000</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0.9594</w:t>
            </w:r>
          </w:p>
        </w:tc>
      </w:tr>
      <w:tr>
        <w:tc>
          <w:tcPr/>
          <w:p>
            <w:pPr>
              <w:pStyle w:val="Compact"/>
              <w:jc w:val="left"/>
            </w:pPr>
            <w:r>
              <w:t xml:space="preserve">Avoided per dollar</w:t>
            </w:r>
          </w:p>
        </w:tc>
        <w:tc>
          <w:tcPr/>
          <w:p>
            <w:pPr>
              <w:pStyle w:val="Compact"/>
              <w:jc w:val="right"/>
            </w:pPr>
            <w:r>
              <w:t xml:space="preserve">0.0000</w:t>
            </w:r>
          </w:p>
        </w:tc>
        <w:tc>
          <w:tcPr/>
          <w:p>
            <w:pPr>
              <w:pStyle w:val="Compact"/>
              <w:jc w:val="right"/>
            </w:pPr>
            <w:r>
              <w:t xml:space="preserve">0.0921</w:t>
            </w:r>
          </w:p>
        </w:tc>
        <w:tc>
          <w:tcPr/>
          <w:p>
            <w:pPr>
              <w:pStyle w:val="Compact"/>
              <w:jc w:val="right"/>
            </w:pPr>
            <w:r>
              <w:t xml:space="preserve">0.0921</w:t>
            </w:r>
          </w:p>
        </w:tc>
        <w:tc>
          <w:tcPr/>
          <w:p>
            <w:pPr>
              <w:pStyle w:val="Compact"/>
              <w:jc w:val="right"/>
            </w:pPr>
            <w:r>
              <w:t xml:space="preserve">1.0000</w:t>
            </w:r>
          </w:p>
        </w:tc>
      </w:tr>
      <w:tr>
        <w:tc>
          <w:tcPr/>
          <w:p>
            <w:pPr>
              <w:pStyle w:val="Compact"/>
              <w:jc w:val="left"/>
            </w:pPr>
            <w:r>
              <w:t xml:space="preserve">Cost</w:t>
            </w:r>
          </w:p>
        </w:tc>
        <w:tc>
          <w:tcPr/>
          <w:p>
            <w:pPr>
              <w:pStyle w:val="Compact"/>
              <w:jc w:val="right"/>
            </w:pPr>
            <w:r>
              <w:t xml:space="preserve">1.0000</w:t>
            </w:r>
          </w:p>
        </w:tc>
        <w:tc>
          <w:tcPr/>
          <w:p>
            <w:pPr>
              <w:pStyle w:val="Compact"/>
              <w:jc w:val="right"/>
            </w:pPr>
            <w:r>
              <w:t xml:space="preserve">0.0001</w:t>
            </w:r>
          </w:p>
        </w:tc>
        <w:tc>
          <w:tcPr/>
          <w:p>
            <w:pPr>
              <w:pStyle w:val="Compact"/>
              <w:jc w:val="right"/>
            </w:pPr>
            <w:r>
              <w:t xml:space="preserve">0.0000</w:t>
            </w:r>
          </w:p>
        </w:tc>
        <w:tc>
          <w:tcPr/>
          <w:p>
            <w:pPr>
              <w:pStyle w:val="Compact"/>
              <w:jc w:val="right"/>
            </w:pPr>
            <w:r>
              <w:t xml:space="preserve">0.6504</w:t>
            </w:r>
          </w:p>
        </w:tc>
      </w:tr>
      <w:tr>
        <w:tc>
          <w:tcPr/>
          <w:p>
            <w:pPr>
              <w:pStyle w:val="Compact"/>
              <w:jc w:val="left"/>
            </w:pPr>
            <w:r>
              <w:t xml:space="preserve">Time</w:t>
            </w:r>
          </w:p>
        </w:tc>
        <w:tc>
          <w:tcPr/>
          <w:p>
            <w:pPr>
              <w:pStyle w:val="Compact"/>
              <w:jc w:val="right"/>
            </w:pPr>
            <w:r>
              <w:t xml:space="preserve">0.0000</w:t>
            </w:r>
          </w:p>
        </w:tc>
        <w:tc>
          <w:tcPr/>
          <w:p>
            <w:pPr>
              <w:pStyle w:val="Compact"/>
              <w:jc w:val="right"/>
            </w:pPr>
            <w:r>
              <w:t xml:space="preserve">0.4545</w:t>
            </w:r>
          </w:p>
        </w:tc>
        <w:tc>
          <w:tcPr/>
          <w:p>
            <w:pPr>
              <w:pStyle w:val="Compact"/>
              <w:jc w:val="right"/>
            </w:pPr>
            <w:r>
              <w:t xml:space="preserve">0.4545</w:t>
            </w:r>
          </w:p>
        </w:tc>
        <w:tc>
          <w:tcPr/>
          <w:p>
            <w:pPr>
              <w:pStyle w:val="Compact"/>
              <w:jc w:val="right"/>
            </w:pPr>
            <w:r>
              <w:t xml:space="preserve">1.0000</w:t>
            </w:r>
          </w:p>
        </w:tc>
      </w:tr>
      <w:tr>
        <w:tc>
          <w:tcPr/>
          <w:p>
            <w:pPr>
              <w:pStyle w:val="Compact"/>
              <w:jc w:val="left"/>
            </w:pPr>
            <w:r>
              <w:t xml:space="preserve">Supply</w:t>
            </w:r>
          </w:p>
        </w:tc>
        <w:tc>
          <w:tcPr/>
          <w:p>
            <w:pPr>
              <w:pStyle w:val="Compact"/>
              <w:jc w:val="right"/>
            </w:pPr>
            <w:r>
              <w:t xml:space="preserve">1.0000</w:t>
            </w:r>
          </w:p>
        </w:tc>
        <w:tc>
          <w:tcPr/>
          <w:p>
            <w:pPr>
              <w:pStyle w:val="Compact"/>
              <w:jc w:val="right"/>
            </w:pPr>
            <w:r>
              <w:t xml:space="preserve">0.5298</w:t>
            </w:r>
          </w:p>
        </w:tc>
        <w:tc>
          <w:tcPr/>
          <w:p>
            <w:pPr>
              <w:pStyle w:val="Compact"/>
              <w:jc w:val="right"/>
            </w:pPr>
            <w:r>
              <w:t xml:space="preserve">0.5298</w:t>
            </w:r>
          </w:p>
        </w:tc>
        <w:tc>
          <w:tcPr/>
          <w:p>
            <w:pPr>
              <w:pStyle w:val="Compact"/>
              <w:jc w:val="right"/>
            </w:pPr>
            <w:r>
              <w:t xml:space="preserve">0.0000</w:t>
            </w:r>
          </w:p>
        </w:tc>
      </w:tr>
      <w:tr>
        <w:tc>
          <w:tcPr/>
          <w:p>
            <w:pPr>
              <w:pStyle w:val="Compact"/>
              <w:jc w:val="left"/>
            </w:pPr>
            <w:r>
              <w:t xml:space="preserve">Social licence</w:t>
            </w:r>
          </w:p>
        </w:tc>
        <w:tc>
          <w:tcPr/>
          <w:p>
            <w:pPr>
              <w:pStyle w:val="Compact"/>
              <w:jc w:val="right"/>
            </w:pPr>
            <w:r>
              <w:t xml:space="preserve">0.6667</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r>
        <w:tc>
          <w:tcPr/>
          <w:p>
            <w:pPr>
              <w:pStyle w:val="Compact"/>
              <w:jc w:val="left"/>
            </w:pPr>
            <w:r>
              <w:t xml:space="preserve">Legal feasibility</w:t>
            </w:r>
          </w:p>
        </w:tc>
        <w:tc>
          <w:tcPr/>
          <w:p>
            <w:pPr>
              <w:pStyle w:val="Compact"/>
              <w:jc w:val="right"/>
            </w:pPr>
            <w:r>
              <w:t xml:space="preserve">1.0000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bl>
    <w:bookmarkEnd w:id="91"/>
    <w:bookmarkStart w:id="92" w:name="b7.3-weights-and-results"/>
    <w:p>
      <w:pPr>
        <w:pStyle w:val="Heading4"/>
      </w:pPr>
      <w:r>
        <w:t xml:space="preserve">B7.3 Weights and results</w:t>
      </w:r>
    </w:p>
    <w:p>
      <w:pPr>
        <w:pStyle w:val="FirstParagraph"/>
      </w:pPr>
      <w:r>
        <w:t xml:space="preserve">The weights are our reading of each group’s stated priorities (</w:t>
      </w:r>
      <w:r>
        <w:rPr>
          <w:rStyle w:val="VerbatimChar"/>
        </w:rPr>
        <w:t xml:space="preserve">parameters_run9.yaml</w:t>
      </w:r>
      <w:r>
        <w:t xml:space="preserve">), not elicited from them.</w:t>
      </w:r>
    </w:p>
    <w:p>
      <w:pPr>
        <w:pStyle w:val="BodyText"/>
      </w:pPr>
      <w:r>
        <w:rPr>
          <w:iCs/>
          <w:i/>
        </w:rPr>
        <w:t xml:space="preserve">Table B31. Weight sets and total scores (0–100).</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§4. Rationale sources (Bowen’s statements; the Liberal Party 2026 energy plan; §8.4) [TO VERIFY].</w:t>
      </w:r>
    </w:p>
    <w:tbl>
      <w:tblPr>
        <w:tblStyle w:val="Table"/>
        <w:tblW w:type="pct" w:w="5000"/>
        <w:tblLook w:firstRow="1" w:lastRow="0" w:firstColumn="0" w:lastColumn="0" w:noHBand="0" w:noVBand="0" w:val="0020"/>
        <w:jc w:val="start"/>
      </w:tblPr>
      <w:tblGrid>
        <w:gridCol w:w="698"/>
        <w:gridCol w:w="931"/>
        <w:gridCol w:w="931"/>
        <w:gridCol w:w="931"/>
        <w:gridCol w:w="931"/>
        <w:gridCol w:w="931"/>
        <w:gridCol w:w="931"/>
        <w:gridCol w:w="931"/>
        <w:gridCol w:w="698"/>
      </w:tblGrid>
      <w:tr>
        <w:trPr>
          <w:tblHeader w:val="true"/>
        </w:trPr>
        <w:tc>
          <w:tcPr/>
          <w:p>
            <w:pPr>
              <w:pStyle w:val="Compact"/>
              <w:jc w:val="left"/>
            </w:pPr>
            <w:r>
              <w:t xml:space="preserve">Weight set</w:t>
            </w:r>
          </w:p>
        </w:tc>
        <w:tc>
          <w:tcPr/>
          <w:p>
            <w:pPr>
              <w:pStyle w:val="Compact"/>
              <w:jc w:val="right"/>
            </w:pPr>
            <w:r>
              <w:t xml:space="preserve">Life cycle</w:t>
            </w:r>
          </w:p>
        </w:tc>
        <w:tc>
          <w:tcPr/>
          <w:p>
            <w:pPr>
              <w:pStyle w:val="Compact"/>
              <w:jc w:val="right"/>
            </w:pPr>
            <w:r>
              <w:t xml:space="preserve">Avoided per $</w:t>
            </w:r>
          </w:p>
        </w:tc>
        <w:tc>
          <w:tcPr/>
          <w:p>
            <w:pPr>
              <w:pStyle w:val="Compact"/>
              <w:jc w:val="right"/>
            </w:pPr>
            <w:r>
              <w:t xml:space="preserve">Cost</w:t>
            </w:r>
          </w:p>
        </w:tc>
        <w:tc>
          <w:tcPr/>
          <w:p>
            <w:pPr>
              <w:pStyle w:val="Compact"/>
              <w:jc w:val="right"/>
            </w:pPr>
            <w:r>
              <w:t xml:space="preserve">Time</w:t>
            </w:r>
          </w:p>
        </w:tc>
        <w:tc>
          <w:tcPr/>
          <w:p>
            <w:pPr>
              <w:pStyle w:val="Compact"/>
              <w:jc w:val="right"/>
            </w:pPr>
            <w:r>
              <w:t xml:space="preserve">Supply</w:t>
            </w:r>
          </w:p>
        </w:tc>
        <w:tc>
          <w:tcPr/>
          <w:p>
            <w:pPr>
              <w:pStyle w:val="Compact"/>
              <w:jc w:val="right"/>
            </w:pPr>
            <w:r>
              <w:t xml:space="preserve">Social</w:t>
            </w:r>
          </w:p>
        </w:tc>
        <w:tc>
          <w:tcPr/>
          <w:p>
            <w:pPr>
              <w:pStyle w:val="Compact"/>
              <w:jc w:val="right"/>
            </w:pPr>
            <w:r>
              <w:t xml:space="preserve">Legal</w:t>
            </w:r>
          </w:p>
        </w:tc>
        <w:tc>
          <w:tcPr/>
          <w:p>
            <w:pPr>
              <w:pStyle w:val="Compact"/>
              <w:jc w:val="left"/>
            </w:pPr>
            <w:r>
              <w:t xml:space="preserve">Rationale</w:t>
            </w:r>
          </w:p>
        </w:tc>
      </w:tr>
      <w:tr>
        <w:tc>
          <w:tcPr/>
          <w:p>
            <w:pPr>
              <w:pStyle w:val="Compact"/>
              <w:jc w:val="left"/>
            </w:pPr>
            <w:r>
              <w:t xml:space="preserve">W0 equal</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left"/>
            </w:pPr>
            <w:r>
              <w:t xml:space="preserve">No view privileged</w:t>
            </w:r>
          </w:p>
        </w:tc>
      </w:tr>
      <w:tr>
        <w:tc>
          <w:tcPr/>
          <w:p>
            <w:pPr>
              <w:pStyle w:val="Compact"/>
              <w:jc w:val="left"/>
            </w:pPr>
            <w:r>
              <w:t xml:space="preserve">W1 climate and cost</w:t>
            </w:r>
          </w:p>
        </w:tc>
        <w:tc>
          <w:tcPr/>
          <w:p>
            <w:pPr>
              <w:pStyle w:val="Compact"/>
              <w:jc w:val="right"/>
            </w:pPr>
            <w:r>
              <w:t xml:space="preserve">0.10</w:t>
            </w:r>
          </w:p>
        </w:tc>
        <w:tc>
          <w:tcPr/>
          <w:p>
            <w:pPr>
              <w:pStyle w:val="Compact"/>
              <w:jc w:val="right"/>
            </w:pPr>
            <w:r>
              <w:t xml:space="preserve">0.25</w:t>
            </w:r>
          </w:p>
        </w:tc>
        <w:tc>
          <w:tcPr/>
          <w:p>
            <w:pPr>
              <w:pStyle w:val="Compact"/>
              <w:jc w:val="right"/>
            </w:pPr>
            <w:r>
              <w:t xml:space="preserve">0.25</w:t>
            </w:r>
          </w:p>
        </w:tc>
        <w:tc>
          <w:tcPr/>
          <w:p>
            <w:pPr>
              <w:pStyle w:val="Compact"/>
              <w:jc w:val="right"/>
            </w:pPr>
            <w:r>
              <w:t xml:space="preserve">0.20</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0.05</w:t>
            </w:r>
          </w:p>
        </w:tc>
        <w:tc>
          <w:tcPr/>
          <w:p>
            <w:pPr>
              <w:pStyle w:val="Compact"/>
              <w:jc w:val="left"/>
            </w:pPr>
            <w:r>
              <w:t xml:space="preserve">Federal Government and AEMO lens: cost and speed of decarbonisation</w:t>
            </w:r>
          </w:p>
        </w:tc>
      </w:tr>
      <w:tr>
        <w:tc>
          <w:tcPr/>
          <w:p>
            <w:pPr>
              <w:pStyle w:val="Compact"/>
              <w:jc w:val="left"/>
            </w:pPr>
            <w:r>
              <w:t xml:space="preserve">W2 firm and sovereign</w:t>
            </w:r>
          </w:p>
        </w:tc>
        <w:tc>
          <w:tcPr/>
          <w:p>
            <w:pPr>
              <w:pStyle w:val="Compact"/>
              <w:jc w:val="right"/>
            </w:pPr>
            <w:r>
              <w:t xml:space="preserve">0.25</w:t>
            </w:r>
          </w:p>
        </w:tc>
        <w:tc>
          <w:tcPr/>
          <w:p>
            <w:pPr>
              <w:pStyle w:val="Compact"/>
              <w:jc w:val="right"/>
            </w:pPr>
            <w:r>
              <w:t xml:space="preserve">0.05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right"/>
            </w:pPr>
            <w:r>
              <w:t xml:space="preserve">0.05</w:t>
            </w:r>
          </w:p>
        </w:tc>
        <w:tc>
          <w:tcPr/>
          <w:p>
            <w:pPr>
              <w:pStyle w:val="Compact"/>
              <w:jc w:val="left"/>
            </w:pPr>
            <w:r>
              <w:t xml:space="preserve">Coalition and advocate lens: zero-emission firm supply and security. The most SMR-favourable set we could justify, as a stress test</w:t>
            </w:r>
          </w:p>
        </w:tc>
      </w:tr>
      <w:tr>
        <w:tc>
          <w:tcPr/>
          <w:p>
            <w:pPr>
              <w:pStyle w:val="Compact"/>
              <w:jc w:val="left"/>
            </w:pPr>
            <w:r>
              <w:t xml:space="preserve">W3 host community</w:t>
            </w:r>
          </w:p>
        </w:tc>
        <w:tc>
          <w:tcPr/>
          <w:p>
            <w:pPr>
              <w:pStyle w:val="Compact"/>
              <w:jc w:val="right"/>
            </w:pPr>
            <w:r>
              <w:t xml:space="preserve">0.10</w:t>
            </w:r>
          </w:p>
        </w:tc>
        <w:tc>
          <w:tcPr/>
          <w:p>
            <w:pPr>
              <w:pStyle w:val="Compact"/>
              <w:jc w:val="right"/>
            </w:pPr>
            <w:r>
              <w:t xml:space="preserve">0.10</w:t>
            </w:r>
          </w:p>
        </w:tc>
        <w:tc>
          <w:tcPr/>
          <w:p>
            <w:pPr>
              <w:pStyle w:val="Compact"/>
              <w:jc w:val="right"/>
            </w:pPr>
            <w:r>
              <w:t xml:space="preserve">0.15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left"/>
            </w:pPr>
            <w:r>
              <w:t xml:space="preserve">Upper Hunter community, Traditional Owners and unions: consent, legal certainty, early jobs</w:t>
            </w:r>
          </w:p>
        </w:tc>
      </w:tr>
    </w:tbl>
    <w:p/>
    <w:tbl>
      <w:tblPr>
        <w:tblStyle w:val="Table"/>
        <w:tblW w:type="pct" w:w="5000"/>
        <w:tblLook w:firstRow="1" w:lastRow="0" w:firstColumn="0" w:lastColumn="0" w:noHBand="0" w:noVBand="0" w:val="0020"/>
        <w:jc w:val="start"/>
      </w:tblPr>
      <w:tblGrid>
        <w:gridCol w:w="1080"/>
        <w:gridCol w:w="1440"/>
        <w:gridCol w:w="1440"/>
        <w:gridCol w:w="1440"/>
        <w:gridCol w:w="1440"/>
        <w:gridCol w:w="1080"/>
      </w:tblGrid>
      <w:tr>
        <w:trPr>
          <w:tblHeader w:val="true"/>
        </w:trPr>
        <w:tc>
          <w:tcPr/>
          <w:p>
            <w:pPr>
              <w:pStyle w:val="Compact"/>
              <w:jc w:val="left"/>
            </w:pPr>
            <w:r>
              <w:t xml:space="preserve">Weight set</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Ranking</w:t>
            </w:r>
          </w:p>
        </w:tc>
      </w:tr>
      <w:tr>
        <w:tc>
          <w:tcPr/>
          <w:p>
            <w:pPr>
              <w:pStyle w:val="Compact"/>
              <w:jc w:val="left"/>
            </w:pPr>
            <w:r>
              <w:t xml:space="preserve">W0 equal</w:t>
            </w:r>
          </w:p>
        </w:tc>
        <w:tc>
          <w:tcPr/>
          <w:p>
            <w:pPr>
              <w:pStyle w:val="Compact"/>
              <w:jc w:val="right"/>
            </w:pPr>
            <w:r>
              <w:t xml:space="preserve">52.4</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80.1</w:t>
            </w:r>
          </w:p>
        </w:tc>
        <w:tc>
          <w:tcPr/>
          <w:p>
            <w:pPr>
              <w:pStyle w:val="Compact"/>
              <w:jc w:val="left"/>
            </w:pPr>
            <w:r>
              <w:t xml:space="preserve">Renewables &gt; status quo &gt; SMR ≈ SMR + C1</w:t>
            </w:r>
          </w:p>
        </w:tc>
      </w:tr>
      <w:tr>
        <w:tc>
          <w:tcPr/>
          <w:p>
            <w:pPr>
              <w:pStyle w:val="Compact"/>
              <w:jc w:val="left"/>
            </w:pPr>
            <w:r>
              <w:t xml:space="preserve">W1 climate and cost</w:t>
            </w:r>
          </w:p>
        </w:tc>
        <w:tc>
          <w:tcPr/>
          <w:p>
            <w:pPr>
              <w:pStyle w:val="Compact"/>
              <w:jc w:val="right"/>
            </w:pPr>
            <w:r>
              <w:t xml:space="preserve">41.7</w:t>
            </w:r>
          </w:p>
        </w:tc>
        <w:tc>
          <w:tcPr/>
          <w:p>
            <w:pPr>
              <w:pStyle w:val="Compact"/>
              <w:jc w:val="right"/>
            </w:pPr>
            <w:r>
              <w:t xml:space="preserve">24.0</w:t>
            </w:r>
          </w:p>
        </w:tc>
        <w:tc>
          <w:tcPr/>
          <w:p>
            <w:pPr>
              <w:pStyle w:val="Compact"/>
              <w:jc w:val="right"/>
            </w:pPr>
            <w:r>
              <w:t xml:space="preserve">24.0</w:t>
            </w:r>
          </w:p>
        </w:tc>
        <w:tc>
          <w:tcPr/>
          <w:p>
            <w:pPr>
              <w:pStyle w:val="Compact"/>
              <w:jc w:val="right"/>
            </w:pPr>
            <w:r>
              <w:t xml:space="preserve">85.9</w:t>
            </w:r>
          </w:p>
        </w:tc>
        <w:tc>
          <w:tcPr/>
          <w:p>
            <w:pPr>
              <w:pStyle w:val="Compact"/>
              <w:jc w:val="left"/>
            </w:pPr>
            <w:r>
              <w:t xml:space="preserve">Same</w:t>
            </w:r>
          </w:p>
        </w:tc>
      </w:tr>
      <w:tr>
        <w:tc>
          <w:tcPr/>
          <w:p>
            <w:pPr>
              <w:pStyle w:val="Compact"/>
              <w:jc w:val="left"/>
            </w:pPr>
            <w:r>
              <w:t xml:space="preserve">W2 firm and sovereign</w:t>
            </w:r>
          </w:p>
        </w:tc>
        <w:tc>
          <w:tcPr/>
          <w:p>
            <w:pPr>
              <w:pStyle w:val="Compact"/>
              <w:jc w:val="right"/>
            </w:pPr>
            <w:r>
              <w:t xml:space="preserve">60.0</w:t>
            </w:r>
          </w:p>
        </w:tc>
        <w:tc>
          <w:tcPr/>
          <w:p>
            <w:pPr>
              <w:pStyle w:val="Compact"/>
              <w:jc w:val="right"/>
            </w:pPr>
            <w:r>
              <w:t xml:space="preserve">43.6</w:t>
            </w:r>
          </w:p>
        </w:tc>
        <w:tc>
          <w:tcPr/>
          <w:p>
            <w:pPr>
              <w:pStyle w:val="Compact"/>
              <w:jc w:val="right"/>
            </w:pPr>
            <w:r>
              <w:t xml:space="preserve">43.6</w:t>
            </w:r>
          </w:p>
        </w:tc>
        <w:tc>
          <w:tcPr/>
          <w:p>
            <w:pPr>
              <w:pStyle w:val="Compact"/>
              <w:jc w:val="right"/>
            </w:pPr>
            <w:r>
              <w:t xml:space="preserve">63.7</w:t>
            </w:r>
          </w:p>
        </w:tc>
        <w:tc>
          <w:tcPr/>
          <w:p>
            <w:pPr>
              <w:pStyle w:val="Compact"/>
              <w:jc w:val="left"/>
            </w:pPr>
            <w:r>
              <w:t xml:space="preserve">Same</w:t>
            </w:r>
          </w:p>
        </w:tc>
      </w:tr>
      <w:tr>
        <w:tc>
          <w:tcPr/>
          <w:p>
            <w:pPr>
              <w:pStyle w:val="Compact"/>
              <w:jc w:val="left"/>
            </w:pPr>
            <w:r>
              <w:t xml:space="preserve">W3 host community</w:t>
            </w:r>
          </w:p>
        </w:tc>
        <w:tc>
          <w:tcPr/>
          <w:p>
            <w:pPr>
              <w:pStyle w:val="Compact"/>
              <w:jc w:val="right"/>
            </w:pPr>
            <w:r>
              <w:t xml:space="preserve">55.0</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89.3</w:t>
            </w:r>
          </w:p>
        </w:tc>
        <w:tc>
          <w:tcPr/>
          <w:p>
            <w:pPr>
              <w:pStyle w:val="Compact"/>
              <w:jc w:val="left"/>
            </w:pPr>
            <w:r>
              <w:t xml:space="preserve">Same</w:t>
            </w:r>
          </w:p>
        </w:tc>
      </w:tr>
    </w:tbl>
    <w:bookmarkEnd w:id="92"/>
    <w:bookmarkStart w:id="93" w:name="b7.4-rank-reversal-and-input-sensitivity"/>
    <w:p>
      <w:pPr>
        <w:pStyle w:val="Heading4"/>
      </w:pPr>
      <w:r>
        <w:t xml:space="preserve">B7.4 Rank reversal and input sensitivity</w:t>
      </w:r>
    </w:p>
    <w:p>
      <w:pPr>
        <w:pStyle w:val="FirstParagraph"/>
      </w:pPr>
      <w:r>
        <w:rPr>
          <w:iCs/>
          <w:i/>
        </w:rPr>
        <w:t xml:space="preserve">Table B32. Each weight varied by ±50% (then renormalised): 14 tests per weight set.</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§5.</w:t>
      </w:r>
    </w:p>
    <w:tbl>
      <w:tblPr>
        <w:tblStyle w:val="Table"/>
        <w:tblW w:type="pct" w:w="5000"/>
        <w:tblLook w:firstRow="1" w:lastRow="0" w:firstColumn="0" w:lastColumn="0" w:noHBand="0" w:noVBand="0" w:val="0020"/>
        <w:jc w:val="start"/>
      </w:tblPr>
      <w:tblGrid>
        <w:gridCol w:w="1697"/>
        <w:gridCol w:w="2262"/>
        <w:gridCol w:w="2262"/>
        <w:gridCol w:w="1697"/>
      </w:tblGrid>
      <w:tr>
        <w:trPr>
          <w:tblHeader w:val="true"/>
        </w:trPr>
        <w:tc>
          <w:tcPr/>
          <w:p>
            <w:pPr>
              <w:pStyle w:val="Compact"/>
              <w:jc w:val="left"/>
            </w:pPr>
            <w:r>
              <w:t xml:space="preserve">Weight set</w:t>
            </w:r>
          </w:p>
        </w:tc>
        <w:tc>
          <w:tcPr/>
          <w:p>
            <w:pPr>
              <w:pStyle w:val="Compact"/>
              <w:jc w:val="right"/>
            </w:pPr>
            <w:r>
              <w:t xml:space="preserve">Tests</w:t>
            </w:r>
          </w:p>
        </w:tc>
        <w:tc>
          <w:tcPr/>
          <w:p>
            <w:pPr>
              <w:pStyle w:val="Compact"/>
              <w:jc w:val="right"/>
            </w:pPr>
            <w:r>
              <w:t xml:space="preserve">First place changes</w:t>
            </w:r>
          </w:p>
        </w:tc>
        <w:tc>
          <w:tcPr/>
          <w:p>
            <w:pPr>
              <w:pStyle w:val="Compact"/>
              <w:jc w:val="left"/>
            </w:pPr>
            <w:r>
              <w:t xml:space="preserve">Cases that change the order</w:t>
            </w:r>
          </w:p>
        </w:tc>
      </w:tr>
      <w:tr>
        <w:tc>
          <w:tcPr/>
          <w:p>
            <w:pPr>
              <w:pStyle w:val="Compact"/>
              <w:jc w:val="left"/>
            </w:pPr>
            <w:r>
              <w:t xml:space="preserve">W0 equal</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W1 climate and cost</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W2 firm and sovereign</w:t>
            </w:r>
          </w:p>
        </w:tc>
        <w:tc>
          <w:tcPr/>
          <w:p>
            <w:pPr>
              <w:pStyle w:val="Compact"/>
              <w:jc w:val="right"/>
            </w:pPr>
            <w:r>
              <w:t xml:space="preserve">14</w:t>
            </w:r>
          </w:p>
        </w:tc>
        <w:tc>
          <w:tcPr/>
          <w:p>
            <w:pPr>
              <w:pStyle w:val="Compact"/>
              <w:jc w:val="right"/>
            </w:pPr>
            <w:r>
              <w:t xml:space="preserve">2</w:t>
            </w:r>
          </w:p>
        </w:tc>
        <w:tc>
          <w:tcPr/>
          <w:p>
            <w:pPr>
              <w:pStyle w:val="Compact"/>
              <w:jc w:val="left"/>
            </w:pPr>
            <w:r>
              <w:t xml:space="preserve">Life cycle × 0.5 and supply × 1.5: both give status quo &gt; renewables &gt; SMR</w:t>
            </w:r>
          </w:p>
        </w:tc>
      </w:tr>
      <w:tr>
        <w:tc>
          <w:tcPr/>
          <w:p>
            <w:pPr>
              <w:pStyle w:val="Compact"/>
              <w:jc w:val="left"/>
            </w:pPr>
            <w:r>
              <w:t xml:space="preserve">W3 host community</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bl>
    <w:p>
      <w:pPr>
        <w:numPr>
          <w:ilvl w:val="0"/>
          <w:numId w:val="1012"/>
        </w:numPr>
        <w:pStyle w:val="Compact"/>
      </w:pPr>
      <w:r>
        <w:rPr>
          <w:bCs/>
          <w:b/>
        </w:rPr>
        <w:t xml:space="preserve">Random weights.</w:t>
      </w:r>
      <w:r>
        <w:t xml:space="preserve"> </w:t>
      </w:r>
      <w:r>
        <w:t xml:space="preserve">In 20,000 Dirichlet(1,…,1) draws (seed 20261021), first place goes to renewables in 85.4%, the status quo in 14.5%, SMR + C1 in 0.1% and SMR in 0.0%. An SMR option is above renewables in 1.1% of draws.</w:t>
      </w:r>
    </w:p>
    <w:p>
      <w:pPr>
        <w:numPr>
          <w:ilvl w:val="0"/>
          <w:numId w:val="1012"/>
        </w:numPr>
        <w:pStyle w:val="Compact"/>
      </w:pPr>
      <w:r>
        <w:rPr>
          <w:bCs/>
          <w:b/>
        </w:rPr>
        <w:t xml:space="preserve">Threshold.</w:t>
      </w:r>
      <w:r>
        <w:t xml:space="preserve"> </w:t>
      </w:r>
      <w:r>
        <w:t xml:space="preserve">Putting one criterion’s weight at w and sharing the rest equally, an SMR option first ranks first only when life cycle carries at least 0.936. For the other six criteria it never does.</w:t>
      </w:r>
    </w:p>
    <w:p>
      <w:pPr>
        <w:numPr>
          <w:ilvl w:val="0"/>
          <w:numId w:val="1012"/>
        </w:numPr>
        <w:pStyle w:val="Compact"/>
      </w:pPr>
      <w:r>
        <w:rPr>
          <w:bCs/>
          <w:b/>
        </w:rPr>
        <w:t xml:space="preserve">SMR versus SMR + C1.</w:t>
      </w:r>
      <w:r>
        <w:t xml:space="preserve"> </w:t>
      </w:r>
      <w:r>
        <w:t xml:space="preserve">They never swap places in any of the 56 tests.</w:t>
      </w:r>
    </w:p>
    <w:p>
      <w:pPr>
        <w:pStyle w:val="FirstParagraph"/>
      </w:pPr>
      <w:r>
        <w:rPr>
          <w:iCs/>
          <w:i/>
        </w:rPr>
        <w:t xml:space="preserve">Table B33. Input changes that alter first place or the order (base weights). All other changes leave</w:t>
      </w:r>
      <w:r>
        <w:rPr>
          <w:iCs/>
          <w:i/>
        </w:rPr>
        <w:t xml:space="preserve"> </w:t>
      </w:r>
      <w:r>
        <w:rPr>
          <w:iCs/>
          <w:i/>
        </w:rPr>
        <w:t xml:space="preserve">“</w:t>
      </w:r>
      <w:r>
        <w:rPr>
          <w:iCs/>
          <w:i/>
        </w:rPr>
        <w:t xml:space="preserve">renewables &gt; status quo &gt; SMR</w:t>
      </w:r>
      <w:r>
        <w:rPr>
          <w:iCs/>
          <w:i/>
        </w:rPr>
        <w:t xml:space="preserve">”</w:t>
      </w:r>
      <w:r>
        <w:rPr>
          <w:iCs/>
          <w:i/>
        </w:rPr>
        <w:t xml:space="preserve"> </w:t>
      </w:r>
      <w:r>
        <w:rPr>
          <w:iCs/>
          <w:i/>
        </w:rPr>
        <w:t xml:space="preserve">in all four sets.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§6 (17 input cases × 4 weight sets = 68 tests).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Change</w:t>
            </w:r>
          </w:p>
        </w:tc>
        <w:tc>
          <w:tcPr/>
          <w:p>
            <w:pPr>
              <w:pStyle w:val="Compact"/>
              <w:jc w:val="left"/>
            </w:pPr>
            <w:r>
              <w:t xml:space="preserve">Result</w:t>
            </w:r>
          </w:p>
        </w:tc>
      </w:tr>
      <w:tr>
        <w:tc>
          <w:tcPr/>
          <w:p>
            <w:pPr>
              <w:pStyle w:val="Compact"/>
              <w:jc w:val="left"/>
            </w:pPr>
            <w:r>
              <w:t xml:space="preserve">Worst case for renewables (SMR A$198, renewables A$153)</w:t>
            </w:r>
          </w:p>
        </w:tc>
        <w:tc>
          <w:tcPr/>
          <w:p>
            <w:pPr>
              <w:pStyle w:val="Compact"/>
              <w:jc w:val="left"/>
            </w:pPr>
            <w:r>
              <w:t xml:space="preserve">W2: status quo first; others unchanged</w:t>
            </w:r>
          </w:p>
        </w:tc>
      </w:tr>
      <w:tr>
        <w:tc>
          <w:tcPr/>
          <w:p>
            <w:pPr>
              <w:pStyle w:val="Compact"/>
              <w:jc w:val="left"/>
            </w:pPr>
            <w:r>
              <w:t xml:space="preserve">Status quo social licence at 14 (instead of 13)</w:t>
            </w:r>
          </w:p>
        </w:tc>
        <w:tc>
          <w:tcPr/>
          <w:p>
            <w:pPr>
              <w:pStyle w:val="Compact"/>
              <w:jc w:val="left"/>
            </w:pPr>
            <w:r>
              <w:t xml:space="preserve">W2: status quo first; others unchanged</w:t>
            </w:r>
          </w:p>
        </w:tc>
      </w:tr>
      <w:tr>
        <w:tc>
          <w:tcPr/>
          <w:p>
            <w:pPr>
              <w:pStyle w:val="Compact"/>
              <w:jc w:val="left"/>
            </w:pPr>
            <w:r>
              <w:t xml:space="preserve">Status quo supply = renewables’ HHI (6,400)</w:t>
            </w:r>
          </w:p>
        </w:tc>
        <w:tc>
          <w:tcPr/>
          <w:p>
            <w:pPr>
              <w:pStyle w:val="Compact"/>
              <w:jc w:val="left"/>
            </w:pPr>
            <w:r>
              <w:t xml:space="preserve">W2: renewables &gt; SMR &gt; status quo; others unchanged</w:t>
            </w:r>
          </w:p>
        </w:tc>
      </w:tr>
      <w:tr>
        <w:tc>
          <w:tcPr/>
          <w:p>
            <w:pPr>
              <w:pStyle w:val="Compact"/>
              <w:jc w:val="left"/>
            </w:pPr>
            <w:r>
              <w:t xml:space="preserve">Fixed global scales (best and worst fixed in advance)</w:t>
            </w:r>
          </w:p>
        </w:tc>
        <w:tc>
          <w:tcPr/>
          <w:p>
            <w:pPr>
              <w:pStyle w:val="Compact"/>
              <w:jc w:val="left"/>
            </w:pPr>
            <w:r>
              <w:t xml:space="preserve">All four sets: renewables &gt; SMR &gt; status quo</w:t>
            </w:r>
          </w:p>
        </w:tc>
      </w:tr>
    </w:tbl>
    <w:p>
      <w:pPr>
        <w:pStyle w:val="BodyText"/>
      </w:pPr>
      <w:r>
        <w:t xml:space="preserve">The unchanged cases include the alternative GenCost reading (SMR A$514, renewables A$102), first power in 2035 and 2045, renewables from 2030, grid paths NEM-T1 and T0 (frozen at 640 g/kWh), renewables at 83 g/kWh, enrichment HHI of 5,621, PV China share of 95% (HHI 9,025), status quo cost equal to renewables’ LCOE, status quo social licence of 11, a C1 delay of 14.6 days, and a C1 premium of 20% with C$3 m qualification. Reading: renewables first is robust to every input tested.</w:t>
      </w:r>
      <w:r>
        <w:t xml:space="preserve"> </w:t>
      </w:r>
      <w:r>
        <w:rPr>
          <w:bCs/>
          <w:b/>
        </w:rPr>
        <w:t xml:space="preserve">The status quo above the SMR is not:</w:t>
      </w:r>
      <w:r>
        <w:t xml:space="preserve"> </w:t>
      </w:r>
      <w:r>
        <w:t xml:space="preserve">it comes from the four-option scale, where doing nothing scores full marks on cost, supply and legal feasibility.</w:t>
      </w:r>
    </w:p>
    <w:bookmarkEnd w:id="93"/>
    <w:bookmarkStart w:id="94" w:name="X655acef3214253160cddaea55a74ab651fff5b4"/>
    <w:p>
      <w:pPr>
        <w:pStyle w:val="Heading4"/>
      </w:pPr>
      <w:r>
        <w:t xml:space="preserve">B7.5 SMR versus SMR + C1 under each C1 case</w:t>
      </w:r>
    </w:p>
    <w:p>
      <w:pPr>
        <w:pStyle w:val="FirstParagraph"/>
      </w:pPr>
      <w:r>
        <w:rPr>
          <w:iCs/>
          <w:i/>
        </w:rPr>
        <w:t xml:space="preserve">Table B34. Effect of C1 on the SMR’s life cycle and score, by C1 case.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§7. The 1,100, 2,200 and 3,300 t cases (eligibility of 20/40/60%) are placeholders until the final §6 [C1 saving: per final §6]. The 1,734 t case is the result in §6.3 as it stands.</w:t>
      </w:r>
    </w:p>
    <w:tbl>
      <w:tblPr>
        <w:tblStyle w:val="Table"/>
        <w:tblW w:type="pct" w:w="5000"/>
        <w:tblLook w:firstRow="1" w:lastRow="0" w:firstColumn="0" w:lastColumn="0" w:noHBand="0" w:noVBand="0" w:val="0020"/>
        <w:jc w:val="start"/>
      </w:tblPr>
      <w:tblGrid>
        <w:gridCol w:w="1131"/>
        <w:gridCol w:w="1508"/>
        <w:gridCol w:w="1131"/>
        <w:gridCol w:w="1131"/>
        <w:gridCol w:w="1508"/>
        <w:gridCol w:w="1508"/>
      </w:tblGrid>
      <w:tr>
        <w:trPr>
          <w:tblHeader w:val="true"/>
        </w:trPr>
        <w:tc>
          <w:tcPr/>
          <w:p>
            <w:pPr>
              <w:pStyle w:val="Compact"/>
              <w:jc w:val="left"/>
            </w:pPr>
            <w:r>
              <w:t xml:space="preserve">C1 case</w:t>
            </w:r>
          </w:p>
        </w:tc>
        <w:tc>
          <w:tcPr/>
          <w:p>
            <w:pPr>
              <w:pStyle w:val="Compact"/>
              <w:jc w:val="right"/>
            </w:pPr>
            <w:r>
              <w:t xml:space="preserve">Saving (t/unit)</w:t>
            </w:r>
          </w:p>
        </w:tc>
        <w:tc>
          <w:tcPr/>
          <w:p>
            <w:pPr>
              <w:pStyle w:val="Compact"/>
              <w:jc w:val="left"/>
            </w:pPr>
            <w:r>
              <w:t xml:space="preserve">Life cycle, SMR → SMR + C1 (g/kWh)</w:t>
            </w:r>
          </w:p>
        </w:tc>
        <w:tc>
          <w:tcPr/>
          <w:p>
            <w:pPr>
              <w:pStyle w:val="Compact"/>
              <w:jc w:val="left"/>
            </w:pPr>
            <w:r>
              <w:t xml:space="preserve">Change</w:t>
            </w:r>
          </w:p>
        </w:tc>
        <w:tc>
          <w:tcPr/>
          <w:p>
            <w:pPr>
              <w:pStyle w:val="Compact"/>
              <w:jc w:val="right"/>
            </w:pPr>
            <w:r>
              <w:t xml:space="preserve">Score gap, equal weights (points)</w:t>
            </w:r>
          </w:p>
        </w:tc>
        <w:tc>
          <w:tcPr/>
          <w:p>
            <w:pPr>
              <w:pStyle w:val="Compact"/>
              <w:jc w:val="right"/>
            </w:pPr>
            <w:r>
              <w:t xml:space="preserve">Score gap if qualification is free</w:t>
            </w:r>
          </w:p>
        </w:tc>
      </w:tr>
      <w:tr>
        <w:tc>
          <w:tcPr/>
          <w:p>
            <w:pPr>
              <w:pStyle w:val="Compact"/>
              <w:jc w:val="left"/>
            </w:pPr>
            <w:r>
              <w:t xml:space="preserve">1,734 t</w:t>
            </w:r>
          </w:p>
        </w:tc>
        <w:tc>
          <w:tcPr/>
          <w:p>
            <w:pPr>
              <w:pStyle w:val="Compact"/>
              <w:jc w:val="right"/>
            </w:pPr>
            <w:r>
              <w:t xml:space="preserve">1,734</w:t>
            </w:r>
          </w:p>
        </w:tc>
        <w:tc>
          <w:tcPr/>
          <w:p>
            <w:pPr>
              <w:pStyle w:val="Compact"/>
              <w:jc w:val="left"/>
            </w:pPr>
            <w:r>
              <w:t xml:space="preserve">4.200 → 4.1878</w:t>
            </w:r>
          </w:p>
        </w:tc>
        <w:tc>
          <w:tcPr/>
          <w:p>
            <w:pPr>
              <w:pStyle w:val="Compact"/>
              <w:jc w:val="left"/>
            </w:pPr>
            <w:r>
              <w:t xml:space="preserve">0.0122 g/kWh (0.29%)</w:t>
            </w:r>
          </w:p>
        </w:tc>
        <w:tc>
          <w:tcPr/>
          <w:p>
            <w:pPr>
              <w:pStyle w:val="Compact"/>
              <w:jc w:val="right"/>
            </w:pPr>
            <w:r>
              <w:t xml:space="preserve">−0.0016</w:t>
            </w:r>
          </w:p>
        </w:tc>
        <w:tc>
          <w:tcPr/>
          <w:p>
            <w:pPr>
              <w:pStyle w:val="Compact"/>
              <w:jc w:val="right"/>
            </w:pPr>
            <w:r>
              <w:t xml:space="preserve">+0.00038</w:t>
            </w:r>
          </w:p>
        </w:tc>
      </w:tr>
      <w:tr>
        <w:tc>
          <w:tcPr/>
          <w:p>
            <w:pPr>
              <w:pStyle w:val="Compact"/>
              <w:jc w:val="left"/>
            </w:pPr>
            <w:r>
              <w:t xml:space="preserve">1,100 t</w:t>
            </w:r>
          </w:p>
        </w:tc>
        <w:tc>
          <w:tcPr/>
          <w:p>
            <w:pPr>
              <w:pStyle w:val="Compact"/>
              <w:jc w:val="right"/>
            </w:pPr>
            <w:r>
              <w:t xml:space="preserve">1,100</w:t>
            </w:r>
          </w:p>
        </w:tc>
        <w:tc>
          <w:tcPr/>
          <w:p>
            <w:pPr>
              <w:pStyle w:val="Compact"/>
              <w:jc w:val="left"/>
            </w:pPr>
            <w:r>
              <w:t xml:space="preserve">4.200 → 4.1922</w:t>
            </w:r>
          </w:p>
        </w:tc>
        <w:tc>
          <w:tcPr/>
          <w:p>
            <w:pPr>
              <w:pStyle w:val="Compact"/>
              <w:jc w:val="left"/>
            </w:pPr>
            <w:r>
              <w:t xml:space="preserve">0.0078 g/kWh (0.18%)</w:t>
            </w:r>
          </w:p>
        </w:tc>
        <w:tc>
          <w:tcPr/>
          <w:p>
            <w:pPr>
              <w:pStyle w:val="Compact"/>
              <w:jc w:val="right"/>
            </w:pPr>
            <w:r>
              <w:t xml:space="preserve">−0.0017</w:t>
            </w:r>
          </w:p>
        </w:tc>
        <w:tc>
          <w:tcPr/>
          <w:p>
            <w:pPr>
              <w:pStyle w:val="Compact"/>
              <w:jc w:val="right"/>
            </w:pPr>
            <w:r>
              <w:t xml:space="preserve">+0.00024</w:t>
            </w:r>
          </w:p>
        </w:tc>
      </w:tr>
      <w:tr>
        <w:tc>
          <w:tcPr/>
          <w:p>
            <w:pPr>
              <w:pStyle w:val="Compact"/>
              <w:jc w:val="left"/>
            </w:pPr>
            <w:r>
              <w:t xml:space="preserve">2,200 t</w:t>
            </w:r>
          </w:p>
        </w:tc>
        <w:tc>
          <w:tcPr/>
          <w:p>
            <w:pPr>
              <w:pStyle w:val="Compact"/>
              <w:jc w:val="right"/>
            </w:pPr>
            <w:r>
              <w:t xml:space="preserve">2,200</w:t>
            </w:r>
          </w:p>
        </w:tc>
        <w:tc>
          <w:tcPr/>
          <w:p>
            <w:pPr>
              <w:pStyle w:val="Compact"/>
              <w:jc w:val="left"/>
            </w:pPr>
            <w:r>
              <w:t xml:space="preserve">4.200 → 4.1845</w:t>
            </w:r>
          </w:p>
        </w:tc>
        <w:tc>
          <w:tcPr/>
          <w:p>
            <w:pPr>
              <w:pStyle w:val="Compact"/>
              <w:jc w:val="left"/>
            </w:pPr>
            <w:r>
              <w:t xml:space="preserve">0.0155 g/kWh (0.37%)</w:t>
            </w:r>
          </w:p>
        </w:tc>
        <w:tc>
          <w:tcPr/>
          <w:p>
            <w:pPr>
              <w:pStyle w:val="Compact"/>
              <w:jc w:val="right"/>
            </w:pPr>
            <w:r>
              <w:t xml:space="preserve">−0.0015</w:t>
            </w:r>
          </w:p>
        </w:tc>
        <w:tc>
          <w:tcPr/>
          <w:p>
            <w:pPr>
              <w:pStyle w:val="Compact"/>
              <w:jc w:val="right"/>
            </w:pPr>
            <w:r>
              <w:t xml:space="preserve">+0.00049</w:t>
            </w:r>
          </w:p>
        </w:tc>
      </w:tr>
      <w:tr>
        <w:tc>
          <w:tcPr/>
          <w:p>
            <w:pPr>
              <w:pStyle w:val="Compact"/>
              <w:jc w:val="left"/>
            </w:pPr>
            <w:r>
              <w:t xml:space="preserve">3,300 t</w:t>
            </w:r>
          </w:p>
        </w:tc>
        <w:tc>
          <w:tcPr/>
          <w:p>
            <w:pPr>
              <w:pStyle w:val="Compact"/>
              <w:jc w:val="right"/>
            </w:pPr>
            <w:r>
              <w:t xml:space="preserve">3,300</w:t>
            </w:r>
          </w:p>
        </w:tc>
        <w:tc>
          <w:tcPr/>
          <w:p>
            <w:pPr>
              <w:pStyle w:val="Compact"/>
              <w:jc w:val="left"/>
            </w:pPr>
            <w:r>
              <w:t xml:space="preserve">4.200 → 4.1767</w:t>
            </w:r>
          </w:p>
        </w:tc>
        <w:tc>
          <w:tcPr/>
          <w:p>
            <w:pPr>
              <w:pStyle w:val="Compact"/>
              <w:jc w:val="left"/>
            </w:pPr>
            <w:r>
              <w:t xml:space="preserve">0.0233 g/kWh (0.55%)</w:t>
            </w:r>
          </w:p>
        </w:tc>
        <w:tc>
          <w:tcPr/>
          <w:p>
            <w:pPr>
              <w:pStyle w:val="Compact"/>
              <w:jc w:val="right"/>
            </w:pPr>
            <w:r>
              <w:t xml:space="preserve">−0.0012</w:t>
            </w:r>
          </w:p>
        </w:tc>
        <w:tc>
          <w:tcPr/>
          <w:p>
            <w:pPr>
              <w:pStyle w:val="Compact"/>
              <w:jc w:val="right"/>
            </w:pPr>
            <w:r>
              <w:t xml:space="preserve">+0.00073</w:t>
            </w:r>
          </w:p>
        </w:tc>
      </w:tr>
    </w:tbl>
    <w:p>
      <w:pPr>
        <w:pStyle w:val="BodyText"/>
      </w:pPr>
      <w:r>
        <w:t xml:space="preserve">In every case the CO₂e avoided to 2050 rises only from 3.845 to 3.846 Mt, and the extra cost is A$0.038/MWh. The gap is slightly negative in the base case because the assumed C$1 m qualification cost outweighs a 0.016 g/kWh gain on a criterion whose range is 636 g/kWh; with free qualification it turns positive but stays below 0.001 point.</w:t>
      </w:r>
      <w:r>
        <w:t xml:space="preserve"> </w:t>
      </w:r>
      <w:r>
        <w:rPr>
          <w:bCs/>
          <w:b/>
        </w:rPr>
        <w:t xml:space="preserve">Delay case.</w:t>
      </w:r>
      <w:r>
        <w:t xml:space="preserve"> </w:t>
      </w:r>
      <w:r>
        <w:t xml:space="preserve">If C1 slips the unit by 14.6 days (the old-case whole-life break-even of B5.3, used as an illustration), the CO₂e not avoided at Liddell during the delay is 25.5 kt, which is 12 times the 2,200 t saving (15 times the 1,734 t saving). SMR + C1 then avoids less than the plain SMR, so the schedule-neutral condition decides the sign. The denominator caveat applies: the 4.2 g/kWh base comes from the earlier 20,700 m³ model, and the percentages must be re-read from the final §6.</w:t>
      </w:r>
    </w:p>
    <w:bookmarkEnd w:id="94"/>
    <w:bookmarkStart w:id="95" w:name="b7.6-limitations"/>
    <w:p>
      <w:pPr>
        <w:pStyle w:val="Heading4"/>
      </w:pPr>
      <w:r>
        <w:t xml:space="preserve">B7.6 Limitations</w:t>
      </w:r>
    </w:p>
    <w:p>
      <w:pPr>
        <w:numPr>
          <w:ilvl w:val="0"/>
          <w:numId w:val="1013"/>
        </w:numPr>
        <w:pStyle w:val="Compact"/>
      </w:pPr>
      <w:r>
        <w:t xml:space="preserve">Social licence, legal feasibility and the renewables supply score are our scored judgement (Table T13; Table B13; B7.1). The weights are our reading, not elicited. A stakeholder survey would replace them.</w:t>
      </w:r>
    </w:p>
    <w:p>
      <w:pPr>
        <w:numPr>
          <w:ilvl w:val="0"/>
          <w:numId w:val="1013"/>
        </w:numPr>
        <w:pStyle w:val="Compact"/>
      </w:pPr>
      <w:r>
        <w:t xml:space="preserve">Local min–max scaling makes each score depend on which options are compared. The status quo’s second place changes on fixed global scales (B7.4).</w:t>
      </w:r>
    </w:p>
    <w:p>
      <w:pPr>
        <w:numPr>
          <w:ilvl w:val="0"/>
          <w:numId w:val="1013"/>
        </w:numPr>
        <w:pStyle w:val="Compact"/>
      </w:pPr>
      <w:r>
        <w:t xml:space="preserve">Renewables’ supply HHI uses solar PV only; batteries, wind turbines and transmission are not assessed, and the IEA (2022) report was not opened.</w:t>
      </w:r>
    </w:p>
    <w:p>
      <w:pPr>
        <w:numPr>
          <w:ilvl w:val="0"/>
          <w:numId w:val="1013"/>
        </w:numPr>
        <w:pStyle w:val="Compact"/>
      </w:pPr>
      <w:r>
        <w:t xml:space="preserve">TRL is not scored, and first-power years depend on CSIRO’s</w:t>
      </w:r>
      <w:r>
        <w:t xml:space="preserve"> </w:t>
      </w:r>
      <w:r>
        <w:t xml:space="preserve">“</w:t>
      </w:r>
      <w:r>
        <w:t xml:space="preserve">2040 at the earliest</w:t>
      </w:r>
      <w:r>
        <w:t xml:space="preserve">”</w:t>
      </w:r>
      <w:r>
        <w:t xml:space="preserve"> </w:t>
      </w:r>
      <w:r>
        <w:t xml:space="preserve">and the Coalition’s 2035 [TO VERIFY: Leroy §4.1].</w:t>
      </w:r>
    </w:p>
    <w:p>
      <w:pPr>
        <w:numPr>
          <w:ilvl w:val="0"/>
          <w:numId w:val="1013"/>
        </w:numPr>
        <w:pStyle w:val="Compact"/>
      </w:pPr>
      <w:r>
        <w:t xml:space="preserve">Renewables’ 30 g/kWh and 2028 start are assumptions. GenCost’s table and year are unconfirmed (TODO 11). Adding several TWh of renewables would itself change the grid trajectory (B6.4).</w:t>
      </w:r>
    </w:p>
    <w:p>
      <w:pPr>
        <w:numPr>
          <w:ilvl w:val="0"/>
          <w:numId w:val="1013"/>
        </w:numPr>
        <w:pStyle w:val="Compact"/>
      </w:pPr>
      <w:r>
        <w:t xml:space="preserve">The DCLG manual was not opened (gov.uk blocked).</w:t>
      </w:r>
    </w:p>
    <w:p>
      <w:pPr>
        <w:pStyle w:val="FirstParagraph"/>
      </w:pPr>
      <w:r>
        <w:rPr>
          <w:bCs/>
          <w:b/>
        </w:rPr>
        <w:t xml:space="preserve">Reproduce.</w:t>
      </w:r>
      <w:r>
        <w:t xml:space="preserve"> </w:t>
      </w:r>
      <w:r>
        <w:t xml:space="preserve">From the repository root:</w:t>
      </w:r>
      <w:r>
        <w:t xml:space="preserve"> </w:t>
      </w:r>
      <w:r>
        <w:rPr>
          <w:rStyle w:val="VerbatimChar"/>
        </w:rPr>
        <w:t xml:space="preserve">python3 -I 03_LCA_Calculations/scripts/mcda.py --c1-case new_2200</w:t>
      </w:r>
      <w:r>
        <w:t xml:space="preserve"> </w:t>
      </w:r>
      <w:r>
        <w:t xml:space="preserve">(cases:</w:t>
      </w:r>
      <w:r>
        <w:t xml:space="preserve"> </w:t>
      </w:r>
      <w:r>
        <w:rPr>
          <w:rStyle w:val="VerbatimChar"/>
        </w:rPr>
        <w:t xml:space="preserve">old_1734</w:t>
      </w:r>
      <w:r>
        <w:t xml:space="preserve">,</w:t>
      </w:r>
      <w:r>
        <w:t xml:space="preserve"> </w:t>
      </w:r>
      <w:r>
        <w:rPr>
          <w:rStyle w:val="VerbatimChar"/>
        </w:rPr>
        <w:t xml:space="preserve">new_1100</w:t>
      </w:r>
      <w:r>
        <w:t xml:space="preserve">,</w:t>
      </w:r>
      <w:r>
        <w:t xml:space="preserve"> </w:t>
      </w:r>
      <w:r>
        <w:rPr>
          <w:rStyle w:val="VerbatimChar"/>
        </w:rPr>
        <w:t xml:space="preserve">new_2200</w:t>
      </w:r>
      <w:r>
        <w:t xml:space="preserve">,</w:t>
      </w:r>
      <w:r>
        <w:t xml:space="preserve"> </w:t>
      </w:r>
      <w:r>
        <w:rPr>
          <w:rStyle w:val="VerbatimChar"/>
        </w:rPr>
        <w:t xml:space="preserve">new_3300</w:t>
      </w:r>
      <w:r>
        <w:t xml:space="preserve">). Inputs are in</w:t>
      </w:r>
      <w:r>
        <w:t xml:space="preserve"> </w:t>
      </w:r>
      <w:r>
        <w:rPr>
          <w:rStyle w:val="VerbatimChar"/>
        </w:rPr>
        <w:t xml:space="preserve">03_LCA_Calculations/parameters_run9.yaml</w:t>
      </w:r>
      <w:r>
        <w:t xml:space="preserve">; outputs are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w:t>
      </w:r>
    </w:p>
    <w:p>
      <w:r>
        <w:pict>
          <v:rect style="width:0;height:1.5pt" o:hralign="center" o:hrstd="t" o:hr="t"/>
        </w:pict>
      </w:r>
    </w:p>
    <w:bookmarkEnd w:id="95"/>
    <w:bookmarkEnd w:id="96"/>
    <w:bookmarkStart w:id="101" w:name="Xdcb2f35f44111e0f453c2a475e1a576da286c83"/>
    <w:p>
      <w:pPr>
        <w:pStyle w:val="Heading3"/>
      </w:pPr>
      <w:r>
        <w:t xml:space="preserve">B8. Social licence and stakeholder working (for §8.4 and §8.5)</w:t>
      </w:r>
    </w:p>
    <w:p>
      <w:pPr>
        <w:pStyle w:val="FirstParagraph"/>
      </w:pPr>
      <w:r>
        <w:rPr>
          <w:bCs/>
          <w:b/>
        </w:rPr>
        <w:t xml:space="preserve">Result.</w:t>
      </w:r>
      <w:r>
        <w:t xml:space="preserve"> </w:t>
      </w:r>
      <w:r>
        <w:t xml:space="preserve">Safety data favour nuclear (0.03 deaths per TWh against 24.62 for coal), but the health benefit of one unit is large only against coal (58 deaths avoided a year, an upper bound) and small against gas (6.6). Weighted by power, the average stance is +1.07 at Darlington and −1.03 at Liddell. Consent-based siting routes beat top-down siting by 3–6 points under all five weightings, and not building an SMR at Liddell scores highest.</w:t>
      </w:r>
      <w:r>
        <w:t xml:space="preserve"> </w:t>
      </w:r>
      <w:r>
        <w:rPr>
          <w:bCs/>
          <w:b/>
        </w:rPr>
        <w:t xml:space="preserve">The stance scores and route scores are our judgement, not measurements;</w:t>
      </w:r>
      <w:r>
        <w:t xml:space="preserve"> </w:t>
      </w:r>
      <w:r>
        <w:t xml:space="preserve">every input is [TO VERIFY]. Script:</w:t>
      </w:r>
      <w:r>
        <w:t xml:space="preserve"> </w:t>
      </w:r>
      <w:r>
        <w:rPr>
          <w:rStyle w:val="VerbatimChar"/>
        </w:rPr>
        <w:t xml:space="preserve">python3 -I 03_LCA_Calculations/scripts/social_licence.py</w:t>
      </w:r>
      <w:r>
        <w:t xml:space="preserve"> </w:t>
      </w:r>
      <w:r>
        <w:t xml:space="preserve">(</w:t>
      </w:r>
      <w:r>
        <w:rPr>
          <w:rStyle w:val="VerbatimChar"/>
        </w:rPr>
        <w:t xml:space="preserve">parameters_run6.yaml</w:t>
      </w:r>
      <w:r>
        <w:t xml:space="preserve">; output</w:t>
      </w:r>
      <w:r>
        <w:t xml:space="preserve"> </w:t>
      </w:r>
      <w:r>
        <w:rPr>
          <w:rStyle w:val="VerbatimChar"/>
        </w:rPr>
        <w:t xml:space="preserve">results/social_licence.md</w:t>
      </w:r>
      <w:r>
        <w:t xml:space="preserve">).</w:t>
      </w:r>
    </w:p>
    <w:bookmarkStart w:id="97" w:name="X8871295422bcc52b42d843e419a224e284f0009"/>
    <w:p>
      <w:pPr>
        <w:pStyle w:val="Heading4"/>
      </w:pPr>
      <w:r>
        <w:t xml:space="preserve">B8.1 Perceived and actual safety, and deaths avoided</w:t>
      </w:r>
    </w:p>
    <w:p>
      <w:pPr>
        <w:numPr>
          <w:ilvl w:val="0"/>
          <w:numId w:val="1014"/>
        </w:numPr>
        <w:pStyle w:val="Compact"/>
      </w:pPr>
      <w:r>
        <w:t xml:space="preserve">Death rates per TWh (Ritchie, 2020; Markandya and Wilkinson, 2007) [TO VERIFY on the live chart]: coal 24.62, brown coal 32.72, gas 2.82, wind 0.04, nuclear 0.03, solar 0.02. Coal is 24.62 / 0.03 = about 820 times nuclear (gas about 94 times).</w:t>
      </w:r>
    </w:p>
    <w:p>
      <w:pPr>
        <w:numPr>
          <w:ilvl w:val="0"/>
          <w:numId w:val="1014"/>
        </w:numPr>
        <w:pStyle w:val="Compact"/>
      </w:pPr>
      <w:r>
        <w:t xml:space="preserve">Output of one unit: 300 MWe × 8,760 h × 0.9 = 2.365 TWh a year (2.102–2.497 at capacity factors of 0.80–0.95).</w:t>
      </w:r>
    </w:p>
    <w:p>
      <w:pPr>
        <w:numPr>
          <w:ilvl w:val="0"/>
          <w:numId w:val="1014"/>
        </w:numPr>
        <w:pStyle w:val="Compact"/>
      </w:pPr>
      <w:r>
        <w:t xml:space="preserve">Deaths avoided a year = output × (death rate of the displaced source − nuclear’s rate). Example (black coal): 2.365 × (24.62 − 0.03) =</w:t>
      </w:r>
      <w:r>
        <w:t xml:space="preserve"> </w:t>
      </w:r>
      <w:r>
        <w:rPr>
          <w:bCs/>
          <w:b/>
        </w:rPr>
        <w:t xml:space="preserve">58.2</w:t>
      </w:r>
      <w:r>
        <w:t xml:space="preserve">.</w:t>
      </w:r>
    </w:p>
    <w:p>
      <w:pPr>
        <w:pStyle w:val="FirstParagraph"/>
      </w:pPr>
      <w:r>
        <w:rPr>
          <w:iCs/>
          <w:i/>
        </w:rPr>
        <w:t xml:space="preserve">Table B36. Statistical deaths avoided a year by one unit, by displaced source.</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§2 [inputs TO VERIFY].</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Displaced source</w:t>
            </w:r>
          </w:p>
        </w:tc>
        <w:tc>
          <w:tcPr/>
          <w:p>
            <w:pPr>
              <w:pStyle w:val="Compact"/>
              <w:jc w:val="right"/>
            </w:pPr>
            <w:r>
              <w:t xml:space="preserve">CF 0.80</w:t>
            </w:r>
          </w:p>
        </w:tc>
        <w:tc>
          <w:tcPr/>
          <w:p>
            <w:pPr>
              <w:pStyle w:val="Compact"/>
              <w:jc w:val="right"/>
            </w:pPr>
            <w:r>
              <w:t xml:space="preserve">CF 0.90 (central)</w:t>
            </w:r>
          </w:p>
        </w:tc>
        <w:tc>
          <w:tcPr/>
          <w:p>
            <w:pPr>
              <w:pStyle w:val="Compact"/>
              <w:jc w:val="right"/>
            </w:pPr>
            <w:r>
              <w:t xml:space="preserve">CF 0.95</w:t>
            </w:r>
          </w:p>
        </w:tc>
      </w:tr>
      <w:tr>
        <w:tc>
          <w:tcPr/>
          <w:p>
            <w:pPr>
              <w:pStyle w:val="Compact"/>
              <w:jc w:val="left"/>
            </w:pPr>
            <w:r>
              <w:t xml:space="preserve">Black coal (Liddell; upper bound, because coal leaves the grid by 2038 in AEMO’s central scenario)</w:t>
            </w:r>
          </w:p>
        </w:tc>
        <w:tc>
          <w:tcPr/>
          <w:p>
            <w:pPr>
              <w:pStyle w:val="Compact"/>
              <w:jc w:val="right"/>
            </w:pPr>
            <w:r>
              <w:t xml:space="preserve">51.7</w:t>
            </w:r>
          </w:p>
        </w:tc>
        <w:tc>
          <w:tcPr/>
          <w:p>
            <w:pPr>
              <w:pStyle w:val="Compact"/>
              <w:jc w:val="right"/>
            </w:pPr>
            <w:r>
              <w:rPr>
                <w:bCs/>
                <w:b/>
              </w:rPr>
              <w:t xml:space="preserve">58.2</w:t>
            </w:r>
          </w:p>
        </w:tc>
        <w:tc>
          <w:tcPr/>
          <w:p>
            <w:pPr>
              <w:pStyle w:val="Compact"/>
              <w:jc w:val="right"/>
            </w:pPr>
            <w:r>
              <w:t xml:space="preserve">61.4</w:t>
            </w:r>
          </w:p>
        </w:tc>
      </w:tr>
      <w:tr>
        <w:tc>
          <w:tcPr/>
          <w:p>
            <w:pPr>
              <w:pStyle w:val="Compact"/>
              <w:jc w:val="left"/>
            </w:pPr>
            <w:r>
              <w:t xml:space="preserve">Brown coal (stretch case)</w:t>
            </w:r>
          </w:p>
        </w:tc>
        <w:tc>
          <w:tcPr/>
          <w:p>
            <w:pPr>
              <w:pStyle w:val="Compact"/>
              <w:jc w:val="right"/>
            </w:pPr>
            <w:r>
              <w:t xml:space="preserve">68.7</w:t>
            </w:r>
          </w:p>
        </w:tc>
        <w:tc>
          <w:tcPr/>
          <w:p>
            <w:pPr>
              <w:pStyle w:val="Compact"/>
              <w:jc w:val="right"/>
            </w:pPr>
            <w:r>
              <w:t xml:space="preserve">77.3</w:t>
            </w:r>
          </w:p>
        </w:tc>
        <w:tc>
          <w:tcPr/>
          <w:p>
            <w:pPr>
              <w:pStyle w:val="Compact"/>
              <w:jc w:val="right"/>
            </w:pPr>
            <w:r>
              <w:t xml:space="preserve">81.6</w:t>
            </w:r>
          </w:p>
        </w:tc>
      </w:tr>
      <w:tr>
        <w:tc>
          <w:tcPr/>
          <w:p>
            <w:pPr>
              <w:pStyle w:val="Compact"/>
              <w:jc w:val="left"/>
            </w:pPr>
            <w:r>
              <w:t xml:space="preserve">Gas (Darlington, per unit; Ontario has no coal)</w:t>
            </w:r>
          </w:p>
        </w:tc>
        <w:tc>
          <w:tcPr/>
          <w:p>
            <w:pPr>
              <w:pStyle w:val="Compact"/>
              <w:jc w:val="right"/>
            </w:pPr>
            <w:r>
              <w:t xml:space="preserve">5.9</w:t>
            </w:r>
          </w:p>
        </w:tc>
        <w:tc>
          <w:tcPr/>
          <w:p>
            <w:pPr>
              <w:pStyle w:val="Compact"/>
              <w:jc w:val="right"/>
            </w:pPr>
            <w:r>
              <w:rPr>
                <w:bCs/>
                <w:b/>
              </w:rPr>
              <w:t xml:space="preserve">6.6</w:t>
            </w:r>
          </w:p>
        </w:tc>
        <w:tc>
          <w:tcPr/>
          <w:p>
            <w:pPr>
              <w:pStyle w:val="Compact"/>
              <w:jc w:val="right"/>
            </w:pPr>
            <w:r>
              <w:t xml:space="preserve">7.0</w:t>
            </w:r>
          </w:p>
        </w:tc>
      </w:tr>
      <w:tr>
        <w:tc>
          <w:tcPr/>
          <w:p>
            <w:pPr>
              <w:pStyle w:val="Compact"/>
              <w:jc w:val="left"/>
            </w:pPr>
            <w:r>
              <w:t xml:space="preserve">Gas, four units</w:t>
            </w:r>
          </w:p>
        </w:tc>
        <w:tc>
          <w:tcPr/>
          <w:p>
            <w:pPr>
              <w:pStyle w:val="Compact"/>
              <w:jc w:val="right"/>
            </w:pPr>
            <w:r>
              <w:t xml:space="preserve">23.5</w:t>
            </w:r>
          </w:p>
        </w:tc>
        <w:tc>
          <w:tcPr/>
          <w:p>
            <w:pPr>
              <w:pStyle w:val="Compact"/>
              <w:jc w:val="right"/>
            </w:pPr>
            <w:r>
              <w:t xml:space="preserve">26.4</w:t>
            </w:r>
          </w:p>
        </w:tc>
        <w:tc>
          <w:tcPr/>
          <w:p>
            <w:pPr>
              <w:pStyle w:val="Compact"/>
              <w:jc w:val="right"/>
            </w:pPr>
            <w:r>
              <w:t xml:space="preserve">27.9</w:t>
            </w:r>
          </w:p>
        </w:tc>
      </w:tr>
      <w:tr>
        <w:tc>
          <w:tcPr/>
          <w:p>
            <w:pPr>
              <w:pStyle w:val="Compact"/>
              <w:jc w:val="left"/>
            </w:pPr>
            <w:r>
              <w:t xml:space="preserve">Wind</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r>
        <w:tc>
          <w:tcPr/>
          <w:p>
            <w:pPr>
              <w:pStyle w:val="Compact"/>
              <w:jc w:val="left"/>
            </w:pPr>
            <w:r>
              <w:t xml:space="preserve">Solar</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bl>
    <w:p>
      <w:pPr>
        <w:pStyle w:val="BodyText"/>
      </w:pPr>
      <w:r>
        <w:t xml:space="preserve">The unit’s own output carries 0.07 statistical deaths a year at the nuclear rate (one per 14 years), a rate that includes Chernobyl and Fukushima. The fossil rates are for European plants with pollution controls, so they are conservative. Against wind or solar the difference lies within the uncertainty of the rates.</w:t>
      </w:r>
    </w:p>
    <w:bookmarkEnd w:id="97"/>
    <w:bookmarkStart w:id="98" w:name="Xfaf948de050b31a2ed3f21030d68b74a2859c70"/>
    <w:p>
      <w:pPr>
        <w:pStyle w:val="Heading4"/>
      </w:pPr>
      <w:r>
        <w:t xml:space="preserve">B8.2 Stakeholder power, interest and stance (Figure 8)</w:t>
      </w:r>
    </w:p>
    <w:p>
      <w:pPr>
        <w:pStyle w:val="FirstParagraph"/>
      </w:pPr>
      <w:r>
        <w:t xml:space="preserve">Each actor is scored for power (1–5), interest (1–5) and stance (−2 strongly against to +2 strongly for) from the evidence in §8.1–8.4 (evidence keys in</w:t>
      </w:r>
      <w:r>
        <w:t xml:space="preserve"> </w:t>
      </w:r>
      <w:r>
        <w:rPr>
          <w:rStyle w:val="VerbatimChar"/>
        </w:rPr>
        <w:t xml:space="preserve">parameters_run6.yaml</w:t>
      </w:r>
      <w:r>
        <w:t xml:space="preserve">).</w:t>
      </w:r>
      <w:r>
        <w:t xml:space="preserve"> </w:t>
      </w:r>
      <w:r>
        <w:t xml:space="preserve">“</w:t>
      </w:r>
      <w:r>
        <w:t xml:space="preserve">High power</w:t>
      </w:r>
      <w:r>
        <w:t xml:space="preserve">”</w:t>
      </w:r>
      <w:r>
        <w:t xml:space="preserve"> </w:t>
      </w:r>
      <w:r>
        <w:t xml:space="preserve">is a score of 4 or more. Quadrant: power ≥ 4 and interest ≥ 4, manage closely; power ≥ 4 only, keep satisfied; interest ≥ 4 only, keep informed; neither, monitor.</w:t>
      </w:r>
      <w:r>
        <w:t xml:space="preserve"> </w:t>
      </w:r>
      <w:r>
        <w:rPr>
          <w:bCs/>
          <w:b/>
        </w:rPr>
        <w:t xml:space="preserve">Power-weighted stance</w:t>
      </w:r>
      <w:r>
        <w:t xml:space="preserve"> </w:t>
      </w:r>
      <w:r>
        <w:t xml:space="preserve">= Σ(power × stance) / Σ(power).</w:t>
      </w:r>
    </w:p>
    <w:p>
      <w:pPr>
        <w:pStyle w:val="BodyText"/>
      </w:pPr>
      <w:r>
        <w:rPr>
          <w:iCs/>
          <w:i/>
        </w:rPr>
        <w:t xml:space="preserve">Table B37. Stakeholder scores, Darlington Units 2–4 with C1.</w:t>
      </w:r>
      <w:r>
        <w:t xml:space="preserve"> </w:t>
      </w:r>
      <w:r>
        <w:rPr>
          <w:iCs/>
          <w:i/>
        </w:rPr>
        <w:t xml:space="preserve">Source: our judgement from §8.1–8.4 evidence;</w:t>
      </w:r>
      <w:r>
        <w:rPr>
          <w:iCs/>
          <w:i/>
        </w:rPr>
        <w:t xml:space="preserve"> </w:t>
      </w:r>
      <w:r>
        <w:rPr>
          <w:rStyle w:val="VerbatimChar"/>
          <w:iCs/>
          <w:i/>
        </w:rPr>
        <w:t xml:space="preserve">results/social_licence.md</w:t>
      </w:r>
      <w:r>
        <w:rPr>
          <w:iCs/>
          <w:i/>
        </w:rPr>
        <w:t xml:space="preserve"> </w:t>
      </w:r>
      <w:r>
        <w:rPr>
          <w:iCs/>
          <w:i/>
        </w:rPr>
        <w:t xml:space="preserve">§6 [TO VERIFY].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Ontario Government (shareholder)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OPG (licensee, owner)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CNSC (safety regulator)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Williams Treaties First Nations</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Government of Canada (CIB, CGF, CILGC)</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GE Vernova Hitachi (vendor)</w:t>
            </w:r>
          </w:p>
        </w:tc>
        <w:tc>
          <w:tcPr/>
          <w:p>
            <w:pPr>
              <w:pStyle w:val="Compact"/>
              <w:jc w:val="right"/>
            </w:pPr>
            <w:r>
              <w:t xml:space="preserve">4</w:t>
            </w:r>
          </w:p>
        </w:tc>
        <w:tc>
          <w:tcPr/>
          <w:p>
            <w:pPr>
              <w:pStyle w:val="Compact"/>
              <w:jc w:val="right"/>
            </w:pPr>
            <w:r>
              <w:t xml:space="preserve">4</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Ontario Energy Board (rate regulator)</w:t>
            </w:r>
          </w:p>
        </w:tc>
        <w:tc>
          <w:tcPr/>
          <w:p>
            <w:pPr>
              <w:pStyle w:val="Compact"/>
              <w:jc w:val="right"/>
            </w:pPr>
            <w:r>
              <w:t xml:space="preserve">4</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Clarington and Durham (host)</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Unions</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NGOs</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Cement suppliers (no source found)</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Ratepayers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left"/>
            </w:pPr>
            <w:r>
              <w:t xml:space="preserve">Monitor</w:t>
            </w:r>
          </w:p>
        </w:tc>
      </w:tr>
    </w:tbl>
    <w:p>
      <w:pPr>
        <w:pStyle w:val="BodyText"/>
      </w:pPr>
      <w:r>
        <w:t xml:space="preserve">Working: Σ(power × stance) = 10 + 10 + 0 + 4 + 8 + 4 + 0 + 6 + 6 − 4 + 2 + 0 = 46; Σ(power) = 43; 46 / 43 =</w:t>
      </w:r>
      <w:r>
        <w:t xml:space="preserve"> </w:t>
      </w:r>
      <w:r>
        <w:rPr>
          <w:bCs/>
          <w:b/>
        </w:rPr>
        <w:t xml:space="preserve">+1.07</w:t>
      </w:r>
      <w:r>
        <w:t xml:space="preserve">. Seven actors have high power and none is opposed.</w:t>
      </w:r>
    </w:p>
    <w:p>
      <w:pPr>
        <w:pStyle w:val="BodyText"/>
      </w:pPr>
      <w:r>
        <w:rPr>
          <w:iCs/>
          <w:i/>
        </w:rPr>
        <w:t xml:space="preserve">Table B38. Stakeholder scores, a hypothetical BWRX-300 at Liddell.</w:t>
      </w:r>
      <w:r>
        <w:t xml:space="preserve"> </w:t>
      </w:r>
      <w:r>
        <w:rPr>
          <w:iCs/>
          <w:i/>
        </w:rPr>
        <w:t xml:space="preserve">Source: as Table B37.</w:t>
      </w:r>
    </w:p>
    <w:tbl>
      <w:tblPr>
        <w:tblStyle w:val="Table"/>
        <w:tblW w:type="pct" w:w="5000"/>
        <w:tblLook w:firstRow="1" w:lastRow="0" w:firstColumn="0" w:lastColumn="0" w:noHBand="0" w:noVBand="0" w:val="0020"/>
        <w:jc w:val="start"/>
      </w:tblPr>
      <w:tblGrid>
        <w:gridCol w:w="1320"/>
        <w:gridCol w:w="1760"/>
        <w:gridCol w:w="1760"/>
        <w:gridCol w:w="1760"/>
        <w:gridCol w:w="1320"/>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Commonwealth Government (Labor)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NSW Government</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AGL (site owner)</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ARPANSA (regulator)</w:t>
            </w:r>
          </w:p>
        </w:tc>
        <w:tc>
          <w:tcPr/>
          <w:p>
            <w:pPr>
              <w:pStyle w:val="Compact"/>
              <w:jc w:val="right"/>
            </w:pPr>
            <w:r>
              <w:t xml:space="preserve">4</w:t>
            </w:r>
          </w:p>
        </w:tc>
        <w:tc>
          <w:tcPr/>
          <w:p>
            <w:pPr>
              <w:pStyle w:val="Compact"/>
              <w:jc w:val="right"/>
            </w:pPr>
            <w:r>
              <w:t xml:space="preserve">2</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NGOs</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Wonnarua people (no public position found; scored neutral by default)</w:t>
            </w:r>
          </w:p>
        </w:tc>
        <w:tc>
          <w:tcPr/>
          <w:p>
            <w:pPr>
              <w:pStyle w:val="Compact"/>
              <w:jc w:val="right"/>
            </w:pPr>
            <w:r>
              <w:t xml:space="preserve">3</w:t>
            </w:r>
          </w:p>
        </w:tc>
        <w:tc>
          <w:tcPr/>
          <w:p>
            <w:pPr>
              <w:pStyle w:val="Compact"/>
              <w:jc w:val="right"/>
            </w:pPr>
            <w:r>
              <w:t xml:space="preserve">4</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Unions (ACTU, ETU)</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Investors in NEM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Federal Coalition</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Upper Hunter community</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SMR vendors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bl>
    <w:p>
      <w:pPr>
        <w:pStyle w:val="BodyText"/>
      </w:pPr>
      <w:r>
        <w:t xml:space="preserve">Working: Σ(power × stance) = −10 − 10 − 8 + 0 − 6 + 0 − 6 − 3 + 4 + 0 + 2 = −37; Σ(power) = 36; −37 / 36 =</w:t>
      </w:r>
      <w:r>
        <w:t xml:space="preserve"> </w:t>
      </w:r>
      <w:r>
        <w:rPr>
          <w:bCs/>
          <w:b/>
        </w:rPr>
        <w:t xml:space="preserve">−1.03</w:t>
      </w:r>
      <w:r>
        <w:t xml:space="preserve">. Four actors have high power and three are opposed. Scoring the Wonnarua people at −2 or +2 would move the Liddell result by −0.17 or +0.17 (3 × 2 / 36), which does not change its sign.</w:t>
      </w:r>
    </w:p>
    <w:bookmarkEnd w:id="98"/>
    <w:bookmarkStart w:id="99" w:name="Xd5df1698768aea18553bcc1433b5699130c12c4"/>
    <w:p>
      <w:pPr>
        <w:pStyle w:val="Heading4"/>
      </w:pPr>
      <w:r>
        <w:t xml:space="preserve">B8.3 Social-licence routes for an SMR at Liddell (Table T13)</w:t>
      </w:r>
    </w:p>
    <w:p>
      <w:pPr>
        <w:pStyle w:val="FirstParagraph"/>
      </w:pPr>
      <w:r>
        <w:t xml:space="preserve">Four routes are scored 1–3 (3 best) on legitimacy (chance of durable consent), legal risk (low risk scores high), speed, public cost (low cost scores high) and fairness. Each weighted column doubles one criterion.</w:t>
      </w:r>
    </w:p>
    <w:p>
      <w:pPr>
        <w:pStyle w:val="BodyText"/>
      </w:pPr>
      <w:r>
        <w:rPr>
          <w:iCs/>
          <w:i/>
        </w:rPr>
        <w:t xml:space="preserve">Table B39. Route scores by criterion and totals.</w:t>
      </w:r>
      <w:r>
        <w:t xml:space="preserve"> </w:t>
      </w:r>
      <w:r>
        <w:rPr>
          <w:iCs/>
          <w:i/>
        </w:rPr>
        <w:t xml:space="preserve">Source: our judgement (</w:t>
      </w:r>
      <w:r>
        <w:rPr>
          <w:rStyle w:val="VerbatimChar"/>
          <w:iCs/>
          <w:i/>
        </w:rPr>
        <w:t xml:space="preserve">parameters_run6.yaml</w:t>
      </w:r>
      <w:r>
        <w:rPr>
          <w:iCs/>
          <w:i/>
        </w:rPr>
        <w:t xml:space="preserve">); totals by</w:t>
      </w:r>
      <w:r>
        <w:rPr>
          <w:iCs/>
          <w:i/>
        </w:rPr>
        <w:t xml:space="preserve"> </w:t>
      </w:r>
      <w:r>
        <w:rPr>
          <w:rStyle w:val="VerbatimChar"/>
          <w:iCs/>
          <w:i/>
        </w:rPr>
        <w:t xml:space="preserve">social_licence.py</w:t>
      </w:r>
      <w:r>
        <w:rPr>
          <w:iCs/>
          <w:i/>
        </w:rPr>
        <w:t xml:space="preserve">.</w:t>
      </w:r>
    </w:p>
    <w:tbl>
      <w:tblPr>
        <w:tblStyle w:val="Table"/>
        <w:tblW w:type="pct" w:w="5000"/>
        <w:tblLook w:firstRow="1" w:lastRow="0" w:firstColumn="0" w:lastColumn="0" w:noHBand="0" w:noVBand="0" w:val="0020"/>
        <w:jc w:val="start"/>
      </w:tblPr>
      <w:tblGrid>
        <w:gridCol w:w="552"/>
        <w:gridCol w:w="736"/>
        <w:gridCol w:w="736"/>
        <w:gridCol w:w="736"/>
        <w:gridCol w:w="736"/>
        <w:gridCol w:w="736"/>
        <w:gridCol w:w="736"/>
        <w:gridCol w:w="736"/>
        <w:gridCol w:w="736"/>
        <w:gridCol w:w="736"/>
        <w:gridCol w:w="736"/>
      </w:tblGrid>
      <w:tr>
        <w:trPr>
          <w:tblHeader w:val="true"/>
        </w:trPr>
        <w:tc>
          <w:tcPr/>
          <w:p>
            <w:pPr>
              <w:pStyle w:val="Compact"/>
              <w:jc w:val="left"/>
            </w:pPr>
            <w:r>
              <w:t xml:space="preserve">Route</w:t>
            </w:r>
          </w:p>
        </w:tc>
        <w:tc>
          <w:tcPr/>
          <w:p>
            <w:pPr>
              <w:pStyle w:val="Compact"/>
              <w:jc w:val="right"/>
            </w:pPr>
            <w:r>
              <w:t xml:space="preserve">Legitimacy</w:t>
            </w:r>
          </w:p>
        </w:tc>
        <w:tc>
          <w:tcPr/>
          <w:p>
            <w:pPr>
              <w:pStyle w:val="Compact"/>
              <w:jc w:val="right"/>
            </w:pPr>
            <w:r>
              <w:t xml:space="preserve">Legal</w:t>
            </w:r>
          </w:p>
        </w:tc>
        <w:tc>
          <w:tcPr/>
          <w:p>
            <w:pPr>
              <w:pStyle w:val="Compact"/>
              <w:jc w:val="right"/>
            </w:pPr>
            <w:r>
              <w:t xml:space="preserve">Speed</w:t>
            </w:r>
          </w:p>
        </w:tc>
        <w:tc>
          <w:tcPr/>
          <w:p>
            <w:pPr>
              <w:pStyle w:val="Compact"/>
              <w:jc w:val="right"/>
            </w:pPr>
            <w:r>
              <w:t xml:space="preserve">Public cost</w:t>
            </w:r>
          </w:p>
        </w:tc>
        <w:tc>
          <w:tcPr/>
          <w:p>
            <w:pPr>
              <w:pStyle w:val="Compact"/>
              <w:jc w:val="right"/>
            </w:pPr>
            <w:r>
              <w:t xml:space="preserve">Fairness</w:t>
            </w:r>
          </w:p>
        </w:tc>
        <w:tc>
          <w:tcPr/>
          <w:p>
            <w:pPr>
              <w:pStyle w:val="Compact"/>
              <w:jc w:val="right"/>
            </w:pPr>
            <w:r>
              <w:t xml:space="preserve">Equal</w:t>
            </w:r>
          </w:p>
        </w:tc>
        <w:tc>
          <w:tcPr/>
          <w:p>
            <w:pPr>
              <w:pStyle w:val="Compact"/>
              <w:jc w:val="right"/>
            </w:pPr>
            <w:r>
              <w:t xml:space="preserve">Legitimacy ×2</w:t>
            </w:r>
          </w:p>
        </w:tc>
        <w:tc>
          <w:tcPr/>
          <w:p>
            <w:pPr>
              <w:pStyle w:val="Compact"/>
              <w:jc w:val="right"/>
            </w:pPr>
            <w:r>
              <w:t xml:space="preserve">Speed ×2</w:t>
            </w:r>
          </w:p>
        </w:tc>
        <w:tc>
          <w:tcPr/>
          <w:p>
            <w:pPr>
              <w:pStyle w:val="Compact"/>
              <w:jc w:val="right"/>
            </w:pPr>
            <w:r>
              <w:t xml:space="preserve">Fairness ×2</w:t>
            </w:r>
          </w:p>
        </w:tc>
        <w:tc>
          <w:tcPr/>
          <w:p>
            <w:pPr>
              <w:pStyle w:val="Compact"/>
              <w:jc w:val="right"/>
            </w:pPr>
            <w:r>
              <w:t xml:space="preserve">Public cost ×2</w:t>
            </w:r>
          </w:p>
        </w:tc>
      </w:tr>
      <w:tr>
        <w:tc>
          <w:tcPr/>
          <w:p>
            <w:pPr>
              <w:pStyle w:val="Compact"/>
              <w:jc w:val="left"/>
            </w:pPr>
            <w:r>
              <w:t xml:space="preserve">R1. Commonwealth-led siting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7</w:t>
            </w:r>
          </w:p>
        </w:tc>
        <w:tc>
          <w:tcPr/>
          <w:p>
            <w:pPr>
              <w:pStyle w:val="Compact"/>
              <w:jc w:val="right"/>
            </w:pPr>
            <w:r>
              <w:t xml:space="preserve">8</w:t>
            </w:r>
          </w:p>
        </w:tc>
        <w:tc>
          <w:tcPr/>
          <w:p>
            <w:pPr>
              <w:pStyle w:val="Compact"/>
              <w:jc w:val="right"/>
            </w:pPr>
            <w:r>
              <w:t xml:space="preserve">9</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R2. Volunteer host plus willingness test (NWMO model)</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13</w:t>
            </w:r>
          </w:p>
        </w:tc>
        <w:tc>
          <w:tcPr/>
          <w:p>
            <w:pPr>
              <w:pStyle w:val="Compact"/>
              <w:jc w:val="right"/>
            </w:pPr>
            <w:r>
              <w:t xml:space="preserve">13</w:t>
            </w:r>
          </w:p>
        </w:tc>
      </w:tr>
      <w:tr>
        <w:tc>
          <w:tcPr/>
          <w:p>
            <w:pPr>
              <w:pStyle w:val="Compact"/>
              <w:jc w:val="left"/>
            </w:pPr>
            <w:r>
              <w:t xml:space="preserve">R3. R2 plus First Nations equity and loan guarantee</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14</w:t>
            </w:r>
          </w:p>
        </w:tc>
        <w:tc>
          <w:tcPr/>
          <w:p>
            <w:pPr>
              <w:pStyle w:val="Compact"/>
              <w:jc w:val="right"/>
            </w:pPr>
            <w:r>
              <w:t xml:space="preserve">12</w:t>
            </w:r>
          </w:p>
        </w:tc>
      </w:tr>
      <w:tr>
        <w:tc>
          <w:tcPr/>
          <w:p>
            <w:pPr>
              <w:pStyle w:val="Compact"/>
              <w:jc w:val="left"/>
            </w:pPr>
            <w:r>
              <w:t xml:space="preserve">R4. No SMR: firmed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16</w:t>
            </w:r>
          </w:p>
        </w:tc>
        <w:tc>
          <w:tcPr/>
          <w:p>
            <w:pPr>
              <w:pStyle w:val="Compact"/>
              <w:jc w:val="right"/>
            </w:pPr>
            <w:r>
              <w:t xml:space="preserve">17</w:t>
            </w:r>
          </w:p>
        </w:tc>
      </w:tr>
    </w:tbl>
    <w:p>
      <w:pPr>
        <w:pStyle w:val="BodyText"/>
      </w:pPr>
      <w:r>
        <w:t xml:space="preserve">Reading: R1 beats R3 only on speed (2 against 1) and public cost (2 against 1), and R2 only on speed (2 against 1). Even so, R2 and R3 lead R1 by 3 to 6 points under every weighting. R3 wins outright only when fairness is doubled.</w:t>
      </w:r>
    </w:p>
    <w:bookmarkEnd w:id="99"/>
    <w:bookmarkStart w:id="100" w:name="Xded74f51e22084ad8258d479d7dd60f4095d07a"/>
    <w:p>
      <w:pPr>
        <w:pStyle w:val="Heading4"/>
      </w:pPr>
      <w:r>
        <w:t xml:space="preserve">B8.4 Who finances the Darlington New Nuclear Project (Table T14)</w:t>
      </w:r>
    </w:p>
    <w:p>
      <w:pPr>
        <w:pStyle w:val="FirstParagraph"/>
      </w:pPr>
      <w:r>
        <w:rPr>
          <w:iCs/>
          <w:i/>
        </w:rPr>
        <w:t xml:space="preserve">Table B40. Shares of the C$20.9 bn budget.</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§4, from Government of Ontario (2025), Canada Growth Fund and Building Ontario Fund (2025), Canada Infrastructure Bank (2022), Williams Treaties First Nations et al. (2026) [TO VERIFY].</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Financier</w:t>
            </w:r>
          </w:p>
        </w:tc>
        <w:tc>
          <w:tcPr/>
          <w:p>
            <w:pPr>
              <w:pStyle w:val="Compact"/>
              <w:jc w:val="right"/>
            </w:pPr>
            <w:r>
              <w:t xml:space="preserve">C$ bn</w:t>
            </w:r>
          </w:p>
        </w:tc>
        <w:tc>
          <w:tcPr/>
          <w:p>
            <w:pPr>
              <w:pStyle w:val="Compact"/>
              <w:jc w:val="right"/>
            </w:pPr>
            <w:r>
              <w:t xml:space="preserve">Share of C$20.9 bn</w:t>
            </w:r>
          </w:p>
        </w:tc>
      </w:tr>
      <w:tr>
        <w:tc>
          <w:tcPr/>
          <w:p>
            <w:pPr>
              <w:pStyle w:val="Compact"/>
              <w:jc w:val="left"/>
            </w:pPr>
            <w:r>
              <w:t xml:space="preserve">Canada Growth Fund equity (federal)</w:t>
            </w:r>
          </w:p>
        </w:tc>
        <w:tc>
          <w:tcPr/>
          <w:p>
            <w:pPr>
              <w:pStyle w:val="Compact"/>
              <w:jc w:val="right"/>
            </w:pPr>
            <w:r>
              <w:t xml:space="preserve">2.00</w:t>
            </w:r>
          </w:p>
        </w:tc>
        <w:tc>
          <w:tcPr/>
          <w:p>
            <w:pPr>
              <w:pStyle w:val="Compact"/>
              <w:jc w:val="right"/>
            </w:pPr>
            <w:r>
              <w:t xml:space="preserve">9.6%</w:t>
            </w:r>
          </w:p>
        </w:tc>
      </w:tr>
      <w:tr>
        <w:tc>
          <w:tcPr/>
          <w:p>
            <w:pPr>
              <w:pStyle w:val="Compact"/>
              <w:jc w:val="left"/>
            </w:pPr>
            <w:r>
              <w:t xml:space="preserve">Building Ontario Fund equity (Ontario)</w:t>
            </w:r>
          </w:p>
        </w:tc>
        <w:tc>
          <w:tcPr/>
          <w:p>
            <w:pPr>
              <w:pStyle w:val="Compact"/>
              <w:jc w:val="right"/>
            </w:pPr>
            <w:r>
              <w:t xml:space="preserve">1.00</w:t>
            </w:r>
          </w:p>
        </w:tc>
        <w:tc>
          <w:tcPr/>
          <w:p>
            <w:pPr>
              <w:pStyle w:val="Compact"/>
              <w:jc w:val="right"/>
            </w:pPr>
            <w:r>
              <w:t xml:space="preserve">4.8%</w:t>
            </w:r>
          </w:p>
        </w:tc>
      </w:tr>
      <w:tr>
        <w:tc>
          <w:tcPr/>
          <w:p>
            <w:pPr>
              <w:pStyle w:val="Compact"/>
              <w:jc w:val="left"/>
            </w:pPr>
            <w:r>
              <w:t xml:space="preserve">Canada Infrastructure Bank loan, phase 1 (federal)</w:t>
            </w:r>
          </w:p>
        </w:tc>
        <w:tc>
          <w:tcPr/>
          <w:p>
            <w:pPr>
              <w:pStyle w:val="Compact"/>
              <w:jc w:val="right"/>
            </w:pPr>
            <w:r>
              <w:t xml:space="preserve">0.97</w:t>
            </w:r>
          </w:p>
        </w:tc>
        <w:tc>
          <w:tcPr/>
          <w:p>
            <w:pPr>
              <w:pStyle w:val="Compact"/>
              <w:jc w:val="right"/>
            </w:pPr>
            <w:r>
              <w:t xml:space="preserve">4.6%</w:t>
            </w:r>
          </w:p>
        </w:tc>
      </w:tr>
      <w:tr>
        <w:tc>
          <w:tcPr/>
          <w:p>
            <w:pPr>
              <w:pStyle w:val="Compact"/>
              <w:jc w:val="left"/>
            </w:pPr>
            <w:r>
              <w:t xml:space="preserve">Williams Treaties First Nations loan converting to equity</w:t>
            </w:r>
          </w:p>
        </w:tc>
        <w:tc>
          <w:tcPr/>
          <w:p>
            <w:pPr>
              <w:pStyle w:val="Compact"/>
              <w:jc w:val="right"/>
            </w:pPr>
            <w:r>
              <w:t xml:space="preserve">0.70</w:t>
            </w:r>
          </w:p>
        </w:tc>
        <w:tc>
          <w:tcPr/>
          <w:p>
            <w:pPr>
              <w:pStyle w:val="Compact"/>
              <w:jc w:val="right"/>
            </w:pPr>
            <w:r>
              <w:t xml:space="preserve">3.3%</w:t>
            </w:r>
          </w:p>
        </w:tc>
      </w:tr>
      <w:tr>
        <w:tc>
          <w:tcPr/>
          <w:p>
            <w:pPr>
              <w:pStyle w:val="Compact"/>
              <w:jc w:val="left"/>
            </w:pPr>
            <w:r>
              <w:rPr>
                <w:bCs/>
                <w:b/>
              </w:rPr>
              <w:t xml:space="preserve">Remainder: OPG’s balance sheet, recovered through Ontario Energy Board rates</w:t>
            </w:r>
          </w:p>
        </w:tc>
        <w:tc>
          <w:tcPr/>
          <w:p>
            <w:pPr>
              <w:pStyle w:val="Compact"/>
              <w:jc w:val="right"/>
            </w:pPr>
            <w:r>
              <w:rPr>
                <w:bCs/>
                <w:b/>
              </w:rPr>
              <w:t xml:space="preserve">16.23</w:t>
            </w:r>
          </w:p>
        </w:tc>
        <w:tc>
          <w:tcPr/>
          <w:p>
            <w:pPr>
              <w:pStyle w:val="Compact"/>
              <w:jc w:val="right"/>
            </w:pPr>
            <w:r>
              <w:rPr>
                <w:bCs/>
                <w:b/>
              </w:rPr>
              <w:t xml:space="preserve">77.7%</w:t>
            </w:r>
          </w:p>
        </w:tc>
      </w:tr>
    </w:tbl>
    <w:p>
      <w:pPr>
        <w:pStyle w:val="BodyText"/>
      </w:pPr>
      <w:r>
        <w:t xml:space="preserve">The 78% is a subtraction (20.9 − 2.00 − 1.00 − 0.97 − 0.70 = 16.23), not a reported figure. Debt (CIB, WTFN) and equity (CGF, BOF) are added only to show scale; the CGF and BOF stakes of up to 15% and 7.5% are shares of the project partnership’s equity, not of the budget. Budget per MW: C$20.9 bn / 1,200 MWe = C$17.4 m.</w:t>
      </w:r>
    </w:p>
    <w:p>
      <w:pPr>
        <w:pStyle w:val="BodyText"/>
      </w:pPr>
      <w:r>
        <w:rPr>
          <w:bCs/>
          <w:b/>
        </w:rPr>
        <w:t xml:space="preserve">Limits.</w:t>
      </w:r>
      <w:r>
        <w:t xml:space="preserve"> </w:t>
      </w:r>
      <w:r>
        <w:t xml:space="preserve">All scores are judgements from secondary summaries. Local min–max scaling and the MCDA use of these scores are in B7. Job and waste figures in T12 (CBoC, NWMO) are taken from the briefs and are not recomputed here, except the Ignace hosting payment (C$170 m over 81 years, about C$2.1 m a year; the C$170 m in total is 0.65% of the C$26 bn lifecycle cost, nominal against 2020 dollars).</w:t>
      </w:r>
    </w:p>
    <w:p>
      <w:r>
        <w:pict>
          <v:rect style="width:0;height:1.5pt" o:hralign="center" o:hrstd="t" o:hr="t"/>
        </w:pict>
      </w:r>
    </w:p>
    <w:bookmarkEnd w:id="100"/>
    <w:bookmarkEnd w:id="101"/>
    <w:bookmarkEnd w:id="102"/>
    <w:bookmarkStart w:id="109" w:name="X2538f2b2fc20c8063ffc88885f2cb513202a3b3"/>
    <w:p>
      <w:pPr>
        <w:pStyle w:val="Heading2"/>
      </w:pPr>
      <w:r>
        <w:t xml:space="preserve">Appendix C. Sensitivity: tornado and Monte Carlo set-up and results</w:t>
      </w:r>
    </w:p>
    <w:p>
      <w:pPr>
        <w:pStyle w:val="FirstParagraph"/>
      </w:pPr>
      <w:r>
        <w:t xml:space="preserve">This appendix shows how uncertain the §6 results are and which inputs drive them.</w:t>
      </w:r>
      <w:r>
        <w:t xml:space="preserve"> </w:t>
      </w:r>
      <w:r>
        <w:rPr>
          <w:bCs/>
          <w:b/>
        </w:rPr>
        <w:t xml:space="preserve">The life-cycle intensity is uncertain mainly through the fuel inputs (conversion heat, mining, back end, burnup, enrichment); the LC3 saving is uncertain mainly through the LC3 emission cut, the DPSC geometry and the infill mix.</w:t>
      </w:r>
      <w:r>
        <w:t xml:space="preserve"> </w:t>
      </w:r>
      <w:r>
        <w:t xml:space="preserve">All ranges come from</w:t>
      </w:r>
      <w:r>
        <w:t xml:space="preserve"> </w:t>
      </w:r>
      <w:r>
        <w:rPr>
          <w:rStyle w:val="VerbatimChar"/>
        </w:rPr>
        <w:t xml:space="preserve">parameters_lca.yaml</w:t>
      </w:r>
      <w:r>
        <w:t xml:space="preserve">; every input is [TO VERIFY], an assumption or a placeholder, so the intervals describe the uncertainty in our</w:t>
      </w:r>
      <w:r>
        <w:t xml:space="preserve"> </w:t>
      </w:r>
      <w:r>
        <w:rPr>
          <w:iCs/>
          <w:i/>
        </w:rPr>
        <w:t xml:space="preserve">inputs as found</w:t>
      </w:r>
      <w:r>
        <w:t xml:space="preserve">, not in verified data.</w:t>
      </w:r>
    </w:p>
    <w:bookmarkStart w:id="103" w:name="c1.-set-up"/>
    <w:p>
      <w:pPr>
        <w:pStyle w:val="Heading3"/>
      </w:pPr>
      <w:r>
        <w:t xml:space="preserve">C1. Set-up</w:t>
      </w:r>
    </w:p>
    <w:p>
      <w:pPr>
        <w:numPr>
          <w:ilvl w:val="0"/>
          <w:numId w:val="1015"/>
        </w:numPr>
        <w:pStyle w:val="Compact"/>
      </w:pPr>
      <w:r>
        <w:rPr>
          <w:bCs/>
          <w:b/>
        </w:rPr>
        <w:t xml:space="preserve">Tornado (one at a time).</w:t>
      </w:r>
      <w:r>
        <w:t xml:space="preserve"> </w:t>
      </w:r>
      <w:r>
        <w:t xml:space="preserve">Each of the 40 ranged inputs is set to its low and then its high value, with every other input at its central value. Outputs: life-cycle g CO₂e/kWh and the LC3 saving (t CO₂e per unit). Inputs are ranked by the swing in life-cycle intensity.</w:t>
      </w:r>
    </w:p>
    <w:p>
      <w:pPr>
        <w:numPr>
          <w:ilvl w:val="0"/>
          <w:numId w:val="1015"/>
        </w:numPr>
        <w:pStyle w:val="Compact"/>
      </w:pPr>
      <w:r>
        <w:rPr>
          <w:bCs/>
          <w:b/>
        </w:rPr>
        <w:t xml:space="preserve">Monte Carlo.</w:t>
      </w:r>
      <w:r>
        <w:t xml:space="preserve"> </w:t>
      </w:r>
      <w:r>
        <w:t xml:space="preserve">N = 20,000 draws; seed 20261021; generator</w:t>
      </w:r>
      <w:r>
        <w:t xml:space="preserve"> </w:t>
      </w:r>
      <w:r>
        <w:rPr>
          <w:rStyle w:val="VerbatimChar"/>
        </w:rPr>
        <w:t xml:space="preserve">numpy.random.default_rng</w:t>
      </w:r>
      <w:r>
        <w:t xml:space="preserve">. All 40 inputs are drawn</w:t>
      </w:r>
      <w:r>
        <w:t xml:space="preserve"> </w:t>
      </w:r>
      <w:r>
        <w:rPr>
          <w:bCs/>
          <w:b/>
        </w:rPr>
        <w:t xml:space="preserve">independently</w:t>
      </w:r>
      <w:r>
        <w:t xml:space="preserve">: triangular (low, central, high) for 39 of them, and uniform 300–315 MWe for net output (the two values in the sources). Fixed parameters (thermal power, feed assay, U₃O₈ stoichiometry, the gas heat factor, the forebay rebar, the basemat steel and the module diameter) are not drawn.</w:t>
      </w:r>
    </w:p>
    <w:p>
      <w:pPr>
        <w:numPr>
          <w:ilvl w:val="0"/>
          <w:numId w:val="1015"/>
        </w:numPr>
        <w:pStyle w:val="Compact"/>
      </w:pPr>
      <w:r>
        <w:rPr>
          <w:bCs/>
          <w:b/>
        </w:rPr>
        <w:t xml:space="preserve">Outputs.</w:t>
      </w:r>
      <w:r>
        <w:t xml:space="preserve"> </w:t>
      </w:r>
      <w:r>
        <w:t xml:space="preserve">5th, 50th and 95th percentiles and the mean. Stage means are additive, so they sum to the expected total.</w:t>
      </w:r>
    </w:p>
    <w:p>
      <w:pPr>
        <w:numPr>
          <w:ilvl w:val="0"/>
          <w:numId w:val="1015"/>
        </w:numPr>
        <w:pStyle w:val="Compact"/>
      </w:pPr>
      <w:r>
        <w:rPr>
          <w:bCs/>
          <w:b/>
        </w:rPr>
        <w:t xml:space="preserve">Rule for small plants.</w:t>
      </w:r>
      <w:r>
        <w:t xml:space="preserve"> </w:t>
      </w:r>
      <w:r>
        <w:t xml:space="preserve">If a draw’s scaled whole-plant concrete is below the C1 target volume, the plant volume is set equal to the target. This happened in 706 of 20,000 draws (3.5%).</w:t>
      </w:r>
    </w:p>
    <w:p>
      <w:pPr>
        <w:numPr>
          <w:ilvl w:val="0"/>
          <w:numId w:val="1015"/>
        </w:numPr>
        <w:pStyle w:val="Compact"/>
      </w:pPr>
      <w:r>
        <w:rPr>
          <w:bCs/>
          <w:b/>
        </w:rPr>
        <w:t xml:space="preserve">Mode case vs expected value.</w:t>
      </w:r>
      <w:r>
        <w:t xml:space="preserve"> </w:t>
      </w:r>
      <w:r>
        <w:t xml:space="preserve">The</w:t>
      </w:r>
      <w:r>
        <w:t xml:space="preserve"> </w:t>
      </w:r>
      <w:r>
        <w:t xml:space="preserve">“</w:t>
      </w:r>
      <w:r>
        <w:t xml:space="preserve">mode case</w:t>
      </w:r>
      <w:r>
        <w:t xml:space="preserve">”</w:t>
      </w:r>
      <w:r>
        <w:t xml:space="preserve"> </w:t>
      </w:r>
      <w:r>
        <w:t xml:space="preserve">(2.70 g/kWh) has every input at its central, most likely value. The expected value (Monte Carlo mean, 4.28) and median (4.18) include the skew of the ranges (C5).</w:t>
      </w:r>
    </w:p>
    <w:p>
      <w:pPr>
        <w:numPr>
          <w:ilvl w:val="0"/>
          <w:numId w:val="1015"/>
        </w:numPr>
        <w:pStyle w:val="Compact"/>
      </w:pPr>
      <w:r>
        <w:rPr>
          <w:bCs/>
          <w:b/>
        </w:rPr>
        <w:t xml:space="preserve">Reproduce:</w:t>
      </w:r>
      <w:r>
        <w:t xml:space="preserve"> </w:t>
      </w:r>
      <w:r>
        <w:rPr>
          <w:rStyle w:val="VerbatimChar"/>
        </w:rPr>
        <w:t xml:space="preserve">python3 -I 03_LCA_Calculations/scripts/lca_uncertainty.py</w:t>
      </w:r>
      <w:r>
        <w:t xml:space="preserve"> </w:t>
      </w:r>
      <w:r>
        <w:t xml:space="preserve">(writes</w:t>
      </w:r>
      <w:r>
        <w:t xml:space="preserve"> </w:t>
      </w:r>
      <w:r>
        <w:rPr>
          <w:rStyle w:val="VerbatimChar"/>
        </w:rPr>
        <w:t xml:space="preserve">results/lca_uncertainty.md</w:t>
      </w:r>
      <w:r>
        <w:t xml:space="preserve">,</w:t>
      </w:r>
      <w:r>
        <w:t xml:space="preserve"> </w:t>
      </w:r>
      <w:r>
        <w:rPr>
          <w:rStyle w:val="VerbatimChar"/>
        </w:rPr>
        <w:t xml:space="preserve">lca_tornado.csv</w:t>
      </w:r>
      <w:r>
        <w:t xml:space="preserve">,</w:t>
      </w:r>
      <w:r>
        <w:t xml:space="preserve"> </w:t>
      </w:r>
      <w:r>
        <w:rPr>
          <w:rStyle w:val="VerbatimChar"/>
        </w:rPr>
        <w:t xml:space="preserve">lca_montecarlo_summary.csv</w:t>
      </w:r>
      <w:r>
        <w:t xml:space="preserve">,</w:t>
      </w:r>
      <w:r>
        <w:t xml:space="preserve"> </w:t>
      </w:r>
      <w:r>
        <w:rPr>
          <w:rStyle w:val="VerbatimChar"/>
        </w:rPr>
        <w:t xml:space="preserve">lca_stages_expected.csv</w:t>
      </w:r>
      <w:r>
        <w:t xml:space="preserve"> </w:t>
      </w:r>
      <w:r>
        <w:t xml:space="preserve">and Figures F2–F5).</w:t>
      </w:r>
    </w:p>
    <w:bookmarkEnd w:id="103"/>
    <w:bookmarkStart w:id="104" w:name="c2.-ranged-inputs-and-tornado-results"/>
    <w:p>
      <w:pPr>
        <w:pStyle w:val="Heading3"/>
      </w:pPr>
      <w:r>
        <w:t xml:space="preserve">C2. Ranged inputs and tornado results</w:t>
      </w:r>
    </w:p>
    <w:p>
      <w:pPr>
        <w:pStyle w:val="FirstParagraph"/>
      </w:pPr>
      <w:r>
        <w:rPr>
          <w:bCs/>
          <w:b/>
        </w:rPr>
        <w:t xml:space="preserve">Result.</w:t>
      </w:r>
      <w:r>
        <w:t xml:space="preserve"> </w:t>
      </w:r>
      <w:r>
        <w:t xml:space="preserve">Five fuel-cycle inputs each move the life-cycle total by more than 0.6 g/kWh. No concrete input moves it by more than 0.07 g/kWh; steel intensity moves it by 0.17.</w:t>
      </w:r>
    </w:p>
    <w:p>
      <w:pPr>
        <w:pStyle w:val="BodyText"/>
      </w:pPr>
      <w:r>
        <w:rPr>
          <w:iCs/>
          <w:i/>
        </w:rPr>
        <w:t xml:space="preserve">Table C1. The 40 ranged inputs, their sources, and the tornado results (ranked by swing in life-cycle intensity).</w:t>
      </w:r>
      <w:r>
        <w:t xml:space="preserve"> </w:t>
      </w:r>
      <w:r>
        <w:rPr>
          <w:iCs/>
          <w:i/>
        </w:rPr>
        <w:t xml:space="preserve">Source:</w:t>
      </w:r>
      <w:r>
        <w:rPr>
          <w:iCs/>
          <w:i/>
        </w:rPr>
        <w:t xml:space="preserve"> </w:t>
      </w:r>
      <w:r>
        <w:rPr>
          <w:rStyle w:val="VerbatimChar"/>
          <w:iCs/>
          <w:i/>
        </w:rPr>
        <w:t xml:space="preserve">parameters_lca.yaml</w:t>
      </w:r>
      <w:r>
        <w:rPr>
          <w:iCs/>
          <w:i/>
        </w:rPr>
        <w:t xml:space="preserve">;</w:t>
      </w:r>
      <w:r>
        <w:rPr>
          <w:iCs/>
          <w:i/>
        </w:rPr>
        <w:t xml:space="preserve"> </w:t>
      </w:r>
      <w:r>
        <w:rPr>
          <w:rStyle w:val="VerbatimChar"/>
          <w:iCs/>
          <w:i/>
        </w:rPr>
        <w:t xml:space="preserve">results/lca_uncertainty.md</w:t>
      </w:r>
      <w:r>
        <w:rPr>
          <w:iCs/>
          <w:i/>
        </w:rPr>
        <w:t xml:space="preserve">. Status: V = TO VERIFY (search lead), A = assumption, P = placeholder for Leroy’s plant data. Distribution triangular unless stated.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 no effect on the LC3 saving (1,734 t). Low / central / high are model input bounds, not result intervals (results are in Table C2).</w:t>
      </w:r>
    </w:p>
    <w:tbl>
      <w:tblPr>
        <w:tblStyle w:val="Table"/>
        <w:tblW w:type="pct" w:w="5000"/>
        <w:tblLook w:firstRow="1" w:lastRow="0" w:firstColumn="0" w:lastColumn="0" w:noHBand="0" w:noVBand="0" w:val="0020"/>
        <w:jc w:val="start"/>
      </w:tblPr>
      <w:tblGrid>
        <w:gridCol w:w="1440"/>
        <w:gridCol w:w="1080"/>
        <w:gridCol w:w="1080"/>
        <w:gridCol w:w="1080"/>
        <w:gridCol w:w="1080"/>
        <w:gridCol w:w="1080"/>
        <w:gridCol w:w="1080"/>
      </w:tblGrid>
      <w:tr>
        <w:trPr>
          <w:tblHeader w:val="true"/>
        </w:trPr>
        <w:tc>
          <w:tcPr/>
          <w:p>
            <w:pPr>
              <w:pStyle w:val="Compact"/>
              <w:jc w:val="right"/>
            </w:pPr>
            <w:r>
              <w:t xml:space="preserve">#</w:t>
            </w:r>
          </w:p>
        </w:tc>
        <w:tc>
          <w:tcPr/>
          <w:p>
            <w:pPr>
              <w:pStyle w:val="Compact"/>
              <w:jc w:val="left"/>
            </w:pPr>
            <w:r>
              <w:t xml:space="preserve">Input (unit)</w:t>
            </w:r>
          </w:p>
        </w:tc>
        <w:tc>
          <w:tcPr/>
          <w:p>
            <w:pPr>
              <w:pStyle w:val="Compact"/>
              <w:jc w:val="left"/>
            </w:pPr>
            <w:r>
              <w:t xml:space="preserve">Low / central / high</w:t>
            </w:r>
          </w:p>
        </w:tc>
        <w:tc>
          <w:tcPr/>
          <w:p>
            <w:pPr>
              <w:pStyle w:val="Compact"/>
              <w:jc w:val="left"/>
            </w:pPr>
            <w:r>
              <w:t xml:space="preserve">Source</w:t>
            </w:r>
          </w:p>
        </w:tc>
        <w:tc>
          <w:tcPr/>
          <w:p>
            <w:pPr>
              <w:pStyle w:val="Compact"/>
              <w:jc w:val="left"/>
            </w:pPr>
            <w:r>
              <w:t xml:space="preserve">Status</w:t>
            </w:r>
          </w:p>
        </w:tc>
        <w:tc>
          <w:tcPr/>
          <w:p>
            <w:pPr>
              <w:pStyle w:val="Compact"/>
              <w:jc w:val="left"/>
            </w:pPr>
            <w:r>
              <w:t xml:space="preserve">Life-cycle g/kWh at low → high (swing)</w:t>
            </w:r>
          </w:p>
        </w:tc>
        <w:tc>
          <w:tcPr/>
          <w:p>
            <w:pPr>
              <w:pStyle w:val="Compact"/>
              <w:jc w:val="left"/>
            </w:pPr>
            <w:r>
              <w:t xml:space="preserve">LC3 saving t at low → high</w:t>
            </w:r>
          </w:p>
        </w:tc>
      </w:tr>
      <w:tr>
        <w:tc>
          <w:tcPr/>
          <w:p>
            <w:pPr>
              <w:pStyle w:val="Compact"/>
              <w:jc w:val="right"/>
            </w:pPr>
            <w:r>
              <w:t xml:space="preserve">1</w:t>
            </w:r>
          </w:p>
        </w:tc>
        <w:tc>
          <w:tcPr/>
          <w:p>
            <w:pPr>
              <w:pStyle w:val="Compact"/>
              <w:jc w:val="left"/>
            </w:pPr>
            <w:r>
              <w:t xml:space="preserve">Conversion heat (kWh/kg U)</w:t>
            </w:r>
          </w:p>
        </w:tc>
        <w:tc>
          <w:tcPr/>
          <w:p>
            <w:pPr>
              <w:pStyle w:val="Compact"/>
              <w:jc w:val="left"/>
            </w:pPr>
            <w:r>
              <w:t xml:space="preserve">26 / 26 / 665</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2.701 → 5.370 (2.669)</w:t>
            </w:r>
          </w:p>
        </w:tc>
        <w:tc>
          <w:tcPr/>
          <w:p>
            <w:pPr>
              <w:pStyle w:val="Compact"/>
              <w:jc w:val="left"/>
            </w:pPr>
            <w:r>
              <w:t xml:space="preserve">—</w:t>
            </w:r>
          </w:p>
        </w:tc>
      </w:tr>
      <w:tr>
        <w:tc>
          <w:tcPr/>
          <w:p>
            <w:pPr>
              <w:pStyle w:val="Compact"/>
              <w:jc w:val="right"/>
            </w:pPr>
            <w:r>
              <w:t xml:space="preserve">2</w:t>
            </w:r>
          </w:p>
        </w:tc>
        <w:tc>
          <w:tcPr/>
          <w:p>
            <w:pPr>
              <w:pStyle w:val="Compact"/>
              <w:jc w:val="left"/>
            </w:pPr>
            <w:r>
              <w:t xml:space="preserve">Mining and milling (kg CO₂e/kg U₃O₈)</w:t>
            </w:r>
          </w:p>
        </w:tc>
        <w:tc>
          <w:tcPr/>
          <w:p>
            <w:pPr>
              <w:pStyle w:val="Compact"/>
              <w:jc w:val="left"/>
            </w:pPr>
            <w:r>
              <w:t xml:space="preserve">24 / 42 / 81</w:t>
            </w:r>
          </w:p>
        </w:tc>
        <w:tc>
          <w:tcPr/>
          <w:p>
            <w:pPr>
              <w:pStyle w:val="Compact"/>
              <w:jc w:val="left"/>
            </w:pPr>
            <w:r>
              <w:t xml:space="preserve">Parker, McNaughton and Sparrow (2016)</w:t>
            </w:r>
          </w:p>
        </w:tc>
        <w:tc>
          <w:tcPr/>
          <w:p>
            <w:pPr>
              <w:pStyle w:val="Compact"/>
              <w:jc w:val="left"/>
            </w:pPr>
            <w:r>
              <w:t xml:space="preserve">V</w:t>
            </w:r>
          </w:p>
        </w:tc>
        <w:tc>
          <w:tcPr/>
          <w:p>
            <w:pPr>
              <w:pStyle w:val="Compact"/>
              <w:jc w:val="left"/>
            </w:pPr>
            <w:r>
              <w:t xml:space="preserve">2.262 → 3.652 (1.390)</w:t>
            </w:r>
          </w:p>
        </w:tc>
        <w:tc>
          <w:tcPr/>
          <w:p>
            <w:pPr>
              <w:pStyle w:val="Compact"/>
              <w:jc w:val="left"/>
            </w:pPr>
            <w:r>
              <w:t xml:space="preserve">—</w:t>
            </w:r>
          </w:p>
        </w:tc>
      </w:tr>
      <w:tr>
        <w:tc>
          <w:tcPr/>
          <w:p>
            <w:pPr>
              <w:pStyle w:val="Compact"/>
              <w:jc w:val="right"/>
            </w:pPr>
            <w:r>
              <w:t xml:space="preserve">3</w:t>
            </w:r>
          </w:p>
        </w:tc>
        <w:tc>
          <w:tcPr/>
          <w:p>
            <w:pPr>
              <w:pStyle w:val="Compact"/>
              <w:jc w:val="left"/>
            </w:pPr>
            <w:r>
              <w:t xml:space="preserve">Back end (g/kWh)</w:t>
            </w:r>
          </w:p>
        </w:tc>
        <w:tc>
          <w:tcPr/>
          <w:p>
            <w:pPr>
              <w:pStyle w:val="Compact"/>
              <w:jc w:val="left"/>
            </w:pPr>
            <w:r>
              <w:t xml:space="preserve">0.28 / 0.56 / 1.11</w:t>
            </w:r>
          </w:p>
        </w:tc>
        <w:tc>
          <w:tcPr/>
          <w:p>
            <w:pPr>
              <w:pStyle w:val="Compact"/>
              <w:jc w:val="left"/>
            </w:pPr>
            <w:r>
              <w:t xml:space="preserve">EDF R&amp;D (2024); range assumed</w:t>
            </w:r>
          </w:p>
        </w:tc>
        <w:tc>
          <w:tcPr/>
          <w:p>
            <w:pPr>
              <w:pStyle w:val="Compact"/>
              <w:jc w:val="left"/>
            </w:pPr>
            <w:r>
              <w:t xml:space="preserve">V</w:t>
            </w:r>
          </w:p>
        </w:tc>
        <w:tc>
          <w:tcPr/>
          <w:p>
            <w:pPr>
              <w:pStyle w:val="Compact"/>
              <w:jc w:val="left"/>
            </w:pPr>
            <w:r>
              <w:t xml:space="preserve">2.421 → 3.251 (0.830)</w:t>
            </w:r>
          </w:p>
        </w:tc>
        <w:tc>
          <w:tcPr/>
          <w:p>
            <w:pPr>
              <w:pStyle w:val="Compact"/>
              <w:jc w:val="left"/>
            </w:pPr>
            <w:r>
              <w:t xml:space="preserve">—</w:t>
            </w:r>
          </w:p>
        </w:tc>
      </w:tr>
      <w:tr>
        <w:tc>
          <w:tcPr/>
          <w:p>
            <w:pPr>
              <w:pStyle w:val="Compact"/>
              <w:jc w:val="right"/>
            </w:pPr>
            <w:r>
              <w:t xml:space="preserve">4</w:t>
            </w:r>
          </w:p>
        </w:tc>
        <w:tc>
          <w:tcPr/>
          <w:p>
            <w:pPr>
              <w:pStyle w:val="Compact"/>
              <w:jc w:val="left"/>
            </w:pPr>
            <w:r>
              <w:t xml:space="preserve">Burnup (GWd/t)</w:t>
            </w:r>
          </w:p>
        </w:tc>
        <w:tc>
          <w:tcPr/>
          <w:p>
            <w:pPr>
              <w:pStyle w:val="Compact"/>
              <w:jc w:val="left"/>
            </w:pPr>
            <w:r>
              <w:t xml:space="preserve">35 / 45 / 55</w:t>
            </w:r>
          </w:p>
        </w:tc>
        <w:tc>
          <w:tcPr/>
          <w:p>
            <w:pPr>
              <w:pStyle w:val="Compact"/>
              <w:jc w:val="left"/>
            </w:pPr>
            <w:r>
              <w:t xml:space="preserve">Assumption</w:t>
            </w:r>
          </w:p>
        </w:tc>
        <w:tc>
          <w:tcPr/>
          <w:p>
            <w:pPr>
              <w:pStyle w:val="Compact"/>
              <w:jc w:val="left"/>
            </w:pPr>
            <w:r>
              <w:t xml:space="preserve">P</w:t>
            </w:r>
          </w:p>
        </w:tc>
        <w:tc>
          <w:tcPr/>
          <w:p>
            <w:pPr>
              <w:pStyle w:val="Compact"/>
              <w:jc w:val="left"/>
            </w:pPr>
            <w:r>
              <w:t xml:space="preserve">3.117 → 2.435 (0.682)</w:t>
            </w:r>
          </w:p>
        </w:tc>
        <w:tc>
          <w:tcPr/>
          <w:p>
            <w:pPr>
              <w:pStyle w:val="Compact"/>
              <w:jc w:val="left"/>
            </w:pPr>
            <w:r>
              <w:t xml:space="preserve">—</w:t>
            </w:r>
          </w:p>
        </w:tc>
      </w:tr>
      <w:tr>
        <w:tc>
          <w:tcPr/>
          <w:p>
            <w:pPr>
              <w:pStyle w:val="Compact"/>
              <w:jc w:val="right"/>
            </w:pPr>
            <w:r>
              <w:t xml:space="preserve">5</w:t>
            </w:r>
          </w:p>
        </w:tc>
        <w:tc>
          <w:tcPr/>
          <w:p>
            <w:pPr>
              <w:pStyle w:val="Compact"/>
              <w:jc w:val="left"/>
            </w:pPr>
            <w:r>
              <w:t xml:space="preserve">Enrichment (% U-235)</w:t>
            </w:r>
          </w:p>
        </w:tc>
        <w:tc>
          <w:tcPr/>
          <w:p>
            <w:pPr>
              <w:pStyle w:val="Compact"/>
              <w:jc w:val="left"/>
            </w:pPr>
            <w:r>
              <w:t xml:space="preserve">3.4 / 3.8 / 4.95</w:t>
            </w:r>
          </w:p>
        </w:tc>
        <w:tc>
          <w:tcPr/>
          <w:p>
            <w:pPr>
              <w:pStyle w:val="Compact"/>
              <w:jc w:val="left"/>
            </w:pPr>
            <w:r>
              <w:t xml:space="preserve">[TODO: authors] (2025); low assumed</w:t>
            </w:r>
          </w:p>
        </w:tc>
        <w:tc>
          <w:tcPr/>
          <w:p>
            <w:pPr>
              <w:pStyle w:val="Compact"/>
              <w:jc w:val="left"/>
            </w:pPr>
            <w:r>
              <w:t xml:space="preserve">P</w:t>
            </w:r>
          </w:p>
        </w:tc>
        <w:tc>
          <w:tcPr/>
          <w:p>
            <w:pPr>
              <w:pStyle w:val="Compact"/>
              <w:jc w:val="left"/>
            </w:pPr>
            <w:r>
              <w:t xml:space="preserve">2.530 → 3.193 (0.663)</w:t>
            </w:r>
          </w:p>
        </w:tc>
        <w:tc>
          <w:tcPr/>
          <w:p>
            <w:pPr>
              <w:pStyle w:val="Compact"/>
              <w:jc w:val="left"/>
            </w:pPr>
            <w:r>
              <w:t xml:space="preserve">—</w:t>
            </w:r>
          </w:p>
        </w:tc>
      </w:tr>
      <w:tr>
        <w:tc>
          <w:tcPr/>
          <w:p>
            <w:pPr>
              <w:pStyle w:val="Compact"/>
              <w:jc w:val="right"/>
            </w:pPr>
            <w:r>
              <w:t xml:space="preserve">6</w:t>
            </w:r>
          </w:p>
        </w:tc>
        <w:tc>
          <w:tcPr/>
          <w:p>
            <w:pPr>
              <w:pStyle w:val="Compact"/>
              <w:jc w:val="left"/>
            </w:pPr>
            <w:r>
              <w:t xml:space="preserve">O&amp;M (g/kWh)</w:t>
            </w:r>
          </w:p>
        </w:tc>
        <w:tc>
          <w:tcPr/>
          <w:p>
            <w:pPr>
              <w:pStyle w:val="Compact"/>
              <w:jc w:val="left"/>
            </w:pPr>
            <w:r>
              <w:t xml:space="preserve">0.17 / 0.33 / 0.67</w:t>
            </w:r>
          </w:p>
        </w:tc>
        <w:tc>
          <w:tcPr/>
          <w:p>
            <w:pPr>
              <w:pStyle w:val="Compact"/>
              <w:jc w:val="left"/>
            </w:pPr>
            <w:r>
              <w:t xml:space="preserve">EDF R&amp;D (2024); range assumed</w:t>
            </w:r>
          </w:p>
        </w:tc>
        <w:tc>
          <w:tcPr/>
          <w:p>
            <w:pPr>
              <w:pStyle w:val="Compact"/>
              <w:jc w:val="left"/>
            </w:pPr>
            <w:r>
              <w:t xml:space="preserve">V</w:t>
            </w:r>
          </w:p>
        </w:tc>
        <w:tc>
          <w:tcPr/>
          <w:p>
            <w:pPr>
              <w:pStyle w:val="Compact"/>
              <w:jc w:val="left"/>
            </w:pPr>
            <w:r>
              <w:t xml:space="preserve">2.541 → 3.041 (0.500)</w:t>
            </w:r>
          </w:p>
        </w:tc>
        <w:tc>
          <w:tcPr/>
          <w:p>
            <w:pPr>
              <w:pStyle w:val="Compact"/>
              <w:jc w:val="left"/>
            </w:pPr>
            <w:r>
              <w:t xml:space="preserve">—</w:t>
            </w:r>
          </w:p>
        </w:tc>
      </w:tr>
      <w:tr>
        <w:tc>
          <w:tcPr/>
          <w:p>
            <w:pPr>
              <w:pStyle w:val="Compact"/>
              <w:jc w:val="right"/>
            </w:pPr>
            <w:r>
              <w:t xml:space="preserve">7</w:t>
            </w:r>
          </w:p>
        </w:tc>
        <w:tc>
          <w:tcPr/>
          <w:p>
            <w:pPr>
              <w:pStyle w:val="Compact"/>
              <w:jc w:val="left"/>
            </w:pPr>
            <w:r>
              <w:t xml:space="preserve">Enrichment-plant grid (kg CO₂e/kWh)</w:t>
            </w:r>
          </w:p>
        </w:tc>
        <w:tc>
          <w:tcPr/>
          <w:p>
            <w:pPr>
              <w:pStyle w:val="Compact"/>
              <w:jc w:val="left"/>
            </w:pPr>
            <w:r>
              <w:t xml:space="preserve">0.05 / 0.373 / 0.637</w:t>
            </w:r>
          </w:p>
        </w:tc>
        <w:tc>
          <w:tcPr/>
          <w:p>
            <w:pPr>
              <w:pStyle w:val="Compact"/>
              <w:jc w:val="left"/>
            </w:pPr>
            <w:r>
              <w:t xml:space="preserve">US EPA (2024), CO₂ only; low assumed</w:t>
            </w:r>
          </w:p>
        </w:tc>
        <w:tc>
          <w:tcPr/>
          <w:p>
            <w:pPr>
              <w:pStyle w:val="Compact"/>
              <w:jc w:val="left"/>
            </w:pPr>
            <w:r>
              <w:t xml:space="preserve">V</w:t>
            </w:r>
          </w:p>
        </w:tc>
        <w:tc>
          <w:tcPr/>
          <w:p>
            <w:pPr>
              <w:pStyle w:val="Compact"/>
              <w:jc w:val="left"/>
            </w:pPr>
            <w:r>
              <w:t xml:space="preserve">2.466 → 2.893 (0.427)</w:t>
            </w:r>
          </w:p>
        </w:tc>
        <w:tc>
          <w:tcPr/>
          <w:p>
            <w:pPr>
              <w:pStyle w:val="Compact"/>
              <w:jc w:val="left"/>
            </w:pPr>
            <w:r>
              <w:t xml:space="preserve">—</w:t>
            </w:r>
          </w:p>
        </w:tc>
      </w:tr>
      <w:tr>
        <w:tc>
          <w:tcPr/>
          <w:p>
            <w:pPr>
              <w:pStyle w:val="Compact"/>
              <w:jc w:val="right"/>
            </w:pPr>
            <w:r>
              <w:t xml:space="preserve">8</w:t>
            </w:r>
          </w:p>
        </w:tc>
        <w:tc>
          <w:tcPr/>
          <w:p>
            <w:pPr>
              <w:pStyle w:val="Compact"/>
              <w:jc w:val="left"/>
            </w:pPr>
            <w:r>
              <w:t xml:space="preserve">Centrifuge energy (kWh/SWU)</w:t>
            </w:r>
          </w:p>
        </w:tc>
        <w:tc>
          <w:tcPr/>
          <w:p>
            <w:pPr>
              <w:pStyle w:val="Compact"/>
              <w:jc w:val="left"/>
            </w:pPr>
            <w:r>
              <w:t xml:space="preserve">40 / 50 / 100</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2.646 → 2.972 (0.326)</w:t>
            </w:r>
          </w:p>
        </w:tc>
        <w:tc>
          <w:tcPr/>
          <w:p>
            <w:pPr>
              <w:pStyle w:val="Compact"/>
              <w:jc w:val="left"/>
            </w:pPr>
            <w:r>
              <w:t xml:space="preserve">—</w:t>
            </w:r>
          </w:p>
        </w:tc>
      </w:tr>
      <w:tr>
        <w:tc>
          <w:tcPr/>
          <w:p>
            <w:pPr>
              <w:pStyle w:val="Compact"/>
              <w:jc w:val="right"/>
            </w:pPr>
            <w:r>
              <w:t xml:space="preserve">9</w:t>
            </w:r>
          </w:p>
        </w:tc>
        <w:tc>
          <w:tcPr/>
          <w:p>
            <w:pPr>
              <w:pStyle w:val="Compact"/>
              <w:jc w:val="left"/>
            </w:pPr>
            <w:r>
              <w:t xml:space="preserve">Decommissioning (g/kWh)</w:t>
            </w:r>
          </w:p>
        </w:tc>
        <w:tc>
          <w:tcPr/>
          <w:p>
            <w:pPr>
              <w:pStyle w:val="Compact"/>
              <w:jc w:val="left"/>
            </w:pPr>
            <w:r>
              <w:t xml:space="preserve">0.06 / 0.11 / 0.33</w:t>
            </w:r>
          </w:p>
        </w:tc>
        <w:tc>
          <w:tcPr/>
          <w:p>
            <w:pPr>
              <w:pStyle w:val="Compact"/>
              <w:jc w:val="left"/>
            </w:pPr>
            <w:r>
              <w:t xml:space="preserve">EDF R&amp;D (2024); range assumed</w:t>
            </w:r>
          </w:p>
        </w:tc>
        <w:tc>
          <w:tcPr/>
          <w:p>
            <w:pPr>
              <w:pStyle w:val="Compact"/>
              <w:jc w:val="left"/>
            </w:pPr>
            <w:r>
              <w:t xml:space="preserve">V</w:t>
            </w:r>
          </w:p>
        </w:tc>
        <w:tc>
          <w:tcPr/>
          <w:p>
            <w:pPr>
              <w:pStyle w:val="Compact"/>
              <w:jc w:val="left"/>
            </w:pPr>
            <w:r>
              <w:t xml:space="preserve">2.651 → 2.921 (0.270)</w:t>
            </w:r>
          </w:p>
        </w:tc>
        <w:tc>
          <w:tcPr/>
          <w:p>
            <w:pPr>
              <w:pStyle w:val="Compact"/>
              <w:jc w:val="left"/>
            </w:pPr>
            <w:r>
              <w:t xml:space="preserve">—</w:t>
            </w:r>
          </w:p>
        </w:tc>
      </w:tr>
      <w:tr>
        <w:tc>
          <w:tcPr/>
          <w:p>
            <w:pPr>
              <w:pStyle w:val="Compact"/>
              <w:jc w:val="right"/>
            </w:pPr>
            <w:r>
              <w:t xml:space="preserve">10</w:t>
            </w:r>
          </w:p>
        </w:tc>
        <w:tc>
          <w:tcPr/>
          <w:p>
            <w:pPr>
              <w:pStyle w:val="Compact"/>
              <w:jc w:val="left"/>
            </w:pPr>
            <w:r>
              <w:t xml:space="preserve">Other construction uplift (fraction)</w:t>
            </w:r>
          </w:p>
        </w:tc>
        <w:tc>
          <w:tcPr/>
          <w:p>
            <w:pPr>
              <w:pStyle w:val="Compact"/>
              <w:jc w:val="left"/>
            </w:pPr>
            <w:r>
              <w:t xml:space="preserve">0.25 / 0.5 / 1.5</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2.660 → 2.862 (0.202)</w:t>
            </w:r>
          </w:p>
        </w:tc>
        <w:tc>
          <w:tcPr/>
          <w:p>
            <w:pPr>
              <w:pStyle w:val="Compact"/>
              <w:jc w:val="left"/>
            </w:pPr>
            <w:r>
              <w:t xml:space="preserve">—</w:t>
            </w:r>
          </w:p>
        </w:tc>
      </w:tr>
      <w:tr>
        <w:tc>
          <w:tcPr/>
          <w:p>
            <w:pPr>
              <w:pStyle w:val="Compact"/>
              <w:jc w:val="right"/>
            </w:pPr>
            <w:r>
              <w:t xml:space="preserve">11</w:t>
            </w:r>
          </w:p>
        </w:tc>
        <w:tc>
          <w:tcPr/>
          <w:p>
            <w:pPr>
              <w:pStyle w:val="Compact"/>
              <w:jc w:val="left"/>
            </w:pPr>
            <w:r>
              <w:t xml:space="preserve">Design life (years)</w:t>
            </w:r>
          </w:p>
        </w:tc>
        <w:tc>
          <w:tcPr/>
          <w:p>
            <w:pPr>
              <w:pStyle w:val="Compact"/>
              <w:jc w:val="left"/>
            </w:pPr>
            <w:r>
              <w:t xml:space="preserve">40 / 60 / 80</w:t>
            </w:r>
          </w:p>
        </w:tc>
        <w:tc>
          <w:tcPr/>
          <w:p>
            <w:pPr>
              <w:pStyle w:val="Compact"/>
              <w:jc w:val="left"/>
            </w:pPr>
            <w:r>
              <w:t xml:space="preserve">Canadian Nuclear Safety Commission (2024); bounds assumed</w:t>
            </w:r>
          </w:p>
        </w:tc>
        <w:tc>
          <w:tcPr/>
          <w:p>
            <w:pPr>
              <w:pStyle w:val="Compact"/>
              <w:jc w:val="left"/>
            </w:pPr>
            <w:r>
              <w:t xml:space="preserve">V</w:t>
            </w:r>
          </w:p>
        </w:tc>
        <w:tc>
          <w:tcPr/>
          <w:p>
            <w:pPr>
              <w:pStyle w:val="Compact"/>
              <w:jc w:val="left"/>
            </w:pPr>
            <w:r>
              <w:t xml:space="preserve">2.822 → 2.640 (0.182)</w:t>
            </w:r>
          </w:p>
        </w:tc>
        <w:tc>
          <w:tcPr/>
          <w:p>
            <w:pPr>
              <w:pStyle w:val="Compact"/>
              <w:jc w:val="left"/>
            </w:pPr>
            <w:r>
              <w:t xml:space="preserve">—</w:t>
            </w:r>
          </w:p>
        </w:tc>
      </w:tr>
      <w:tr>
        <w:tc>
          <w:tcPr/>
          <w:p>
            <w:pPr>
              <w:pStyle w:val="Compact"/>
              <w:jc w:val="right"/>
            </w:pPr>
            <w:r>
              <w:t xml:space="preserve">12</w:t>
            </w:r>
          </w:p>
        </w:tc>
        <w:tc>
          <w:tcPr/>
          <w:p>
            <w:pPr>
              <w:pStyle w:val="Compact"/>
              <w:jc w:val="left"/>
            </w:pPr>
            <w:r>
              <w:t xml:space="preserve">Steel intensity (t/MWe)</w:t>
            </w:r>
          </w:p>
        </w:tc>
        <w:tc>
          <w:tcPr/>
          <w:p>
            <w:pPr>
              <w:pStyle w:val="Compact"/>
              <w:jc w:val="left"/>
            </w:pPr>
            <w:r>
              <w:t xml:space="preserve">16.5 / 33 / 46</w:t>
            </w:r>
          </w:p>
        </w:tc>
        <w:tc>
          <w:tcPr/>
          <w:p>
            <w:pPr>
              <w:pStyle w:val="Compact"/>
              <w:jc w:val="left"/>
            </w:pPr>
            <w:r>
              <w:t xml:space="preserve">Peterson, Zhao and Petroski (2005); GE Vernova (n.d.)</w:t>
            </w:r>
          </w:p>
        </w:tc>
        <w:tc>
          <w:tcPr/>
          <w:p>
            <w:pPr>
              <w:pStyle w:val="Compact"/>
              <w:jc w:val="left"/>
            </w:pPr>
            <w:r>
              <w:t xml:space="preserve">V</w:t>
            </w:r>
          </w:p>
        </w:tc>
        <w:tc>
          <w:tcPr/>
          <w:p>
            <w:pPr>
              <w:pStyle w:val="Compact"/>
              <w:jc w:val="left"/>
            </w:pPr>
            <w:r>
              <w:t xml:space="preserve">2.607 → 2.774 (0.167)</w:t>
            </w:r>
          </w:p>
        </w:tc>
        <w:tc>
          <w:tcPr/>
          <w:p>
            <w:pPr>
              <w:pStyle w:val="Compact"/>
              <w:jc w:val="left"/>
            </w:pPr>
            <w:r>
              <w:t xml:space="preserve">—</w:t>
            </w:r>
          </w:p>
        </w:tc>
      </w:tr>
      <w:tr>
        <w:tc>
          <w:tcPr/>
          <w:p>
            <w:pPr>
              <w:pStyle w:val="Compact"/>
              <w:jc w:val="right"/>
            </w:pPr>
            <w:r>
              <w:t xml:space="preserve">13</w:t>
            </w:r>
          </w:p>
        </w:tc>
        <w:tc>
          <w:tcPr/>
          <w:p>
            <w:pPr>
              <w:pStyle w:val="Compact"/>
              <w:jc w:val="left"/>
            </w:pPr>
            <w:r>
              <w:t xml:space="preserve">Tails assay (% U-235)</w:t>
            </w:r>
          </w:p>
        </w:tc>
        <w:tc>
          <w:tcPr/>
          <w:p>
            <w:pPr>
              <w:pStyle w:val="Compact"/>
              <w:jc w:val="left"/>
            </w:pPr>
            <w:r>
              <w:t xml:space="preserve">0.20 / 0.25 / 0.30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2.636 → 2.796 (0.160)</w:t>
            </w:r>
          </w:p>
        </w:tc>
        <w:tc>
          <w:tcPr/>
          <w:p>
            <w:pPr>
              <w:pStyle w:val="Compact"/>
              <w:jc w:val="left"/>
            </w:pPr>
            <w:r>
              <w:t xml:space="preserve">—</w:t>
            </w:r>
          </w:p>
        </w:tc>
      </w:tr>
      <w:tr>
        <w:tc>
          <w:tcPr/>
          <w:p>
            <w:pPr>
              <w:pStyle w:val="Compact"/>
              <w:jc w:val="right"/>
            </w:pPr>
            <w:r>
              <w:t xml:space="preserve">14</w:t>
            </w:r>
          </w:p>
        </w:tc>
        <w:tc>
          <w:tcPr/>
          <w:p>
            <w:pPr>
              <w:pStyle w:val="Compact"/>
              <w:jc w:val="left"/>
            </w:pPr>
            <w:r>
              <w:t xml:space="preserve">Plate, structural and equipment steel (t CO₂e/t)</w:t>
            </w:r>
          </w:p>
        </w:tc>
        <w:tc>
          <w:tcPr/>
          <w:p>
            <w:pPr>
              <w:pStyle w:val="Compact"/>
              <w:jc w:val="left"/>
            </w:pPr>
            <w:r>
              <w:t xml:space="preserve">1.22 / 1.73 / 2.50</w:t>
            </w:r>
          </w:p>
        </w:tc>
        <w:tc>
          <w:tcPr/>
          <w:p>
            <w:pPr>
              <w:pStyle w:val="Compact"/>
              <w:jc w:val="left"/>
            </w:pPr>
            <w:r>
              <w:t xml:space="preserve">American Institute of Steel Construction (2022); high assumed</w:t>
            </w:r>
          </w:p>
        </w:tc>
        <w:tc>
          <w:tcPr/>
          <w:p>
            <w:pPr>
              <w:pStyle w:val="Compact"/>
              <w:jc w:val="left"/>
            </w:pPr>
            <w:r>
              <w:t xml:space="preserve">V</w:t>
            </w:r>
          </w:p>
        </w:tc>
        <w:tc>
          <w:tcPr/>
          <w:p>
            <w:pPr>
              <w:pStyle w:val="Compact"/>
              <w:jc w:val="left"/>
            </w:pPr>
            <w:r>
              <w:t xml:space="preserve">2.664 → 2.756 (0.092)</w:t>
            </w:r>
          </w:p>
        </w:tc>
        <w:tc>
          <w:tcPr/>
          <w:p>
            <w:pPr>
              <w:pStyle w:val="Compact"/>
              <w:jc w:val="left"/>
            </w:pPr>
            <w:r>
              <w:t xml:space="preserve">—</w:t>
            </w:r>
          </w:p>
        </w:tc>
      </w:tr>
      <w:tr>
        <w:tc>
          <w:tcPr/>
          <w:p>
            <w:pPr>
              <w:pStyle w:val="Compact"/>
              <w:jc w:val="right"/>
            </w:pPr>
            <w:r>
              <w:t xml:space="preserve">15</w:t>
            </w:r>
          </w:p>
        </w:tc>
        <w:tc>
          <w:tcPr/>
          <w:p>
            <w:pPr>
              <w:pStyle w:val="Compact"/>
              <w:jc w:val="left"/>
            </w:pPr>
            <w:r>
              <w:t xml:space="preserve">Conversion grid, Ontario (kg CO₂e/kWh)</w:t>
            </w:r>
          </w:p>
        </w:tc>
        <w:tc>
          <w:tcPr/>
          <w:p>
            <w:pPr>
              <w:pStyle w:val="Compact"/>
              <w:jc w:val="left"/>
            </w:pPr>
            <w:r>
              <w:t xml:space="preserve">0.035 / 0.0738 / 0.343</w:t>
            </w:r>
          </w:p>
        </w:tc>
        <w:tc>
          <w:tcPr/>
          <w:p>
            <w:pPr>
              <w:pStyle w:val="Compact"/>
              <w:jc w:val="left"/>
            </w:pPr>
            <w:r>
              <w:t xml:space="preserve">The Atmospheric Fund (2025); Canada Energy Regulator (n.d.)</w:t>
            </w:r>
          </w:p>
        </w:tc>
        <w:tc>
          <w:tcPr/>
          <w:p>
            <w:pPr>
              <w:pStyle w:val="Compact"/>
              <w:jc w:val="left"/>
            </w:pPr>
            <w:r>
              <w:t xml:space="preserve">V</w:t>
            </w:r>
          </w:p>
        </w:tc>
        <w:tc>
          <w:tcPr/>
          <w:p>
            <w:pPr>
              <w:pStyle w:val="Compact"/>
              <w:jc w:val="left"/>
            </w:pPr>
            <w:r>
              <w:t xml:space="preserve">2.691 → 2.766 (0.075)</w:t>
            </w:r>
          </w:p>
        </w:tc>
        <w:tc>
          <w:tcPr/>
          <w:p>
            <w:pPr>
              <w:pStyle w:val="Compact"/>
              <w:jc w:val="left"/>
            </w:pPr>
            <w:r>
              <w:t xml:space="preserve">—</w:t>
            </w:r>
          </w:p>
        </w:tc>
      </w:tr>
      <w:tr>
        <w:tc>
          <w:tcPr/>
          <w:p>
            <w:pPr>
              <w:pStyle w:val="Compact"/>
              <w:jc w:val="right"/>
            </w:pPr>
            <w:r>
              <w:t xml:space="preserve">16</w:t>
            </w:r>
          </w:p>
        </w:tc>
        <w:tc>
          <w:tcPr/>
          <w:p>
            <w:pPr>
              <w:pStyle w:val="Compact"/>
              <w:jc w:val="left"/>
            </w:pPr>
            <w:r>
              <w:t xml:space="preserve">Net output (MWe), uniform</w:t>
            </w:r>
          </w:p>
        </w:tc>
        <w:tc>
          <w:tcPr/>
          <w:p>
            <w:pPr>
              <w:pStyle w:val="Compact"/>
              <w:jc w:val="left"/>
            </w:pPr>
            <w:r>
              <w:t xml:space="preserve">300 / 300 / 315</w:t>
            </w:r>
          </w:p>
        </w:tc>
        <w:tc>
          <w:tcPr/>
          <w:p>
            <w:pPr>
              <w:pStyle w:val="Compact"/>
              <w:jc w:val="left"/>
            </w:pPr>
            <w:r>
              <w:t xml:space="preserve">GE Vernova Hitachi Nuclear Energy (n.d.); OPG filing</w:t>
            </w:r>
          </w:p>
        </w:tc>
        <w:tc>
          <w:tcPr/>
          <w:p>
            <w:pPr>
              <w:pStyle w:val="Compact"/>
              <w:jc w:val="left"/>
            </w:pPr>
            <w:r>
              <w:t xml:space="preserve">P</w:t>
            </w:r>
          </w:p>
        </w:tc>
        <w:tc>
          <w:tcPr/>
          <w:p>
            <w:pPr>
              <w:pStyle w:val="Compact"/>
              <w:jc w:val="left"/>
            </w:pPr>
            <w:r>
              <w:t xml:space="preserve">2.701 → 2.631 (0.070)</w:t>
            </w:r>
          </w:p>
        </w:tc>
        <w:tc>
          <w:tcPr/>
          <w:p>
            <w:pPr>
              <w:pStyle w:val="Compact"/>
              <w:jc w:val="left"/>
            </w:pPr>
            <w:r>
              <w:t xml:space="preserve">—</w:t>
            </w:r>
          </w:p>
        </w:tc>
      </w:tr>
      <w:tr>
        <w:tc>
          <w:tcPr/>
          <w:p>
            <w:pPr>
              <w:pStyle w:val="Compact"/>
              <w:jc w:val="right"/>
            </w:pPr>
            <w:r>
              <w:t xml:space="preserve">17</w:t>
            </w:r>
          </w:p>
        </w:tc>
        <w:tc>
          <w:tcPr/>
          <w:p>
            <w:pPr>
              <w:pStyle w:val="Compact"/>
              <w:jc w:val="left"/>
            </w:pPr>
            <w:r>
              <w:t xml:space="preserve">Concrete intensity (m³/MWe)</w:t>
            </w:r>
          </w:p>
        </w:tc>
        <w:tc>
          <w:tcPr/>
          <w:p>
            <w:pPr>
              <w:pStyle w:val="Compact"/>
              <w:jc w:val="left"/>
            </w:pPr>
            <w:r>
              <w:t xml:space="preserve">34.5 / 69 / 138</w:t>
            </w:r>
          </w:p>
        </w:tc>
        <w:tc>
          <w:tcPr/>
          <w:p>
            <w:pPr>
              <w:pStyle w:val="Compact"/>
              <w:jc w:val="left"/>
            </w:pPr>
            <w:r>
              <w:t xml:space="preserve">Peterson, Zhao and Petroski (2005); GE Vernova (n.d.)</w:t>
            </w:r>
          </w:p>
        </w:tc>
        <w:tc>
          <w:tcPr/>
          <w:p>
            <w:pPr>
              <w:pStyle w:val="Compact"/>
              <w:jc w:val="left"/>
            </w:pPr>
            <w:r>
              <w:t xml:space="preserve">V</w:t>
            </w:r>
          </w:p>
        </w:tc>
        <w:tc>
          <w:tcPr/>
          <w:p>
            <w:pPr>
              <w:pStyle w:val="Compact"/>
              <w:jc w:val="left"/>
            </w:pPr>
            <w:r>
              <w:t xml:space="preserve">2.683 → 2.748 (0.065)</w:t>
            </w:r>
          </w:p>
        </w:tc>
        <w:tc>
          <w:tcPr/>
          <w:p>
            <w:pPr>
              <w:pStyle w:val="Compact"/>
              <w:jc w:val="left"/>
            </w:pPr>
            <w:r>
              <w:t xml:space="preserve">—</w:t>
            </w:r>
          </w:p>
        </w:tc>
      </w:tr>
      <w:tr>
        <w:tc>
          <w:tcPr/>
          <w:p>
            <w:pPr>
              <w:pStyle w:val="Compact"/>
              <w:jc w:val="right"/>
            </w:pPr>
            <w:r>
              <w:t xml:space="preserve">18</w:t>
            </w:r>
          </w:p>
        </w:tc>
        <w:tc>
          <w:tcPr/>
          <w:p>
            <w:pPr>
              <w:pStyle w:val="Compact"/>
              <w:jc w:val="left"/>
            </w:pPr>
            <w:r>
              <w:t xml:space="preserve">Capacity factor</w:t>
            </w:r>
          </w:p>
        </w:tc>
        <w:tc>
          <w:tcPr/>
          <w:p>
            <w:pPr>
              <w:pStyle w:val="Compact"/>
              <w:jc w:val="left"/>
            </w:pPr>
            <w:r>
              <w:t xml:space="preserve">0.80 / 0.90 / 0.95</w:t>
            </w:r>
          </w:p>
        </w:tc>
        <w:tc>
          <w:tcPr/>
          <w:p>
            <w:pPr>
              <w:pStyle w:val="Compact"/>
              <w:jc w:val="left"/>
            </w:pPr>
            <w:r>
              <w:t xml:space="preserve">Assumption</w:t>
            </w:r>
          </w:p>
        </w:tc>
        <w:tc>
          <w:tcPr/>
          <w:p>
            <w:pPr>
              <w:pStyle w:val="Compact"/>
              <w:jc w:val="left"/>
            </w:pPr>
            <w:r>
              <w:t xml:space="preserve">P</w:t>
            </w:r>
          </w:p>
        </w:tc>
        <w:tc>
          <w:tcPr/>
          <w:p>
            <w:pPr>
              <w:pStyle w:val="Compact"/>
              <w:jc w:val="left"/>
            </w:pPr>
            <w:r>
              <w:t xml:space="preserve">2.731 → 2.688 (0.043)</w:t>
            </w:r>
          </w:p>
        </w:tc>
        <w:tc>
          <w:tcPr/>
          <w:p>
            <w:pPr>
              <w:pStyle w:val="Compact"/>
              <w:jc w:val="left"/>
            </w:pPr>
            <w:r>
              <w:t xml:space="preserve">—</w:t>
            </w:r>
          </w:p>
        </w:tc>
      </w:tr>
      <w:tr>
        <w:tc>
          <w:tcPr/>
          <w:p>
            <w:pPr>
              <w:pStyle w:val="Compact"/>
              <w:jc w:val="right"/>
            </w:pPr>
            <w:r>
              <w:t xml:space="preserve">19</w:t>
            </w:r>
          </w:p>
        </w:tc>
        <w:tc>
          <w:tcPr/>
          <w:p>
            <w:pPr>
              <w:pStyle w:val="Compact"/>
              <w:jc w:val="left"/>
            </w:pPr>
            <w:r>
              <w:t xml:space="preserve">Fabrication grid (kg CO₂e/kWh)</w:t>
            </w:r>
          </w:p>
        </w:tc>
        <w:tc>
          <w:tcPr/>
          <w:p>
            <w:pPr>
              <w:pStyle w:val="Compact"/>
              <w:jc w:val="left"/>
            </w:pPr>
            <w:r>
              <w:t xml:space="preserve">0.20 / 0.373 / 0.637</w:t>
            </w:r>
          </w:p>
        </w:tc>
        <w:tc>
          <w:tcPr/>
          <w:p>
            <w:pPr>
              <w:pStyle w:val="Compact"/>
              <w:jc w:val="left"/>
            </w:pPr>
            <w:r>
              <w:t xml:space="preserve">US EPA (2024), CO₂ only; low assumed</w:t>
            </w:r>
          </w:p>
        </w:tc>
        <w:tc>
          <w:tcPr/>
          <w:p>
            <w:pPr>
              <w:pStyle w:val="Compact"/>
              <w:jc w:val="left"/>
            </w:pPr>
            <w:r>
              <w:t xml:space="preserve">V</w:t>
            </w:r>
          </w:p>
        </w:tc>
        <w:tc>
          <w:tcPr/>
          <w:p>
            <w:pPr>
              <w:pStyle w:val="Compact"/>
              <w:jc w:val="left"/>
            </w:pPr>
            <w:r>
              <w:t xml:space="preserve">2.684 → 2.726 (0.042)</w:t>
            </w:r>
          </w:p>
        </w:tc>
        <w:tc>
          <w:tcPr/>
          <w:p>
            <w:pPr>
              <w:pStyle w:val="Compact"/>
              <w:jc w:val="left"/>
            </w:pPr>
            <w:r>
              <w:t xml:space="preserve">—</w:t>
            </w:r>
          </w:p>
        </w:tc>
      </w:tr>
      <w:tr>
        <w:tc>
          <w:tcPr/>
          <w:p>
            <w:pPr>
              <w:pStyle w:val="Compact"/>
              <w:jc w:val="right"/>
            </w:pPr>
            <w:r>
              <w:t xml:space="preserve">20</w:t>
            </w:r>
          </w:p>
        </w:tc>
        <w:tc>
          <w:tcPr/>
          <w:p>
            <w:pPr>
              <w:pStyle w:val="Compact"/>
              <w:jc w:val="left"/>
            </w:pPr>
            <w:r>
              <w:t xml:space="preserve">Rebar (t CO₂e/t)</w:t>
            </w:r>
          </w:p>
        </w:tc>
        <w:tc>
          <w:tcPr/>
          <w:p>
            <w:pPr>
              <w:pStyle w:val="Compact"/>
              <w:jc w:val="left"/>
            </w:pPr>
            <w:r>
              <w:t xml:space="preserve">0.89 / 0.97 / 1.99</w:t>
            </w:r>
          </w:p>
        </w:tc>
        <w:tc>
          <w:tcPr/>
          <w:p>
            <w:pPr>
              <w:pStyle w:val="Compact"/>
              <w:jc w:val="left"/>
            </w:pPr>
            <w:r>
              <w:t xml:space="preserve">Concrete Reinforcing Steel Institute (2017, superseded by 2022 EPD); American Institute of Steel Construction (2022); Circular Ecology (2019)</w:t>
            </w:r>
          </w:p>
        </w:tc>
        <w:tc>
          <w:tcPr/>
          <w:p>
            <w:pPr>
              <w:pStyle w:val="Compact"/>
              <w:jc w:val="left"/>
            </w:pPr>
            <w:r>
              <w:t xml:space="preserve">V</w:t>
            </w:r>
          </w:p>
        </w:tc>
        <w:tc>
          <w:tcPr/>
          <w:p>
            <w:pPr>
              <w:pStyle w:val="Compact"/>
              <w:jc w:val="left"/>
            </w:pPr>
            <w:r>
              <w:t xml:space="preserve">2.698 → 2.734 (0.036)</w:t>
            </w:r>
          </w:p>
        </w:tc>
        <w:tc>
          <w:tcPr/>
          <w:p>
            <w:pPr>
              <w:pStyle w:val="Compact"/>
              <w:jc w:val="left"/>
            </w:pPr>
            <w:r>
              <w:t xml:space="preserve">—</w:t>
            </w:r>
          </w:p>
        </w:tc>
      </w:tr>
      <w:tr>
        <w:tc>
          <w:tcPr/>
          <w:p>
            <w:pPr>
              <w:pStyle w:val="Compact"/>
              <w:jc w:val="right"/>
            </w:pPr>
            <w:r>
              <w:t xml:space="preserve">21</w:t>
            </w:r>
          </w:p>
        </w:tc>
        <w:tc>
          <w:tcPr/>
          <w:p>
            <w:pPr>
              <w:pStyle w:val="Compact"/>
              <w:jc w:val="left"/>
            </w:pPr>
            <w:r>
              <w:t xml:space="preserve">Rebar ratio (t/m³)</w:t>
            </w:r>
          </w:p>
        </w:tc>
        <w:tc>
          <w:tcPr/>
          <w:p>
            <w:pPr>
              <w:pStyle w:val="Compact"/>
              <w:jc w:val="left"/>
            </w:pPr>
            <w:r>
              <w:t xml:space="preserve">0.10 / 0.15 / 0.25</w:t>
            </w:r>
          </w:p>
        </w:tc>
        <w:tc>
          <w:tcPr/>
          <w:p>
            <w:pPr>
              <w:pStyle w:val="Compact"/>
              <w:jc w:val="left"/>
            </w:pPr>
            <w:r>
              <w:t xml:space="preserve">Assumption (high = forebay)</w:t>
            </w:r>
          </w:p>
        </w:tc>
        <w:tc>
          <w:tcPr/>
          <w:p>
            <w:pPr>
              <w:pStyle w:val="Compact"/>
              <w:jc w:val="left"/>
            </w:pPr>
            <w:r>
              <w:t xml:space="preserve">A</w:t>
            </w:r>
          </w:p>
        </w:tc>
        <w:tc>
          <w:tcPr/>
          <w:p>
            <w:pPr>
              <w:pStyle w:val="Compact"/>
              <w:jc w:val="left"/>
            </w:pPr>
            <w:r>
              <w:t xml:space="preserve">2.709 → 2.684 (0.025)</w:t>
            </w:r>
          </w:p>
        </w:tc>
        <w:tc>
          <w:tcPr/>
          <w:p>
            <w:pPr>
              <w:pStyle w:val="Compact"/>
              <w:jc w:val="left"/>
            </w:pPr>
            <w:r>
              <w:t xml:space="preserve">—</w:t>
            </w:r>
          </w:p>
        </w:tc>
      </w:tr>
      <w:tr>
        <w:tc>
          <w:tcPr/>
          <w:p>
            <w:pPr>
              <w:pStyle w:val="Compact"/>
              <w:jc w:val="right"/>
            </w:pPr>
            <w:r>
              <w:t xml:space="preserve">22</w:t>
            </w:r>
          </w:p>
        </w:tc>
        <w:tc>
          <w:tcPr/>
          <w:p>
            <w:pPr>
              <w:pStyle w:val="Compact"/>
              <w:jc w:val="left"/>
            </w:pPr>
            <w:r>
              <w:t xml:space="preserve">Steel transport (km)</w:t>
            </w:r>
          </w:p>
        </w:tc>
        <w:tc>
          <w:tcPr/>
          <w:p>
            <w:pPr>
              <w:pStyle w:val="Compact"/>
              <w:jc w:val="left"/>
            </w:pPr>
            <w:r>
              <w:t xml:space="preserve">100 / 500 / 1,500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2.696 → 2.711 (0.015)</w:t>
            </w:r>
          </w:p>
        </w:tc>
        <w:tc>
          <w:tcPr/>
          <w:p>
            <w:pPr>
              <w:pStyle w:val="Compact"/>
              <w:jc w:val="left"/>
            </w:pPr>
            <w:r>
              <w:t xml:space="preserve">—</w:t>
            </w:r>
          </w:p>
        </w:tc>
      </w:tr>
      <w:tr>
        <w:tc>
          <w:tcPr/>
          <w:p>
            <w:pPr>
              <w:pStyle w:val="Compact"/>
              <w:jc w:val="right"/>
            </w:pPr>
            <w:r>
              <w:t xml:space="preserve">23</w:t>
            </w:r>
          </w:p>
        </w:tc>
        <w:tc>
          <w:tcPr/>
          <w:p>
            <w:pPr>
              <w:pStyle w:val="Compact"/>
              <w:jc w:val="left"/>
            </w:pPr>
            <w:r>
              <w:t xml:space="preserve">Fabrication energy (kWh/kg U)</w:t>
            </w:r>
          </w:p>
        </w:tc>
        <w:tc>
          <w:tcPr/>
          <w:p>
            <w:pPr>
              <w:pStyle w:val="Compact"/>
              <w:jc w:val="left"/>
            </w:pPr>
            <w:r>
              <w:t xml:space="preserve">36 / 36 / 50</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2.701 → 2.715 (0.014)</w:t>
            </w:r>
          </w:p>
        </w:tc>
        <w:tc>
          <w:tcPr/>
          <w:p>
            <w:pPr>
              <w:pStyle w:val="Compact"/>
              <w:jc w:val="left"/>
            </w:pPr>
            <w:r>
              <w:t xml:space="preserve">—</w:t>
            </w:r>
          </w:p>
        </w:tc>
      </w:tr>
      <w:tr>
        <w:tc>
          <w:tcPr/>
          <w:p>
            <w:pPr>
              <w:pStyle w:val="Compact"/>
              <w:jc w:val="right"/>
            </w:pPr>
            <w:r>
              <w:t xml:space="preserve">24</w:t>
            </w:r>
          </w:p>
        </w:tc>
        <w:tc>
          <w:tcPr/>
          <w:p>
            <w:pPr>
              <w:pStyle w:val="Compact"/>
              <w:jc w:val="left"/>
            </w:pPr>
            <w:r>
              <w:t xml:space="preserve">Binder, other concrete (kg/m³)</w:t>
            </w:r>
          </w:p>
        </w:tc>
        <w:tc>
          <w:tcPr/>
          <w:p>
            <w:pPr>
              <w:pStyle w:val="Compact"/>
              <w:jc w:val="left"/>
            </w:pPr>
            <w:r>
              <w:t xml:space="preserve">300 / 350 / 420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2.695 → 2.708 (0.013)</w:t>
            </w:r>
          </w:p>
        </w:tc>
        <w:tc>
          <w:tcPr/>
          <w:p>
            <w:pPr>
              <w:pStyle w:val="Compact"/>
              <w:jc w:val="left"/>
            </w:pPr>
            <w:r>
              <w:t xml:space="preserve">1,670 → 1,822</w:t>
            </w:r>
          </w:p>
        </w:tc>
      </w:tr>
      <w:tr>
        <w:tc>
          <w:tcPr/>
          <w:p>
            <w:pPr>
              <w:pStyle w:val="Compact"/>
              <w:jc w:val="right"/>
            </w:pPr>
            <w:r>
              <w:t xml:space="preserve">25</w:t>
            </w:r>
          </w:p>
        </w:tc>
        <w:tc>
          <w:tcPr/>
          <w:p>
            <w:pPr>
              <w:pStyle w:val="Compact"/>
              <w:jc w:val="left"/>
            </w:pPr>
            <w:r>
              <w:t xml:space="preserve">Binder, DPSC infill (kg/m³)</w:t>
            </w:r>
          </w:p>
        </w:tc>
        <w:tc>
          <w:tcPr/>
          <w:p>
            <w:pPr>
              <w:pStyle w:val="Compact"/>
              <w:jc w:val="left"/>
            </w:pPr>
            <w:r>
              <w:t xml:space="preserve">400 / 450 / 550</w:t>
            </w:r>
          </w:p>
        </w:tc>
        <w:tc>
          <w:tcPr/>
          <w:p>
            <w:pPr>
              <w:pStyle w:val="Compact"/>
              <w:jc w:val="left"/>
            </w:pPr>
            <w:r>
              <w:t xml:space="preserve">EFNARC (2005); central and high assumed</w:t>
            </w:r>
          </w:p>
        </w:tc>
        <w:tc>
          <w:tcPr/>
          <w:p>
            <w:pPr>
              <w:pStyle w:val="Compact"/>
              <w:jc w:val="left"/>
            </w:pPr>
            <w:r>
              <w:t xml:space="preserve">V</w:t>
            </w:r>
          </w:p>
        </w:tc>
        <w:tc>
          <w:tcPr/>
          <w:p>
            <w:pPr>
              <w:pStyle w:val="Compact"/>
              <w:jc w:val="left"/>
            </w:pPr>
            <w:r>
              <w:t xml:space="preserve">2.697 → 2.709 (0.012)</w:t>
            </w:r>
          </w:p>
        </w:tc>
        <w:tc>
          <w:tcPr/>
          <w:p>
            <w:pPr>
              <w:pStyle w:val="Compact"/>
              <w:jc w:val="left"/>
            </w:pPr>
            <w:r>
              <w:t xml:space="preserve">1,590 → 2,021</w:t>
            </w:r>
          </w:p>
        </w:tc>
      </w:tr>
      <w:tr>
        <w:tc>
          <w:tcPr/>
          <w:p>
            <w:pPr>
              <w:pStyle w:val="Compact"/>
              <w:jc w:val="right"/>
            </w:pPr>
            <w:r>
              <w:t xml:space="preserve">26</w:t>
            </w:r>
          </w:p>
        </w:tc>
        <w:tc>
          <w:tcPr/>
          <w:p>
            <w:pPr>
              <w:pStyle w:val="Compact"/>
              <w:jc w:val="left"/>
            </w:pPr>
            <w:r>
              <w:t xml:space="preserve">Conversion electricity (kWh/kg U)</w:t>
            </w:r>
          </w:p>
        </w:tc>
        <w:tc>
          <w:tcPr/>
          <w:p>
            <w:pPr>
              <w:pStyle w:val="Compact"/>
              <w:jc w:val="left"/>
            </w:pPr>
            <w:r>
              <w:t xml:space="preserve">10.3 / 11.8 / 16.9</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2.698 → 2.708 (0.010)</w:t>
            </w:r>
          </w:p>
        </w:tc>
        <w:tc>
          <w:tcPr/>
          <w:p>
            <w:pPr>
              <w:pStyle w:val="Compact"/>
              <w:jc w:val="left"/>
            </w:pPr>
            <w:r>
              <w:t xml:space="preserve">—</w:t>
            </w:r>
          </w:p>
        </w:tc>
      </w:tr>
      <w:tr>
        <w:tc>
          <w:tcPr/>
          <w:p>
            <w:pPr>
              <w:pStyle w:val="Compact"/>
              <w:jc w:val="right"/>
            </w:pPr>
            <w:r>
              <w:t xml:space="preserve">27</w:t>
            </w:r>
          </w:p>
        </w:tc>
        <w:tc>
          <w:tcPr/>
          <w:p>
            <w:pPr>
              <w:pStyle w:val="Compact"/>
              <w:jc w:val="left"/>
            </w:pPr>
            <w:r>
              <w:t xml:space="preserve">Non-binder concrete share (kg CO₂e/m³)</w:t>
            </w:r>
          </w:p>
        </w:tc>
        <w:tc>
          <w:tcPr/>
          <w:p>
            <w:pPr>
              <w:pStyle w:val="Compact"/>
              <w:jc w:val="left"/>
            </w:pPr>
            <w:r>
              <w:t xml:space="preserve">15 / 30 / 60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2.697 → 2.707 (0.010)</w:t>
            </w:r>
          </w:p>
        </w:tc>
        <w:tc>
          <w:tcPr/>
          <w:p>
            <w:pPr>
              <w:pStyle w:val="Compact"/>
              <w:jc w:val="left"/>
            </w:pPr>
            <w:r>
              <w:t xml:space="preserve">—</w:t>
            </w:r>
          </w:p>
        </w:tc>
      </w:tr>
      <w:tr>
        <w:tc>
          <w:tcPr/>
          <w:p>
            <w:pPr>
              <w:pStyle w:val="Compact"/>
              <w:jc w:val="right"/>
            </w:pPr>
            <w:r>
              <w:t xml:space="preserve">28</w:t>
            </w:r>
          </w:p>
        </w:tc>
        <w:tc>
          <w:tcPr/>
          <w:p>
            <w:pPr>
              <w:pStyle w:val="Compact"/>
              <w:jc w:val="left"/>
            </w:pPr>
            <w:r>
              <w:t xml:space="preserve">GU cement (kg CO₂e/t)</w:t>
            </w:r>
          </w:p>
        </w:tc>
        <w:tc>
          <w:tcPr/>
          <w:p>
            <w:pPr>
              <w:pStyle w:val="Compact"/>
              <w:jc w:val="left"/>
            </w:pPr>
            <w:r>
              <w:t xml:space="preserve">796 / 854 / 898</w:t>
            </w:r>
          </w:p>
        </w:tc>
        <w:tc>
          <w:tcPr/>
          <w:p>
            <w:pPr>
              <w:pStyle w:val="Compact"/>
              <w:jc w:val="left"/>
            </w:pPr>
            <w:r>
              <w:t xml:space="preserve">Cement Association of Canada (2022); range is the West–East regional spread</w:t>
            </w:r>
          </w:p>
        </w:tc>
        <w:tc>
          <w:tcPr/>
          <w:p>
            <w:pPr>
              <w:pStyle w:val="Compact"/>
              <w:jc w:val="left"/>
            </w:pPr>
            <w:r>
              <w:t xml:space="preserve">V</w:t>
            </w:r>
          </w:p>
        </w:tc>
        <w:tc>
          <w:tcPr/>
          <w:p>
            <w:pPr>
              <w:pStyle w:val="Compact"/>
              <w:jc w:val="left"/>
            </w:pPr>
            <w:r>
              <w:t xml:space="preserve">2.696 → 2.704 (0.009)</w:t>
            </w:r>
          </w:p>
        </w:tc>
        <w:tc>
          <w:tcPr/>
          <w:p>
            <w:pPr>
              <w:pStyle w:val="Compact"/>
              <w:jc w:val="left"/>
            </w:pPr>
            <w:r>
              <w:t xml:space="preserve">1,616 → 1,823</w:t>
            </w:r>
          </w:p>
        </w:tc>
      </w:tr>
      <w:tr>
        <w:tc>
          <w:tcPr/>
          <w:p>
            <w:pPr>
              <w:pStyle w:val="Compact"/>
              <w:jc w:val="right"/>
            </w:pPr>
            <w:r>
              <w:t xml:space="preserve">29</w:t>
            </w:r>
          </w:p>
        </w:tc>
        <w:tc>
          <w:tcPr/>
          <w:p>
            <w:pPr>
              <w:pStyle w:val="Compact"/>
              <w:jc w:val="left"/>
            </w:pPr>
            <w:r>
              <w:t xml:space="preserve">Truck factor (kg CO₂e/t-km)</w:t>
            </w:r>
          </w:p>
        </w:tc>
        <w:tc>
          <w:tcPr/>
          <w:p>
            <w:pPr>
              <w:pStyle w:val="Compact"/>
              <w:jc w:val="left"/>
            </w:pPr>
            <w:r>
              <w:t xml:space="preserve">0.06 / 0.10 / 0.15</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2.698 → 2.704 (0.005)</w:t>
            </w:r>
          </w:p>
        </w:tc>
        <w:tc>
          <w:tcPr/>
          <w:p>
            <w:pPr>
              <w:pStyle w:val="Compact"/>
              <w:jc w:val="left"/>
            </w:pPr>
            <w:r>
              <w:t xml:space="preserve">—</w:t>
            </w:r>
          </w:p>
        </w:tc>
      </w:tr>
      <w:tr>
        <w:tc>
          <w:tcPr/>
          <w:p>
            <w:pPr>
              <w:pStyle w:val="Compact"/>
              <w:jc w:val="right"/>
            </w:pPr>
            <w:r>
              <w:t xml:space="preserve">30</w:t>
            </w:r>
          </w:p>
        </w:tc>
        <w:tc>
          <w:tcPr/>
          <w:p>
            <w:pPr>
              <w:pStyle w:val="Compact"/>
              <w:jc w:val="left"/>
            </w:pPr>
            <w:r>
              <w:t xml:space="preserve">DPSC wall thickness (m)</w:t>
            </w:r>
          </w:p>
        </w:tc>
        <w:tc>
          <w:tcPr/>
          <w:p>
            <w:pPr>
              <w:pStyle w:val="Compact"/>
              <w:jc w:val="left"/>
            </w:pPr>
            <w:r>
              <w:t xml:space="preserve">1.0 / 1.5 / 2.0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2.699 → 2.702 (0.003)</w:t>
            </w:r>
          </w:p>
        </w:tc>
        <w:tc>
          <w:tcPr/>
          <w:p>
            <w:pPr>
              <w:pStyle w:val="Compact"/>
              <w:jc w:val="left"/>
            </w:pPr>
            <w:r>
              <w:t xml:space="preserve">1,464 → 1,995</w:t>
            </w:r>
          </w:p>
        </w:tc>
      </w:tr>
      <w:tr>
        <w:tc>
          <w:tcPr/>
          <w:p>
            <w:pPr>
              <w:pStyle w:val="Compact"/>
              <w:jc w:val="right"/>
            </w:pPr>
            <w:r>
              <w:t xml:space="preserve">31</w:t>
            </w:r>
          </w:p>
        </w:tc>
        <w:tc>
          <w:tcPr/>
          <w:p>
            <w:pPr>
              <w:pStyle w:val="Compact"/>
              <w:jc w:val="left"/>
            </w:pPr>
            <w:r>
              <w:t xml:space="preserve">Concrete transport (km)</w:t>
            </w:r>
          </w:p>
        </w:tc>
        <w:tc>
          <w:tcPr/>
          <w:p>
            <w:pPr>
              <w:pStyle w:val="Compact"/>
              <w:jc w:val="left"/>
            </w:pPr>
            <w:r>
              <w:t xml:space="preserve">5 / 15 / 50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2.700 → 2.702 (0.002)</w:t>
            </w:r>
          </w:p>
        </w:tc>
        <w:tc>
          <w:tcPr/>
          <w:p>
            <w:pPr>
              <w:pStyle w:val="Compact"/>
              <w:jc w:val="left"/>
            </w:pPr>
            <w:r>
              <w:t xml:space="preserve">—</w:t>
            </w:r>
          </w:p>
        </w:tc>
      </w:tr>
      <w:tr>
        <w:tc>
          <w:tcPr/>
          <w:p>
            <w:pPr>
              <w:pStyle w:val="Compact"/>
              <w:jc w:val="right"/>
            </w:pPr>
            <w:r>
              <w:t xml:space="preserve">32</w:t>
            </w:r>
          </w:p>
        </w:tc>
        <w:tc>
          <w:tcPr/>
          <w:p>
            <w:pPr>
              <w:pStyle w:val="Compact"/>
              <w:jc w:val="left"/>
            </w:pPr>
            <w:r>
              <w:t xml:space="preserve">DPSC basemat thickness (m)</w:t>
            </w:r>
          </w:p>
        </w:tc>
        <w:tc>
          <w:tcPr/>
          <w:p>
            <w:pPr>
              <w:pStyle w:val="Compact"/>
              <w:jc w:val="left"/>
            </w:pPr>
            <w:r>
              <w:t xml:space="preserve">2.0 / 3.0 / 4.0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2.700 → 2.702 (0.002)</w:t>
            </w:r>
          </w:p>
        </w:tc>
        <w:tc>
          <w:tcPr/>
          <w:p>
            <w:pPr>
              <w:pStyle w:val="Compact"/>
              <w:jc w:val="left"/>
            </w:pPr>
            <w:r>
              <w:t xml:space="preserve">1,581 → 1,886</w:t>
            </w:r>
          </w:p>
        </w:tc>
      </w:tr>
      <w:tr>
        <w:tc>
          <w:tcPr/>
          <w:p>
            <w:pPr>
              <w:pStyle w:val="Compact"/>
              <w:jc w:val="right"/>
            </w:pPr>
            <w:r>
              <w:t xml:space="preserve">33</w:t>
            </w:r>
          </w:p>
        </w:tc>
        <w:tc>
          <w:tcPr/>
          <w:p>
            <w:pPr>
              <w:pStyle w:val="Compact"/>
              <w:jc w:val="left"/>
            </w:pPr>
            <w:r>
              <w:t xml:space="preserve">Shaft depth (m)</w:t>
            </w:r>
          </w:p>
        </w:tc>
        <w:tc>
          <w:tcPr/>
          <w:p>
            <w:pPr>
              <w:pStyle w:val="Compact"/>
              <w:jc w:val="left"/>
            </w:pPr>
            <w:r>
              <w:t xml:space="preserve">35 / 35 / 38</w:t>
            </w:r>
          </w:p>
        </w:tc>
        <w:tc>
          <w:tcPr/>
          <w:p>
            <w:pPr>
              <w:pStyle w:val="Compact"/>
              <w:jc w:val="left"/>
            </w:pPr>
            <w:r>
              <w:t xml:space="preserve">okdiario (2026), a news report citing an OPG story not found; high = containment height, GE Vernova Hitachi Nuclear Energy (n.d.)</w:t>
            </w:r>
          </w:p>
        </w:tc>
        <w:tc>
          <w:tcPr/>
          <w:p>
            <w:pPr>
              <w:pStyle w:val="Compact"/>
              <w:jc w:val="left"/>
            </w:pPr>
            <w:r>
              <w:t xml:space="preserve">V</w:t>
            </w:r>
          </w:p>
        </w:tc>
        <w:tc>
          <w:tcPr/>
          <w:p>
            <w:pPr>
              <w:pStyle w:val="Compact"/>
              <w:jc w:val="left"/>
            </w:pPr>
            <w:r>
              <w:t xml:space="preserve">2.701 → 2.701 (&lt;0.001)</w:t>
            </w:r>
          </w:p>
        </w:tc>
        <w:tc>
          <w:tcPr/>
          <w:p>
            <w:pPr>
              <w:pStyle w:val="Compact"/>
              <w:jc w:val="left"/>
            </w:pPr>
            <w:r>
              <w:t xml:space="preserve">1,734 → 1,805</w:t>
            </w:r>
          </w:p>
        </w:tc>
      </w:tr>
      <w:tr>
        <w:tc>
          <w:tcPr/>
          <w:p>
            <w:pPr>
              <w:pStyle w:val="Compact"/>
              <w:jc w:val="right"/>
            </w:pPr>
            <w:r>
              <w:t xml:space="preserve">34</w:t>
            </w:r>
          </w:p>
        </w:tc>
        <w:tc>
          <w:tcPr/>
          <w:p>
            <w:pPr>
              <w:pStyle w:val="Compact"/>
              <w:jc w:val="left"/>
            </w:pPr>
            <w:r>
              <w:t xml:space="preserve">Forebay concrete (m³)</w:t>
            </w:r>
          </w:p>
        </w:tc>
        <w:tc>
          <w:tcPr/>
          <w:p>
            <w:pPr>
              <w:pStyle w:val="Compact"/>
              <w:jc w:val="left"/>
            </w:pPr>
            <w:r>
              <w:t xml:space="preserve">4,000 / 4,000 / 6,000</w:t>
            </w:r>
          </w:p>
        </w:tc>
        <w:tc>
          <w:tcPr/>
          <w:p>
            <w:pPr>
              <w:pStyle w:val="Compact"/>
              <w:jc w:val="left"/>
            </w:pPr>
            <w:r>
              <w:t xml:space="preserve">Ontario Power Generation (2025); high assumed</w:t>
            </w:r>
          </w:p>
        </w:tc>
        <w:tc>
          <w:tcPr/>
          <w:p>
            <w:pPr>
              <w:pStyle w:val="Compact"/>
              <w:jc w:val="left"/>
            </w:pPr>
            <w:r>
              <w:t xml:space="preserve">V</w:t>
            </w:r>
          </w:p>
        </w:tc>
        <w:tc>
          <w:tcPr/>
          <w:p>
            <w:pPr>
              <w:pStyle w:val="Compact"/>
              <w:jc w:val="left"/>
            </w:pPr>
            <w:r>
              <w:t xml:space="preserve">2.701 → 2.701 (0)</w:t>
            </w:r>
          </w:p>
        </w:tc>
        <w:tc>
          <w:tcPr/>
          <w:p>
            <w:pPr>
              <w:pStyle w:val="Compact"/>
              <w:jc w:val="left"/>
            </w:pPr>
            <w:r>
              <w:t xml:space="preserve">1,734 → 1,955</w:t>
            </w:r>
          </w:p>
        </w:tc>
      </w:tr>
      <w:tr>
        <w:tc>
          <w:tcPr/>
          <w:p>
            <w:pPr>
              <w:pStyle w:val="Compact"/>
              <w:jc w:val="right"/>
            </w:pPr>
            <w:r>
              <w:t xml:space="preserve">35</w:t>
            </w:r>
          </w:p>
        </w:tc>
        <w:tc>
          <w:tcPr/>
          <w:p>
            <w:pPr>
              <w:pStyle w:val="Compact"/>
              <w:jc w:val="left"/>
            </w:pPr>
            <w:r>
              <w:t xml:space="preserve">Slag cement (kg CO₂e/t)</w:t>
            </w:r>
          </w:p>
        </w:tc>
        <w:tc>
          <w:tcPr/>
          <w:p>
            <w:pPr>
              <w:pStyle w:val="Compact"/>
              <w:jc w:val="left"/>
            </w:pPr>
            <w:r>
              <w:t xml:space="preserve">93.4 / 146.6 / 146.6</w:t>
            </w:r>
          </w:p>
        </w:tc>
        <w:tc>
          <w:tcPr/>
          <w:p>
            <w:pPr>
              <w:pStyle w:val="Compact"/>
              <w:jc w:val="left"/>
            </w:pPr>
            <w:r>
              <w:t xml:space="preserve">Slag Cement Association (n.d.)</w:t>
            </w:r>
          </w:p>
        </w:tc>
        <w:tc>
          <w:tcPr/>
          <w:p>
            <w:pPr>
              <w:pStyle w:val="Compact"/>
              <w:jc w:val="left"/>
            </w:pPr>
            <w:r>
              <w:t xml:space="preserve">V</w:t>
            </w:r>
          </w:p>
        </w:tc>
        <w:tc>
          <w:tcPr/>
          <w:p>
            <w:pPr>
              <w:pStyle w:val="Compact"/>
              <w:jc w:val="left"/>
            </w:pPr>
            <w:r>
              <w:t xml:space="preserve">no change (S1 only)</w:t>
            </w:r>
          </w:p>
        </w:tc>
        <w:tc>
          <w:tcPr/>
          <w:p>
            <w:pPr>
              <w:pStyle w:val="Compact"/>
              <w:jc w:val="left"/>
            </w:pPr>
            <w:r>
              <w:t xml:space="preserve">—</w:t>
            </w:r>
          </w:p>
        </w:tc>
      </w:tr>
      <w:tr>
        <w:tc>
          <w:tcPr/>
          <w:p>
            <w:pPr>
              <w:pStyle w:val="Compact"/>
              <w:jc w:val="right"/>
            </w:pPr>
            <w:r>
              <w:t xml:space="preserve">36</w:t>
            </w:r>
          </w:p>
        </w:tc>
        <w:tc>
          <w:tcPr/>
          <w:p>
            <w:pPr>
              <w:pStyle w:val="Compact"/>
              <w:jc w:val="left"/>
            </w:pPr>
            <w:r>
              <w:t xml:space="preserve">GU clinker factor</w:t>
            </w:r>
          </w:p>
        </w:tc>
        <w:tc>
          <w:tcPr/>
          <w:p>
            <w:pPr>
              <w:pStyle w:val="Compact"/>
              <w:jc w:val="left"/>
            </w:pPr>
            <w:r>
              <w:t xml:space="preserve">0.90 / 0.92 / 0.95</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no change (clinker tonnage only)</w:t>
            </w:r>
          </w:p>
        </w:tc>
        <w:tc>
          <w:tcPr/>
          <w:p>
            <w:pPr>
              <w:pStyle w:val="Compact"/>
              <w:jc w:val="left"/>
            </w:pPr>
            <w:r>
              <w:t xml:space="preserve">—</w:t>
            </w:r>
          </w:p>
        </w:tc>
      </w:tr>
      <w:tr>
        <w:tc>
          <w:tcPr/>
          <w:p>
            <w:pPr>
              <w:pStyle w:val="Compact"/>
              <w:jc w:val="right"/>
            </w:pPr>
            <w:r>
              <w:t xml:space="preserve">37</w:t>
            </w:r>
          </w:p>
        </w:tc>
        <w:tc>
          <w:tcPr/>
          <w:p>
            <w:pPr>
              <w:pStyle w:val="Compact"/>
              <w:jc w:val="left"/>
            </w:pPr>
            <w:r>
              <w:t xml:space="preserve">Slag share of binder, S1</w:t>
            </w:r>
          </w:p>
        </w:tc>
        <w:tc>
          <w:tcPr/>
          <w:p>
            <w:pPr>
              <w:pStyle w:val="Compact"/>
              <w:jc w:val="left"/>
            </w:pPr>
            <w:r>
              <w:t xml:space="preserve">0.25 / 0.40 / 0.50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no change (S1 only)</w:t>
            </w:r>
          </w:p>
        </w:tc>
        <w:tc>
          <w:tcPr/>
          <w:p>
            <w:pPr>
              <w:pStyle w:val="Compact"/>
              <w:jc w:val="left"/>
            </w:pPr>
            <w:r>
              <w:t xml:space="preserve">—</w:t>
            </w:r>
          </w:p>
        </w:tc>
      </w:tr>
      <w:tr>
        <w:tc>
          <w:tcPr/>
          <w:p>
            <w:pPr>
              <w:pStyle w:val="Compact"/>
              <w:jc w:val="right"/>
            </w:pPr>
            <w:r>
              <w:t xml:space="preserve">38</w:t>
            </w:r>
          </w:p>
        </w:tc>
        <w:tc>
          <w:tcPr/>
          <w:p>
            <w:pPr>
              <w:pStyle w:val="Compact"/>
              <w:jc w:val="left"/>
            </w:pPr>
            <w:r>
              <w:t xml:space="preserve">LC3 clinker factor</w:t>
            </w:r>
          </w:p>
        </w:tc>
        <w:tc>
          <w:tcPr/>
          <w:p>
            <w:pPr>
              <w:pStyle w:val="Compact"/>
              <w:jc w:val="left"/>
            </w:pPr>
            <w:r>
              <w:t xml:space="preserve">0.50 / 0.50 / 0.55</w:t>
            </w:r>
          </w:p>
        </w:tc>
        <w:tc>
          <w:tcPr/>
          <w:p>
            <w:pPr>
              <w:pStyle w:val="Compact"/>
              <w:jc w:val="left"/>
            </w:pPr>
            <w:r>
              <w:t xml:space="preserve">Scrivener et al. (2018)</w:t>
            </w:r>
          </w:p>
        </w:tc>
        <w:tc>
          <w:tcPr/>
          <w:p>
            <w:pPr>
              <w:pStyle w:val="Compact"/>
              <w:jc w:val="left"/>
            </w:pPr>
            <w:r>
              <w:t xml:space="preserve">V</w:t>
            </w:r>
          </w:p>
        </w:tc>
        <w:tc>
          <w:tcPr/>
          <w:p>
            <w:pPr>
              <w:pStyle w:val="Compact"/>
              <w:jc w:val="left"/>
            </w:pPr>
            <w:r>
              <w:t xml:space="preserve">no change (clinker tonnage only)</w:t>
            </w:r>
          </w:p>
        </w:tc>
        <w:tc>
          <w:tcPr/>
          <w:p>
            <w:pPr>
              <w:pStyle w:val="Compact"/>
              <w:jc w:val="left"/>
            </w:pPr>
            <w:r>
              <w:t xml:space="preserve">—</w:t>
            </w:r>
          </w:p>
        </w:tc>
      </w:tr>
      <w:tr>
        <w:tc>
          <w:tcPr/>
          <w:p>
            <w:pPr>
              <w:pStyle w:val="Compact"/>
              <w:jc w:val="right"/>
            </w:pPr>
            <w:r>
              <w:t xml:space="preserve">39</w:t>
            </w:r>
          </w:p>
        </w:tc>
        <w:tc>
          <w:tcPr/>
          <w:p>
            <w:pPr>
              <w:pStyle w:val="Compact"/>
              <w:jc w:val="left"/>
            </w:pPr>
            <w:r>
              <w:t xml:space="preserve">LC3 binder emission cut</w:t>
            </w:r>
          </w:p>
        </w:tc>
        <w:tc>
          <w:tcPr/>
          <w:p>
            <w:pPr>
              <w:pStyle w:val="Compact"/>
              <w:jc w:val="left"/>
            </w:pPr>
            <w:r>
              <w:t xml:space="preserve">0.30 / 0.37 / 0.43</w:t>
            </w:r>
          </w:p>
        </w:tc>
        <w:tc>
          <w:tcPr/>
          <w:p>
            <w:pPr>
              <w:pStyle w:val="Compact"/>
              <w:jc w:val="left"/>
            </w:pPr>
            <w:r>
              <w:t xml:space="preserve">Five estimates (Appendix A5)</w:t>
            </w:r>
          </w:p>
        </w:tc>
        <w:tc>
          <w:tcPr/>
          <w:p>
            <w:pPr>
              <w:pStyle w:val="Compact"/>
              <w:jc w:val="left"/>
            </w:pPr>
            <w:r>
              <w:t xml:space="preserve">V</w:t>
            </w:r>
          </w:p>
        </w:tc>
        <w:tc>
          <w:tcPr/>
          <w:p>
            <w:pPr>
              <w:pStyle w:val="Compact"/>
              <w:jc w:val="left"/>
            </w:pPr>
            <w:r>
              <w:t xml:space="preserve">no change</w:t>
            </w:r>
          </w:p>
        </w:tc>
        <w:tc>
          <w:tcPr/>
          <w:p>
            <w:pPr>
              <w:pStyle w:val="Compact"/>
              <w:jc w:val="left"/>
            </w:pPr>
            <w:r>
              <w:t xml:space="preserve">1,406 → 2,015</w:t>
            </w:r>
          </w:p>
        </w:tc>
      </w:tr>
      <w:tr>
        <w:tc>
          <w:tcPr/>
          <w:p>
            <w:pPr>
              <w:pStyle w:val="Compact"/>
              <w:jc w:val="right"/>
            </w:pPr>
            <w:r>
              <w:t xml:space="preserve">40</w:t>
            </w:r>
          </w:p>
        </w:tc>
        <w:tc>
          <w:tcPr/>
          <w:p>
            <w:pPr>
              <w:pStyle w:val="Compact"/>
              <w:jc w:val="left"/>
            </w:pPr>
            <w:r>
              <w:t xml:space="preserve">Extra binder LC3 needs for flow</w:t>
            </w:r>
          </w:p>
        </w:tc>
        <w:tc>
          <w:tcPr/>
          <w:p>
            <w:pPr>
              <w:pStyle w:val="Compact"/>
              <w:jc w:val="left"/>
            </w:pPr>
            <w:r>
              <w:t xml:space="preserve">0 / 0 / 0.10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no change</w:t>
            </w:r>
          </w:p>
        </w:tc>
        <w:tc>
          <w:tcPr/>
          <w:p>
            <w:pPr>
              <w:pStyle w:val="Compact"/>
              <w:jc w:val="left"/>
            </w:pPr>
            <w:r>
              <w:t xml:space="preserve">1,734 → 1,438</w:t>
            </w:r>
          </w:p>
        </w:tc>
      </w:tr>
    </w:tbl>
    <w:bookmarkEnd w:id="104"/>
    <w:bookmarkStart w:id="105" w:name="c3.-what-the-tornado-shows"/>
    <w:p>
      <w:pPr>
        <w:pStyle w:val="Heading3"/>
      </w:pPr>
      <w:r>
        <w:t xml:space="preserve">C3. What the tornado shows</w:t>
      </w:r>
    </w:p>
    <w:p>
      <w:pPr>
        <w:pStyle w:val="FirstParagraph"/>
      </w:pPr>
      <w:r>
        <w:rPr>
          <w:bCs/>
          <w:b/>
        </w:rPr>
        <w:t xml:space="preserve">Life-cycle intensity (Figure F3, left).</w:t>
      </w:r>
      <w:r>
        <w:t xml:space="preserve"> </w:t>
      </w:r>
      <w:r>
        <w:t xml:space="preserve">The ranking is dominated by the fuel chain. Conversion heat alone could double the result, because the published heat demand spans a factor of 25 (26–665 kWh/kg U). The mining factor ranks second because ore grade varies widely between Saskatchewan mines. Higher burnup</w:t>
      </w:r>
      <w:r>
        <w:t xml:space="preserve"> </w:t>
      </w:r>
      <w:r>
        <w:rPr>
          <w:iCs/>
          <w:i/>
        </w:rPr>
        <w:t xml:space="preserve">lowers</w:t>
      </w:r>
      <w:r>
        <w:t xml:space="preserve"> </w:t>
      </w:r>
      <w:r>
        <w:t xml:space="preserve">the result (less uranium per MWh), and higher enrichment raises it (more separative work). Of the construction inputs, only the uplift (0.20) and steel intensity (0.17) exceed 0.1 g/kWh.</w:t>
      </w:r>
    </w:p>
    <w:p>
      <w:pPr>
        <w:pStyle w:val="BodyText"/>
      </w:pPr>
      <w:r>
        <w:rPr>
          <w:bCs/>
          <w:b/>
        </w:rPr>
        <w:t xml:space="preserve">LC3 saving (Figure F3, right).</w:t>
      </w:r>
      <w:r>
        <w:t xml:space="preserve"> </w:t>
      </w:r>
      <w:r>
        <w:t xml:space="preserve">The saving depends on the LC3 emission cut (swing 609 t), DPSC wall thickness (532 t), infill binder content (430 t), basemat thickness (306 t), extra binder for flow (295 t), forebay volume (221 t) and the cement factor (207 t). The first two are the LC3 literature and OPG’s drawings. Of the next three, binder content and extra binder are mix design and basemat thickness is geometry. Even at the lowest single-input value (1,406 t), LC3 saves more than the largest geometric swing, so the saving is robust in sign but uncertain by about ±20–25%.</w:t>
      </w:r>
    </w:p>
    <w:bookmarkEnd w:id="105"/>
    <w:bookmarkStart w:id="106" w:name="c4.-monte-carlo-results"/>
    <w:p>
      <w:pPr>
        <w:pStyle w:val="Heading3"/>
      </w:pPr>
      <w:r>
        <w:t xml:space="preserve">C4. Monte Carlo results</w:t>
      </w:r>
    </w:p>
    <w:p>
      <w:pPr>
        <w:pStyle w:val="FirstParagraph"/>
      </w:pPr>
      <w:r>
        <w:rPr>
          <w:bCs/>
          <w:b/>
        </w:rPr>
        <w:t xml:space="preserve">Result.</w:t>
      </w:r>
      <w:r>
        <w:t xml:space="preserve"> </w:t>
      </w:r>
      <w:r>
        <w:t xml:space="preserve">Life-cycle intensity:</w:t>
      </w:r>
      <w:r>
        <w:t xml:space="preserve"> </w:t>
      </w:r>
      <w:r>
        <w:rPr>
          <w:bCs/>
          <w:b/>
        </w:rPr>
        <w:t xml:space="preserve">median 4.18, 90% interval 3.05–5.85 g CO₂e/kWh</w:t>
      </w:r>
      <w:r>
        <w:t xml:space="preserve">. LC3 saving:</w:t>
      </w:r>
      <w:r>
        <w:t xml:space="preserve"> </w:t>
      </w:r>
      <w:r>
        <w:rPr>
          <w:bCs/>
          <w:b/>
        </w:rPr>
        <w:t xml:space="preserve">median 1,742 t per unit (1,387–2,153)</w:t>
      </w:r>
      <w:r>
        <w:t xml:space="preserve">,</w:t>
      </w:r>
      <w:r>
        <w:t xml:space="preserve"> </w:t>
      </w:r>
      <w:r>
        <w:rPr>
          <w:bCs/>
          <w:b/>
        </w:rPr>
        <w:t xml:space="preserve">5,225 t for Units 2–4 (4,161–6,458)</w:t>
      </w:r>
      <w:r>
        <w:t xml:space="preserve">. LC3 saves more than slag in</w:t>
      </w:r>
      <w:r>
        <w:t xml:space="preserve"> </w:t>
      </w:r>
      <w:r>
        <w:rPr>
          <w:bCs/>
          <w:b/>
        </w:rPr>
        <w:t xml:space="preserve">64%</w:t>
      </w:r>
      <w:r>
        <w:t xml:space="preserve"> </w:t>
      </w:r>
      <w:r>
        <w:t xml:space="preserve">of draws.</w:t>
      </w:r>
    </w:p>
    <w:p>
      <w:pPr>
        <w:pStyle w:val="BodyText"/>
      </w:pPr>
      <w:r>
        <w:rPr>
          <w:iCs/>
          <w:i/>
        </w:rPr>
        <w:t xml:space="preserve">Table C2. Monte Carlo outputs (20,000 draws, seed 20261021).</w:t>
      </w:r>
      <w:r>
        <w:t xml:space="preserve"> </w:t>
      </w:r>
      <w:r>
        <w:rPr>
          <w:iCs/>
          <w:i/>
        </w:rPr>
        <w:t xml:space="preserve">Source:</w:t>
      </w:r>
      <w:r>
        <w:rPr>
          <w:iCs/>
          <w:i/>
        </w:rPr>
        <w:t xml:space="preserve"> </w:t>
      </w:r>
      <w:r>
        <w:rPr>
          <w:rStyle w:val="VerbatimChar"/>
          <w:iCs/>
          <w:i/>
        </w:rPr>
        <w:t xml:space="preserve">results/lca_uncertainty.md</w:t>
      </w:r>
      <w:r>
        <w:rPr>
          <w:iCs/>
          <w:i/>
        </w:rPr>
        <w:t xml:space="preserve">,</w:t>
      </w:r>
      <w:r>
        <w:rPr>
          <w:iCs/>
          <w:i/>
        </w:rPr>
        <w:t xml:space="preserve"> </w:t>
      </w:r>
      <w:r>
        <w:rPr>
          <w:rStyle w:val="VerbatimChar"/>
          <w:iCs/>
          <w:i/>
        </w:rPr>
        <w:t xml:space="preserve">lca_montecarlo_summary.csv</w:t>
      </w:r>
      <w:r>
        <w:rPr>
          <w:iCs/>
          <w:i/>
        </w:rPr>
        <w:t xml:space="preserve">.</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Output</w:t>
            </w:r>
          </w:p>
        </w:tc>
        <w:tc>
          <w:tcPr/>
          <w:p>
            <w:pPr>
              <w:pStyle w:val="Compact"/>
              <w:jc w:val="right"/>
            </w:pPr>
            <w:r>
              <w:t xml:space="preserve">Mode case</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r>
      <w:tr>
        <w:tc>
          <w:tcPr/>
          <w:p>
            <w:pPr>
              <w:pStyle w:val="Compact"/>
              <w:jc w:val="left"/>
            </w:pPr>
            <w:r>
              <w:t xml:space="preserve">Life-cycle intensity (g CO₂e/kWh)</w:t>
            </w:r>
          </w:p>
        </w:tc>
        <w:tc>
          <w:tcPr/>
          <w:p>
            <w:pPr>
              <w:pStyle w:val="Compact"/>
              <w:jc w:val="right"/>
            </w:pPr>
            <w:r>
              <w:t xml:space="preserve">2.701</w:t>
            </w:r>
          </w:p>
        </w:tc>
        <w:tc>
          <w:tcPr/>
          <w:p>
            <w:pPr>
              <w:pStyle w:val="Compact"/>
              <w:jc w:val="right"/>
            </w:pPr>
            <w:r>
              <w:t xml:space="preserve">4.279</w:t>
            </w:r>
          </w:p>
        </w:tc>
        <w:tc>
          <w:tcPr/>
          <w:p>
            <w:pPr>
              <w:pStyle w:val="Compact"/>
              <w:jc w:val="right"/>
            </w:pPr>
            <w:r>
              <w:t xml:space="preserve">3.048</w:t>
            </w:r>
          </w:p>
        </w:tc>
        <w:tc>
          <w:tcPr/>
          <w:p>
            <w:pPr>
              <w:pStyle w:val="Compact"/>
              <w:jc w:val="right"/>
            </w:pPr>
            <w:r>
              <w:t xml:space="preserve">4.178</w:t>
            </w:r>
          </w:p>
        </w:tc>
        <w:tc>
          <w:tcPr/>
          <w:p>
            <w:pPr>
              <w:pStyle w:val="Compact"/>
              <w:jc w:val="right"/>
            </w:pPr>
            <w:r>
              <w:t xml:space="preserve">5.849</w:t>
            </w:r>
          </w:p>
        </w:tc>
      </w:tr>
      <w:tr>
        <w:tc>
          <w:tcPr/>
          <w:p>
            <w:pPr>
              <w:pStyle w:val="Compact"/>
              <w:jc w:val="left"/>
            </w:pPr>
            <w:r>
              <w:t xml:space="preserve">Fuel front end (g/kWh)</w:t>
            </w:r>
          </w:p>
        </w:tc>
        <w:tc>
          <w:tcPr/>
          <w:p>
            <w:pPr>
              <w:pStyle w:val="Compact"/>
              <w:jc w:val="right"/>
            </w:pPr>
            <w:r>
              <w:t xml:space="preserve">1.458</w:t>
            </w:r>
          </w:p>
        </w:tc>
        <w:tc>
          <w:tcPr/>
          <w:p>
            <w:pPr>
              <w:pStyle w:val="Compact"/>
              <w:jc w:val="right"/>
            </w:pPr>
            <w:r>
              <w:t xml:space="preserve">2.746</w:t>
            </w:r>
          </w:p>
        </w:tc>
        <w:tc>
          <w:tcPr/>
          <w:p>
            <w:pPr>
              <w:pStyle w:val="Compact"/>
              <w:jc w:val="right"/>
            </w:pPr>
            <w:r>
              <w:t xml:space="preserve">1.590</w:t>
            </w:r>
          </w:p>
        </w:tc>
        <w:tc>
          <w:tcPr/>
          <w:p>
            <w:pPr>
              <w:pStyle w:val="Compact"/>
              <w:jc w:val="right"/>
            </w:pPr>
            <w:r>
              <w:t xml:space="preserve">2.634</w:t>
            </w:r>
          </w:p>
        </w:tc>
        <w:tc>
          <w:tcPr/>
          <w:p>
            <w:pPr>
              <w:pStyle w:val="Compact"/>
              <w:jc w:val="right"/>
            </w:pPr>
            <w:r>
              <w:t xml:space="preserve">4.272</w:t>
            </w:r>
          </w:p>
        </w:tc>
      </w:tr>
      <w:tr>
        <w:tc>
          <w:tcPr/>
          <w:p>
            <w:pPr>
              <w:pStyle w:val="Compact"/>
              <w:jc w:val="left"/>
            </w:pPr>
            <w:r>
              <w:t xml:space="preserve">of which mining and milling (g/kWh)</w:t>
            </w:r>
          </w:p>
        </w:tc>
        <w:tc>
          <w:tcPr/>
          <w:p>
            <w:pPr>
              <w:pStyle w:val="Compact"/>
              <w:jc w:val="right"/>
            </w:pPr>
            <w:r>
              <w:t xml:space="preserve">1.024</w:t>
            </w:r>
          </w:p>
        </w:tc>
        <w:tc>
          <w:tcPr/>
          <w:p>
            <w:pPr>
              <w:pStyle w:val="Compact"/>
              <w:jc w:val="right"/>
            </w:pPr>
            <w:r>
              <w:t xml:space="preserve">1.258</w:t>
            </w:r>
          </w:p>
        </w:tc>
        <w:tc>
          <w:tcPr/>
          <w:p>
            <w:pPr>
              <w:pStyle w:val="Compact"/>
              <w:jc w:val="right"/>
            </w:pPr>
            <w:r>
              <w:t xml:space="preserve">0.753</w:t>
            </w:r>
          </w:p>
        </w:tc>
        <w:tc>
          <w:tcPr/>
          <w:p>
            <w:pPr>
              <w:pStyle w:val="Compact"/>
              <w:jc w:val="right"/>
            </w:pPr>
            <w:r>
              <w:t xml:space="preserve">1.214</w:t>
            </w:r>
          </w:p>
        </w:tc>
        <w:tc>
          <w:tcPr/>
          <w:p>
            <w:pPr>
              <w:pStyle w:val="Compact"/>
              <w:jc w:val="right"/>
            </w:pPr>
            <w:r>
              <w:t xml:space="preserve">1.891</w:t>
            </w:r>
          </w:p>
        </w:tc>
      </w:tr>
      <w:tr>
        <w:tc>
          <w:tcPr/>
          <w:p>
            <w:pPr>
              <w:pStyle w:val="Compact"/>
              <w:jc w:val="left"/>
            </w:pPr>
            <w:r>
              <w:t xml:space="preserve">Construction (g/kWh)</w:t>
            </w:r>
          </w:p>
        </w:tc>
        <w:tc>
          <w:tcPr/>
          <w:p>
            <w:pPr>
              <w:pStyle w:val="Compact"/>
              <w:jc w:val="right"/>
            </w:pPr>
            <w:r>
              <w:t xml:space="preserve">0.242</w:t>
            </w:r>
          </w:p>
        </w:tc>
        <w:tc>
          <w:tcPr/>
          <w:p>
            <w:pPr>
              <w:pStyle w:val="Compact"/>
              <w:jc w:val="right"/>
            </w:pPr>
            <w:r>
              <w:t xml:space="preserve">0.321</w:t>
            </w:r>
          </w:p>
        </w:tc>
        <w:tc>
          <w:tcPr/>
          <w:p>
            <w:pPr>
              <w:pStyle w:val="Compact"/>
              <w:jc w:val="right"/>
            </w:pPr>
            <w:r>
              <w:t xml:space="preserve">0.198</w:t>
            </w:r>
          </w:p>
        </w:tc>
        <w:tc>
          <w:tcPr/>
          <w:p>
            <w:pPr>
              <w:pStyle w:val="Compact"/>
              <w:jc w:val="right"/>
            </w:pPr>
            <w:r>
              <w:t xml:space="preserve">0.309</w:t>
            </w:r>
          </w:p>
        </w:tc>
        <w:tc>
          <w:tcPr/>
          <w:p>
            <w:pPr>
              <w:pStyle w:val="Compact"/>
              <w:jc w:val="right"/>
            </w:pPr>
            <w:r>
              <w:t xml:space="preserve">0.484</w:t>
            </w:r>
          </w:p>
        </w:tc>
      </w:tr>
      <w:tr>
        <w:tc>
          <w:tcPr/>
          <w:p>
            <w:pPr>
              <w:pStyle w:val="Compact"/>
              <w:jc w:val="left"/>
            </w:pPr>
            <w:r>
              <w:t xml:space="preserve">Whole-plant concrete (m³ per unit)</w:t>
            </w:r>
          </w:p>
        </w:tc>
        <w:tc>
          <w:tcPr/>
          <w:p>
            <w:pPr>
              <w:pStyle w:val="Compact"/>
              <w:jc w:val="right"/>
            </w:pPr>
            <w:r>
              <w:t xml:space="preserve">20,700</w:t>
            </w:r>
          </w:p>
        </w:tc>
        <w:tc>
          <w:tcPr/>
          <w:p>
            <w:pPr>
              <w:pStyle w:val="Compact"/>
              <w:jc w:val="right"/>
            </w:pPr>
            <w:r>
              <w:t xml:space="preserve">24,809</w:t>
            </w:r>
          </w:p>
        </w:tc>
        <w:tc>
          <w:tcPr/>
          <w:p>
            <w:pPr>
              <w:pStyle w:val="Compact"/>
              <w:jc w:val="right"/>
            </w:pPr>
            <w:r>
              <w:t xml:space="preserve">15,050</w:t>
            </w:r>
          </w:p>
        </w:tc>
        <w:tc>
          <w:tcPr/>
          <w:p>
            <w:pPr>
              <w:pStyle w:val="Compact"/>
              <w:jc w:val="right"/>
            </w:pPr>
            <w:r>
              <w:t xml:space="preserve">24,066</w:t>
            </w:r>
          </w:p>
        </w:tc>
        <w:tc>
          <w:tcPr/>
          <w:p>
            <w:pPr>
              <w:pStyle w:val="Compact"/>
              <w:jc w:val="right"/>
            </w:pPr>
            <w:r>
              <w:t xml:space="preserve">36,521</w:t>
            </w:r>
          </w:p>
        </w:tc>
      </w:tr>
      <w:tr>
        <w:tc>
          <w:tcPr/>
          <w:p>
            <w:pPr>
              <w:pStyle w:val="Compact"/>
              <w:jc w:val="left"/>
            </w:pPr>
            <w:r>
              <w:t xml:space="preserve">C1 target concrete (m³ per unit)</w:t>
            </w:r>
          </w:p>
        </w:tc>
        <w:tc>
          <w:tcPr/>
          <w:p>
            <w:pPr>
              <w:pStyle w:val="Compact"/>
              <w:jc w:val="right"/>
            </w:pPr>
            <w:r>
              <w:t xml:space="preserve">13,081</w:t>
            </w:r>
          </w:p>
        </w:tc>
        <w:tc>
          <w:tcPr/>
          <w:p>
            <w:pPr>
              <w:pStyle w:val="Compact"/>
              <w:jc w:val="right"/>
            </w:pPr>
            <w:r>
              <w:t xml:space="preserve">13,903</w:t>
            </w:r>
          </w:p>
        </w:tc>
        <w:tc>
          <w:tcPr/>
          <w:p>
            <w:pPr>
              <w:pStyle w:val="Compact"/>
              <w:jc w:val="right"/>
            </w:pPr>
            <w:r>
              <w:t xml:space="preserve">12,216</w:t>
            </w:r>
          </w:p>
        </w:tc>
        <w:tc>
          <w:tcPr/>
          <w:p>
            <w:pPr>
              <w:pStyle w:val="Compact"/>
              <w:jc w:val="right"/>
            </w:pPr>
            <w:r>
              <w:t xml:space="preserve">13,894</w:t>
            </w:r>
          </w:p>
        </w:tc>
        <w:tc>
          <w:tcPr/>
          <w:p>
            <w:pPr>
              <w:pStyle w:val="Compact"/>
              <w:jc w:val="right"/>
            </w:pPr>
            <w:r>
              <w:t xml:space="preserve">15,606</w:t>
            </w:r>
          </w:p>
        </w:tc>
      </w:tr>
      <w:tr>
        <w:tc>
          <w:tcPr/>
          <w:p>
            <w:pPr>
              <w:pStyle w:val="Compact"/>
              <w:jc w:val="left"/>
            </w:pPr>
            <w:r>
              <w:t xml:space="preserve">LC3 saving (t CO₂e per unit)</w:t>
            </w:r>
          </w:p>
        </w:tc>
        <w:tc>
          <w:tcPr/>
          <w:p>
            <w:pPr>
              <w:pStyle w:val="Compact"/>
              <w:jc w:val="right"/>
            </w:pPr>
            <w:r>
              <w:t xml:space="preserve">1,734</w:t>
            </w:r>
          </w:p>
        </w:tc>
        <w:tc>
          <w:tcPr/>
          <w:p>
            <w:pPr>
              <w:pStyle w:val="Compact"/>
              <w:jc w:val="right"/>
            </w:pPr>
            <w:r>
              <w:t xml:space="preserve">1,752</w:t>
            </w:r>
          </w:p>
        </w:tc>
        <w:tc>
          <w:tcPr/>
          <w:p>
            <w:pPr>
              <w:pStyle w:val="Compact"/>
              <w:jc w:val="right"/>
            </w:pPr>
            <w:r>
              <w:t xml:space="preserve">1,387</w:t>
            </w:r>
          </w:p>
        </w:tc>
        <w:tc>
          <w:tcPr/>
          <w:p>
            <w:pPr>
              <w:pStyle w:val="Compact"/>
              <w:jc w:val="right"/>
            </w:pPr>
            <w:r>
              <w:t xml:space="preserve">1,742</w:t>
            </w:r>
          </w:p>
        </w:tc>
        <w:tc>
          <w:tcPr/>
          <w:p>
            <w:pPr>
              <w:pStyle w:val="Compact"/>
              <w:jc w:val="right"/>
            </w:pPr>
            <w:r>
              <w:t xml:space="preserve">2,153</w:t>
            </w:r>
          </w:p>
        </w:tc>
      </w:tr>
      <w:tr>
        <w:tc>
          <w:tcPr/>
          <w:p>
            <w:pPr>
              <w:pStyle w:val="Compact"/>
              <w:jc w:val="left"/>
            </w:pPr>
            <w:r>
              <w:t xml:space="preserve">LC3 saving, Units 2–4 (t CO₂e)</w:t>
            </w:r>
          </w:p>
        </w:tc>
        <w:tc>
          <w:tcPr/>
          <w:p>
            <w:pPr>
              <w:pStyle w:val="Compact"/>
              <w:jc w:val="right"/>
            </w:pPr>
            <w:r>
              <w:t xml:space="preserve">5,201</w:t>
            </w:r>
          </w:p>
        </w:tc>
        <w:tc>
          <w:tcPr/>
          <w:p>
            <w:pPr>
              <w:pStyle w:val="Compact"/>
              <w:jc w:val="right"/>
            </w:pPr>
            <w:r>
              <w:t xml:space="preserve">5,256</w:t>
            </w:r>
          </w:p>
        </w:tc>
        <w:tc>
          <w:tcPr/>
          <w:p>
            <w:pPr>
              <w:pStyle w:val="Compact"/>
              <w:jc w:val="right"/>
            </w:pPr>
            <w:r>
              <w:t xml:space="preserve">4,161</w:t>
            </w:r>
          </w:p>
        </w:tc>
        <w:tc>
          <w:tcPr/>
          <w:p>
            <w:pPr>
              <w:pStyle w:val="Compact"/>
              <w:jc w:val="right"/>
            </w:pPr>
            <w:r>
              <w:t xml:space="preserve">5,225</w:t>
            </w:r>
          </w:p>
        </w:tc>
        <w:tc>
          <w:tcPr/>
          <w:p>
            <w:pPr>
              <w:pStyle w:val="Compact"/>
              <w:jc w:val="right"/>
            </w:pPr>
            <w:r>
              <w:t xml:space="preserve">6,458</w:t>
            </w:r>
          </w:p>
        </w:tc>
      </w:tr>
      <w:tr>
        <w:tc>
          <w:tcPr/>
          <w:p>
            <w:pPr>
              <w:pStyle w:val="Compact"/>
              <w:jc w:val="left"/>
            </w:pPr>
            <w:r>
              <w:t xml:space="preserve">LC3 saving as share of the unit’s life cycle (%)</w:t>
            </w:r>
          </w:p>
        </w:tc>
        <w:tc>
          <w:tcPr/>
          <w:p>
            <w:pPr>
              <w:pStyle w:val="Compact"/>
              <w:jc w:val="right"/>
            </w:pPr>
            <w:r>
              <w:t xml:space="preserve">0.452</w:t>
            </w:r>
          </w:p>
        </w:tc>
        <w:tc>
          <w:tcPr/>
          <w:p>
            <w:pPr>
              <w:pStyle w:val="Compact"/>
              <w:jc w:val="right"/>
            </w:pPr>
            <w:r>
              <w:t xml:space="preserve">0.304</w:t>
            </w:r>
          </w:p>
        </w:tc>
        <w:tc>
          <w:tcPr/>
          <w:p>
            <w:pPr>
              <w:pStyle w:val="Compact"/>
              <w:jc w:val="right"/>
            </w:pPr>
            <w:r>
              <w:t xml:space="preserve">0.185</w:t>
            </w:r>
          </w:p>
        </w:tc>
        <w:tc>
          <w:tcPr/>
          <w:p>
            <w:pPr>
              <w:pStyle w:val="Compact"/>
              <w:jc w:val="right"/>
            </w:pPr>
            <w:r>
              <w:t xml:space="preserve">0.295</w:t>
            </w:r>
          </w:p>
        </w:tc>
        <w:tc>
          <w:tcPr/>
          <w:p>
            <w:pPr>
              <w:pStyle w:val="Compact"/>
              <w:jc w:val="right"/>
            </w:pPr>
            <w:r>
              <w:t xml:space="preserve">0.455</w:t>
            </w:r>
          </w:p>
        </w:tc>
      </w:tr>
      <w:tr>
        <w:tc>
          <w:tcPr/>
          <w:p>
            <w:pPr>
              <w:pStyle w:val="Compact"/>
              <w:jc w:val="left"/>
            </w:pPr>
            <w:r>
              <w:t xml:space="preserve">Slag (S1) saving (t CO₂e per unit)</w:t>
            </w:r>
          </w:p>
        </w:tc>
        <w:tc>
          <w:tcPr/>
          <w:p>
            <w:pPr>
              <w:pStyle w:val="Compact"/>
              <w:jc w:val="right"/>
            </w:pPr>
            <w:r>
              <w:t xml:space="preserve">1,552</w:t>
            </w:r>
          </w:p>
        </w:tc>
        <w:tc>
          <w:tcPr/>
          <w:p>
            <w:pPr>
              <w:pStyle w:val="Compact"/>
              <w:jc w:val="right"/>
            </w:pPr>
            <w:r>
              <w:t xml:space="preserve">1,649</w:t>
            </w:r>
          </w:p>
        </w:tc>
        <w:tc>
          <w:tcPr/>
          <w:p>
            <w:pPr>
              <w:pStyle w:val="Compact"/>
              <w:jc w:val="right"/>
            </w:pPr>
            <w:r>
              <w:t xml:space="preserve">1,205</w:t>
            </w:r>
          </w:p>
        </w:tc>
        <w:tc>
          <w:tcPr/>
          <w:p>
            <w:pPr>
              <w:pStyle w:val="Compact"/>
              <w:jc w:val="right"/>
            </w:pPr>
            <w:r>
              <w:t xml:space="preserve">1,642</w:t>
            </w:r>
          </w:p>
        </w:tc>
        <w:tc>
          <w:tcPr/>
          <w:p>
            <w:pPr>
              <w:pStyle w:val="Compact"/>
              <w:jc w:val="right"/>
            </w:pPr>
            <w:r>
              <w:t xml:space="preserve">2,113</w:t>
            </w:r>
          </w:p>
        </w:tc>
      </w:tr>
      <w:tr>
        <w:tc>
          <w:tcPr/>
          <w:p>
            <w:pPr>
              <w:pStyle w:val="Compact"/>
              <w:jc w:val="left"/>
            </w:pPr>
            <w:r>
              <w:t xml:space="preserve">LC3 minus slag (t CO₂e per unit)</w:t>
            </w:r>
          </w:p>
        </w:tc>
        <w:tc>
          <w:tcPr/>
          <w:p>
            <w:pPr>
              <w:pStyle w:val="Compact"/>
              <w:jc w:val="right"/>
            </w:pPr>
            <w:r>
              <w:t xml:space="preserve">181</w:t>
            </w:r>
          </w:p>
        </w:tc>
        <w:tc>
          <w:tcPr/>
          <w:p>
            <w:pPr>
              <w:pStyle w:val="Compact"/>
              <w:jc w:val="right"/>
            </w:pPr>
            <w:r>
              <w:t xml:space="preserve">103</w:t>
            </w:r>
          </w:p>
        </w:tc>
        <w:tc>
          <w:tcPr/>
          <w:p>
            <w:pPr>
              <w:pStyle w:val="Compact"/>
              <w:jc w:val="right"/>
            </w:pPr>
            <w:r>
              <w:t xml:space="preserve">−343</w:t>
            </w:r>
          </w:p>
        </w:tc>
        <w:tc>
          <w:tcPr/>
          <w:p>
            <w:pPr>
              <w:pStyle w:val="Compact"/>
              <w:jc w:val="right"/>
            </w:pPr>
            <w:r>
              <w:t xml:space="preserve">97</w:t>
            </w:r>
          </w:p>
        </w:tc>
        <w:tc>
          <w:tcPr/>
          <w:p>
            <w:pPr>
              <w:pStyle w:val="Compact"/>
              <w:jc w:val="right"/>
            </w:pPr>
            <w:r>
              <w:t xml:space="preserve">574</w:t>
            </w:r>
          </w:p>
        </w:tc>
      </w:tr>
      <w:tr>
        <w:tc>
          <w:tcPr/>
          <w:p>
            <w:pPr>
              <w:pStyle w:val="Compact"/>
              <w:jc w:val="left"/>
            </w:pPr>
            <w:r>
              <w:t xml:space="preserve">Life-cycle intensity, conversion heat fixed at 26 kWh/kg U (Gibon and Hahn Menacho, 2023; [TO VERIFY]) (g CO₂e/kWh)</w:t>
            </w:r>
          </w:p>
        </w:tc>
        <w:tc>
          <w:tcPr/>
          <w:p>
            <w:pPr>
              <w:pStyle w:val="Compact"/>
              <w:jc w:val="right"/>
            </w:pPr>
            <w:r>
              <w:t xml:space="preserve">2.701</w:t>
            </w:r>
          </w:p>
        </w:tc>
        <w:tc>
          <w:tcPr/>
          <w:p>
            <w:pPr>
              <w:pStyle w:val="Compact"/>
              <w:jc w:val="right"/>
            </w:pPr>
            <w:r>
              <w:t xml:space="preserve">3.342</w:t>
            </w:r>
          </w:p>
        </w:tc>
        <w:tc>
          <w:tcPr/>
          <w:p>
            <w:pPr>
              <w:pStyle w:val="Compact"/>
              <w:jc w:val="right"/>
            </w:pPr>
            <w:r>
              <w:t xml:space="preserve">2.623</w:t>
            </w:r>
          </w:p>
        </w:tc>
        <w:tc>
          <w:tcPr/>
          <w:p>
            <w:pPr>
              <w:pStyle w:val="Compact"/>
              <w:jc w:val="right"/>
            </w:pPr>
            <w:r>
              <w:t xml:space="preserve">3.310</w:t>
            </w:r>
          </w:p>
        </w:tc>
        <w:tc>
          <w:tcPr/>
          <w:p>
            <w:pPr>
              <w:pStyle w:val="Compact"/>
              <w:jc w:val="right"/>
            </w:pPr>
            <w:r>
              <w:t xml:space="preserve">4.175</w:t>
            </w:r>
          </w:p>
        </w:tc>
      </w:tr>
      <w:tr>
        <w:tc>
          <w:tcPr/>
          <w:p>
            <w:pPr>
              <w:pStyle w:val="Compact"/>
              <w:jc w:val="left"/>
            </w:pPr>
            <w:r>
              <w:t xml:space="preserve">Life-cycle intensity, conversion heat log-uniform 26–665 (g CO₂e/kWh)</w:t>
            </w:r>
          </w:p>
        </w:tc>
        <w:tc>
          <w:tcPr/>
          <w:p>
            <w:pPr>
              <w:pStyle w:val="Compact"/>
              <w:jc w:val="right"/>
            </w:pPr>
            <w:r>
              <w:t xml:space="preserve">2.701</w:t>
            </w:r>
          </w:p>
        </w:tc>
        <w:tc>
          <w:tcPr/>
          <w:p>
            <w:pPr>
              <w:pStyle w:val="Compact"/>
              <w:jc w:val="right"/>
            </w:pPr>
            <w:r>
              <w:t xml:space="preserve">4.096</w:t>
            </w:r>
          </w:p>
        </w:tc>
        <w:tc>
          <w:tcPr/>
          <w:p>
            <w:pPr>
              <w:pStyle w:val="Compact"/>
              <w:jc w:val="right"/>
            </w:pPr>
            <w:r>
              <w:t xml:space="preserve">2.886</w:t>
            </w:r>
          </w:p>
        </w:tc>
        <w:tc>
          <w:tcPr/>
          <w:p>
            <w:pPr>
              <w:pStyle w:val="Compact"/>
              <w:jc w:val="right"/>
            </w:pPr>
            <w:r>
              <w:t xml:space="preserve">3.912</w:t>
            </w:r>
          </w:p>
        </w:tc>
        <w:tc>
          <w:tcPr/>
          <w:p>
            <w:pPr>
              <w:pStyle w:val="Compact"/>
              <w:jc w:val="right"/>
            </w:pPr>
            <w:r>
              <w:t xml:space="preserve">5.906</w:t>
            </w:r>
          </w:p>
        </w:tc>
      </w:tr>
    </w:tbl>
    <w:p>
      <w:pPr>
        <w:pStyle w:val="BodyText"/>
      </w:pPr>
      <w:r>
        <w:t xml:space="preserve">The whole-plant concrete median (24,066 m³) sits above the central value (20,700 m³) because its input range is right-skewed (34.5–69–138 m³/MWe).</w:t>
      </w:r>
      <w:r>
        <w:t xml:space="preserve"> </w:t>
      </w:r>
      <w:r>
        <w:rPr>
          <w:bCs/>
          <w:b/>
        </w:rPr>
        <w:t xml:space="preserve">The 90% interval, about 15,050–36,521 m³, is the concrete range to quote</w:t>
      </w:r>
      <w:r>
        <w:t xml:space="preserve">; the input bounds (10,350–41,400 m³) are not results, and the clip rule (C1) also lifts the low tail. The LC3-minus-slag interval spans zero: the two options cannot be separated on carbon with present data. If OPG’s baseline mix already contains slag (§6.1, A6), the same row is LC3’s increment over business as usual. The last two rows test whether the headline median depends on the triangular shape chosen for conversion heat (C5): the other 39 inputs use the same 20,000 draws, and only conversion heat changes.</w:t>
      </w:r>
      <w:r>
        <w:t xml:space="preserve"> </w:t>
      </w:r>
      <w:r>
        <w:rPr>
          <w:bCs/>
          <w:b/>
        </w:rPr>
        <w:t xml:space="preserve">It does: the median ranges from 3.31 to 4.18 g CO₂e/kWh</w:t>
      </w:r>
      <w:r>
        <w:t xml:space="preserve"> </w:t>
      </w:r>
      <w:r>
        <w:t xml:space="preserve">(LC3’s share of the life cycle, 0.37% to 0.295%). The share row in this table is for LC3 only; Table C4 gives every scenario.</w:t>
      </w:r>
    </w:p>
    <w:p>
      <w:pPr>
        <w:pStyle w:val="BodyText"/>
      </w:pPr>
      <w:r>
        <w:rPr>
          <w:iCs/>
          <w:i/>
        </w:rPr>
        <w:t xml:space="preserve">Table C3. Expected life-cycle emissions by stage (Monte Carlo mean) against the mode case.</w:t>
      </w:r>
      <w:r>
        <w:t xml:space="preserve"> </w:t>
      </w:r>
      <w:r>
        <w:rPr>
          <w:iCs/>
          <w:i/>
        </w:rPr>
        <w:t xml:space="preserve">Source:</w:t>
      </w:r>
      <w:r>
        <w:rPr>
          <w:iCs/>
          <w:i/>
        </w:rPr>
        <w:t xml:space="preserve"> </w:t>
      </w:r>
      <w:r>
        <w:rPr>
          <w:rStyle w:val="VerbatimChar"/>
          <w:iCs/>
          <w:i/>
        </w:rPr>
        <w:t xml:space="preserve">results/lca_uncertainty.md</w:t>
      </w:r>
      <w:r>
        <w:rPr>
          <w:iCs/>
          <w:i/>
        </w:rPr>
        <w:t xml:space="preserve">; last column is our subtraction (mean − mode).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Stage</w:t>
            </w:r>
          </w:p>
        </w:tc>
        <w:tc>
          <w:tcPr/>
          <w:p>
            <w:pPr>
              <w:pStyle w:val="Compact"/>
              <w:jc w:val="right"/>
            </w:pPr>
            <w:r>
              <w:t xml:space="preserve">Mode case g/kWh</w:t>
            </w:r>
          </w:p>
        </w:tc>
        <w:tc>
          <w:tcPr/>
          <w:p>
            <w:pPr>
              <w:pStyle w:val="Compact"/>
              <w:jc w:val="right"/>
            </w:pPr>
            <w:r>
              <w:t xml:space="preserve">Mean g/kWh</w:t>
            </w:r>
          </w:p>
        </w:tc>
        <w:tc>
          <w:tcPr/>
          <w:p>
            <w:pPr>
              <w:pStyle w:val="Compact"/>
              <w:jc w:val="right"/>
            </w:pPr>
            <w:r>
              <w:t xml:space="preserve">P5</w:t>
            </w:r>
          </w:p>
        </w:tc>
        <w:tc>
          <w:tcPr/>
          <w:p>
            <w:pPr>
              <w:pStyle w:val="Compact"/>
              <w:jc w:val="right"/>
            </w:pPr>
            <w:r>
              <w:t xml:space="preserve">P95</w:t>
            </w:r>
          </w:p>
        </w:tc>
        <w:tc>
          <w:tcPr/>
          <w:p>
            <w:pPr>
              <w:pStyle w:val="Compact"/>
              <w:jc w:val="right"/>
            </w:pPr>
            <w:r>
              <w:t xml:space="preserve">Share of mean</w:t>
            </w:r>
          </w:p>
        </w:tc>
        <w:tc>
          <w:tcPr/>
          <w:p>
            <w:pPr>
              <w:pStyle w:val="Compact"/>
              <w:jc w:val="right"/>
            </w:pPr>
            <w:r>
              <w:t xml:space="preserve">Mean − mode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1.258</w:t>
            </w:r>
          </w:p>
        </w:tc>
        <w:tc>
          <w:tcPr/>
          <w:p>
            <w:pPr>
              <w:pStyle w:val="Compact"/>
              <w:jc w:val="right"/>
            </w:pPr>
            <w:r>
              <w:t xml:space="preserve">0.753</w:t>
            </w:r>
          </w:p>
        </w:tc>
        <w:tc>
          <w:tcPr/>
          <w:p>
            <w:pPr>
              <w:pStyle w:val="Compact"/>
              <w:jc w:val="right"/>
            </w:pPr>
            <w:r>
              <w:t xml:space="preserve">1.891</w:t>
            </w:r>
          </w:p>
        </w:tc>
        <w:tc>
          <w:tcPr/>
          <w:p>
            <w:pPr>
              <w:pStyle w:val="Compact"/>
              <w:jc w:val="right"/>
            </w:pPr>
            <w:r>
              <w:t xml:space="preserve">29.4%</w:t>
            </w:r>
          </w:p>
        </w:tc>
        <w:tc>
          <w:tcPr/>
          <w:p>
            <w:pPr>
              <w:pStyle w:val="Compact"/>
              <w:jc w:val="right"/>
            </w:pPr>
            <w:r>
              <w:t xml:space="preserve">+0.234</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1.094</w:t>
            </w:r>
          </w:p>
        </w:tc>
        <w:tc>
          <w:tcPr/>
          <w:p>
            <w:pPr>
              <w:pStyle w:val="Compact"/>
              <w:jc w:val="right"/>
            </w:pPr>
            <w:r>
              <w:t xml:space="preserve">0.227</w:t>
            </w:r>
          </w:p>
        </w:tc>
        <w:tc>
          <w:tcPr/>
          <w:p>
            <w:pPr>
              <w:pStyle w:val="Compact"/>
              <w:jc w:val="right"/>
            </w:pPr>
            <w:r>
              <w:t xml:space="preserve">2.390</w:t>
            </w:r>
          </w:p>
        </w:tc>
        <w:tc>
          <w:tcPr/>
          <w:p>
            <w:pPr>
              <w:pStyle w:val="Compact"/>
              <w:jc w:val="right"/>
            </w:pPr>
            <w:r>
              <w:t xml:space="preserve">25.6%</w:t>
            </w:r>
          </w:p>
        </w:tc>
        <w:tc>
          <w:tcPr/>
          <w:p>
            <w:pPr>
              <w:pStyle w:val="Compact"/>
              <w:jc w:val="right"/>
            </w:pPr>
            <w:r>
              <w:t xml:space="preserve">+0.967</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0.654</w:t>
            </w:r>
          </w:p>
        </w:tc>
        <w:tc>
          <w:tcPr/>
          <w:p>
            <w:pPr>
              <w:pStyle w:val="Compact"/>
              <w:jc w:val="right"/>
            </w:pPr>
            <w:r>
              <w:t xml:space="preserve">0.389</w:t>
            </w:r>
          </w:p>
        </w:tc>
        <w:tc>
          <w:tcPr/>
          <w:p>
            <w:pPr>
              <w:pStyle w:val="Compact"/>
              <w:jc w:val="right"/>
            </w:pPr>
            <w:r>
              <w:t xml:space="preserve">0.963</w:t>
            </w:r>
          </w:p>
        </w:tc>
        <w:tc>
          <w:tcPr/>
          <w:p>
            <w:pPr>
              <w:pStyle w:val="Compact"/>
              <w:jc w:val="right"/>
            </w:pPr>
            <w:r>
              <w:t xml:space="preserve">15.3%</w:t>
            </w:r>
          </w:p>
        </w:tc>
        <w:tc>
          <w:tcPr/>
          <w:p>
            <w:pPr>
              <w:pStyle w:val="Compact"/>
              <w:jc w:val="right"/>
            </w:pPr>
            <w:r>
              <w:t xml:space="preserve">+0.094</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0.391</w:t>
            </w:r>
          </w:p>
        </w:tc>
        <w:tc>
          <w:tcPr/>
          <w:p>
            <w:pPr>
              <w:pStyle w:val="Compact"/>
              <w:jc w:val="right"/>
            </w:pPr>
            <w:r>
              <w:t xml:space="preserve">0.235</w:t>
            </w:r>
          </w:p>
        </w:tc>
        <w:tc>
          <w:tcPr/>
          <w:p>
            <w:pPr>
              <w:pStyle w:val="Compact"/>
              <w:jc w:val="right"/>
            </w:pPr>
            <w:r>
              <w:t xml:space="preserve">0.579</w:t>
            </w:r>
          </w:p>
        </w:tc>
        <w:tc>
          <w:tcPr/>
          <w:p>
            <w:pPr>
              <w:pStyle w:val="Compact"/>
              <w:jc w:val="right"/>
            </w:pPr>
            <w:r>
              <w:t xml:space="preserve">9.1%</w:t>
            </w:r>
          </w:p>
        </w:tc>
        <w:tc>
          <w:tcPr/>
          <w:p>
            <w:pPr>
              <w:pStyle w:val="Compact"/>
              <w:jc w:val="right"/>
            </w:pPr>
            <w:r>
              <w:t xml:space="preserve">+0.061</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0.351</w:t>
            </w:r>
          </w:p>
        </w:tc>
        <w:tc>
          <w:tcPr/>
          <w:p>
            <w:pPr>
              <w:pStyle w:val="Compact"/>
              <w:jc w:val="right"/>
            </w:pPr>
            <w:r>
              <w:t xml:space="preserve">0.130</w:t>
            </w:r>
          </w:p>
        </w:tc>
        <w:tc>
          <w:tcPr/>
          <w:p>
            <w:pPr>
              <w:pStyle w:val="Compact"/>
              <w:jc w:val="right"/>
            </w:pPr>
            <w:r>
              <w:t xml:space="preserve">0.632</w:t>
            </w:r>
          </w:p>
        </w:tc>
        <w:tc>
          <w:tcPr/>
          <w:p>
            <w:pPr>
              <w:pStyle w:val="Compact"/>
              <w:jc w:val="right"/>
            </w:pPr>
            <w:r>
              <w:t xml:space="preserve">8.2%</w:t>
            </w:r>
          </w:p>
        </w:tc>
        <w:tc>
          <w:tcPr/>
          <w:p>
            <w:pPr>
              <w:pStyle w:val="Compact"/>
              <w:jc w:val="right"/>
            </w:pPr>
            <w:r>
              <w:t xml:space="preserve">+0.079</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0.167</w:t>
            </w:r>
          </w:p>
        </w:tc>
        <w:tc>
          <w:tcPr/>
          <w:p>
            <w:pPr>
              <w:pStyle w:val="Compact"/>
              <w:jc w:val="right"/>
            </w:pPr>
            <w:r>
              <w:t xml:space="preserve">0.086</w:t>
            </w:r>
          </w:p>
        </w:tc>
        <w:tc>
          <w:tcPr/>
          <w:p>
            <w:pPr>
              <w:pStyle w:val="Compact"/>
              <w:jc w:val="right"/>
            </w:pPr>
            <w:r>
              <w:t xml:space="preserve">0.276</w:t>
            </w:r>
          </w:p>
        </w:tc>
        <w:tc>
          <w:tcPr/>
          <w:p>
            <w:pPr>
              <w:pStyle w:val="Compact"/>
              <w:jc w:val="right"/>
            </w:pPr>
            <w:r>
              <w:t xml:space="preserve">3.9%</w:t>
            </w:r>
          </w:p>
        </w:tc>
        <w:tc>
          <w:tcPr/>
          <w:p>
            <w:pPr>
              <w:pStyle w:val="Compact"/>
              <w:jc w:val="right"/>
            </w:pPr>
            <w:r>
              <w:t xml:space="preserve">+0.057</w:t>
            </w:r>
          </w:p>
        </w:tc>
      </w:tr>
      <w:tr>
        <w:tc>
          <w:tcPr/>
          <w:p>
            <w:pPr>
              <w:pStyle w:val="Compact"/>
              <w:jc w:val="left"/>
            </w:pPr>
            <w:r>
              <w:t xml:space="preserve">Construction: other materials and site energy</w:t>
            </w:r>
          </w:p>
        </w:tc>
        <w:tc>
          <w:tcPr/>
          <w:p>
            <w:pPr>
              <w:pStyle w:val="Compact"/>
              <w:jc w:val="right"/>
            </w:pPr>
            <w:r>
              <w:t xml:space="preserve">0.081</w:t>
            </w:r>
          </w:p>
        </w:tc>
        <w:tc>
          <w:tcPr/>
          <w:p>
            <w:pPr>
              <w:pStyle w:val="Compact"/>
              <w:jc w:val="right"/>
            </w:pPr>
            <w:r>
              <w:t xml:space="preserve">0.138</w:t>
            </w:r>
          </w:p>
        </w:tc>
        <w:tc>
          <w:tcPr/>
          <w:p>
            <w:pPr>
              <w:pStyle w:val="Compact"/>
              <w:jc w:val="right"/>
            </w:pPr>
            <w:r>
              <w:t xml:space="preserve">0.060</w:t>
            </w:r>
          </w:p>
        </w:tc>
        <w:tc>
          <w:tcPr/>
          <w:p>
            <w:pPr>
              <w:pStyle w:val="Compact"/>
              <w:jc w:val="right"/>
            </w:pPr>
            <w:r>
              <w:t xml:space="preserve">0.252</w:t>
            </w:r>
          </w:p>
        </w:tc>
        <w:tc>
          <w:tcPr/>
          <w:p>
            <w:pPr>
              <w:pStyle w:val="Compact"/>
              <w:jc w:val="right"/>
            </w:pPr>
            <w:r>
              <w:t xml:space="preserve">3.2%</w:t>
            </w:r>
          </w:p>
        </w:tc>
        <w:tc>
          <w:tcPr/>
          <w:p>
            <w:pPr>
              <w:pStyle w:val="Compact"/>
              <w:jc w:val="right"/>
            </w:pPr>
            <w:r>
              <w:t xml:space="preserve">+0.057</w:t>
            </w:r>
          </w:p>
        </w:tc>
      </w:tr>
      <w:tr>
        <w:tc>
          <w:tcPr/>
          <w:p>
            <w:pPr>
              <w:pStyle w:val="Compact"/>
              <w:jc w:val="left"/>
            </w:pPr>
            <w:r>
              <w:t xml:space="preserve">Construction: plate, structural and equipment steel</w:t>
            </w:r>
          </w:p>
        </w:tc>
        <w:tc>
          <w:tcPr/>
          <w:p>
            <w:pPr>
              <w:pStyle w:val="Compact"/>
              <w:jc w:val="right"/>
            </w:pPr>
            <w:r>
              <w:t xml:space="preserve">0.083</w:t>
            </w:r>
          </w:p>
        </w:tc>
        <w:tc>
          <w:tcPr/>
          <w:p>
            <w:pPr>
              <w:pStyle w:val="Compact"/>
              <w:jc w:val="right"/>
            </w:pPr>
            <w:r>
              <w:t xml:space="preserve">0.073</w:t>
            </w:r>
          </w:p>
        </w:tc>
        <w:tc>
          <w:tcPr/>
          <w:p>
            <w:pPr>
              <w:pStyle w:val="Compact"/>
              <w:jc w:val="right"/>
            </w:pPr>
            <w:r>
              <w:t xml:space="preserve">0.021</w:t>
            </w:r>
          </w:p>
        </w:tc>
        <w:tc>
          <w:tcPr/>
          <w:p>
            <w:pPr>
              <w:pStyle w:val="Compact"/>
              <w:jc w:val="right"/>
            </w:pPr>
            <w:r>
              <w:t xml:space="preserve">0.133</w:t>
            </w:r>
          </w:p>
        </w:tc>
        <w:tc>
          <w:tcPr/>
          <w:p>
            <w:pPr>
              <w:pStyle w:val="Compact"/>
              <w:jc w:val="right"/>
            </w:pPr>
            <w:r>
              <w:t xml:space="preserve">1.7%</w:t>
            </w:r>
          </w:p>
        </w:tc>
        <w:tc>
          <w:tcPr/>
          <w:p>
            <w:pPr>
              <w:pStyle w:val="Compact"/>
              <w:jc w:val="right"/>
            </w:pPr>
            <w:r>
              <w:t xml:space="preserve">−0.010</w:t>
            </w:r>
          </w:p>
        </w:tc>
      </w:tr>
      <w:tr>
        <w:tc>
          <w:tcPr/>
          <w:p>
            <w:pPr>
              <w:pStyle w:val="Compact"/>
              <w:jc w:val="left"/>
            </w:pPr>
            <w:r>
              <w:t xml:space="preserve">Construction: concrete</w:t>
            </w:r>
          </w:p>
        </w:tc>
        <w:tc>
          <w:tcPr/>
          <w:p>
            <w:pPr>
              <w:pStyle w:val="Compact"/>
              <w:jc w:val="right"/>
            </w:pPr>
            <w:r>
              <w:t xml:space="preserve">0.053</w:t>
            </w:r>
          </w:p>
        </w:tc>
        <w:tc>
          <w:tcPr/>
          <w:p>
            <w:pPr>
              <w:pStyle w:val="Compact"/>
              <w:jc w:val="right"/>
            </w:pPr>
            <w:r>
              <w:t xml:space="preserve">0.066</w:t>
            </w:r>
          </w:p>
        </w:tc>
        <w:tc>
          <w:tcPr/>
          <w:p>
            <w:pPr>
              <w:pStyle w:val="Compact"/>
              <w:jc w:val="right"/>
            </w:pPr>
            <w:r>
              <w:t xml:space="preserve">0.040</w:t>
            </w:r>
          </w:p>
        </w:tc>
        <w:tc>
          <w:tcPr/>
          <w:p>
            <w:pPr>
              <w:pStyle w:val="Compact"/>
              <w:jc w:val="right"/>
            </w:pPr>
            <w:r>
              <w:t xml:space="preserve">0.102</w:t>
            </w:r>
          </w:p>
        </w:tc>
        <w:tc>
          <w:tcPr/>
          <w:p>
            <w:pPr>
              <w:pStyle w:val="Compact"/>
              <w:jc w:val="right"/>
            </w:pPr>
            <w:r>
              <w:t xml:space="preserve">1.5%</w:t>
            </w:r>
          </w:p>
        </w:tc>
        <w:tc>
          <w:tcPr/>
          <w:p>
            <w:pPr>
              <w:pStyle w:val="Compact"/>
              <w:jc w:val="right"/>
            </w:pPr>
            <w:r>
              <w:t xml:space="preserve">+0.013</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0.044</w:t>
            </w:r>
          </w:p>
        </w:tc>
        <w:tc>
          <w:tcPr/>
          <w:p>
            <w:pPr>
              <w:pStyle w:val="Compact"/>
              <w:jc w:val="right"/>
            </w:pPr>
            <w:r>
              <w:t xml:space="preserve">0.027</w:t>
            </w:r>
          </w:p>
        </w:tc>
        <w:tc>
          <w:tcPr/>
          <w:p>
            <w:pPr>
              <w:pStyle w:val="Compact"/>
              <w:jc w:val="right"/>
            </w:pPr>
            <w:r>
              <w:t xml:space="preserve">0.063</w:t>
            </w:r>
          </w:p>
        </w:tc>
        <w:tc>
          <w:tcPr/>
          <w:p>
            <w:pPr>
              <w:pStyle w:val="Compact"/>
              <w:jc w:val="right"/>
            </w:pPr>
            <w:r>
              <w:t xml:space="preserve">1.0%</w:t>
            </w:r>
          </w:p>
        </w:tc>
        <w:tc>
          <w:tcPr/>
          <w:p>
            <w:pPr>
              <w:pStyle w:val="Compact"/>
              <w:jc w:val="right"/>
            </w:pPr>
            <w:r>
              <w:t xml:space="preserve">+0.007</w:t>
            </w:r>
          </w:p>
        </w:tc>
      </w:tr>
      <w:tr>
        <w:tc>
          <w:tcPr/>
          <w:p>
            <w:pPr>
              <w:pStyle w:val="Compact"/>
              <w:jc w:val="left"/>
            </w:pPr>
            <w:r>
              <w:t xml:space="preserve">Construction: rebar</w:t>
            </w:r>
          </w:p>
        </w:tc>
        <w:tc>
          <w:tcPr/>
          <w:p>
            <w:pPr>
              <w:pStyle w:val="Compact"/>
              <w:jc w:val="right"/>
            </w:pPr>
            <w:r>
              <w:t xml:space="preserve">0.021</w:t>
            </w:r>
          </w:p>
        </w:tc>
        <w:tc>
          <w:tcPr/>
          <w:p>
            <w:pPr>
              <w:pStyle w:val="Compact"/>
              <w:jc w:val="right"/>
            </w:pPr>
            <w:r>
              <w:t xml:space="preserve">0.038</w:t>
            </w:r>
          </w:p>
        </w:tc>
        <w:tc>
          <w:tcPr/>
          <w:p>
            <w:pPr>
              <w:pStyle w:val="Compact"/>
              <w:jc w:val="right"/>
            </w:pPr>
            <w:r>
              <w:t xml:space="preserve">0.018</w:t>
            </w:r>
          </w:p>
        </w:tc>
        <w:tc>
          <w:tcPr/>
          <w:p>
            <w:pPr>
              <w:pStyle w:val="Compact"/>
              <w:jc w:val="right"/>
            </w:pPr>
            <w:r>
              <w:t xml:space="preserve">0.068</w:t>
            </w:r>
          </w:p>
        </w:tc>
        <w:tc>
          <w:tcPr/>
          <w:p>
            <w:pPr>
              <w:pStyle w:val="Compact"/>
              <w:jc w:val="right"/>
            </w:pPr>
            <w:r>
              <w:t xml:space="preserve">0.9%</w:t>
            </w:r>
          </w:p>
        </w:tc>
        <w:tc>
          <w:tcPr/>
          <w:p>
            <w:pPr>
              <w:pStyle w:val="Compact"/>
              <w:jc w:val="right"/>
            </w:pPr>
            <w:r>
              <w:t xml:space="preserve">+0.017</w:t>
            </w:r>
          </w:p>
        </w:tc>
      </w:tr>
      <w:tr>
        <w:tc>
          <w:tcPr/>
          <w:p>
            <w:pPr>
              <w:pStyle w:val="Compact"/>
              <w:jc w:val="left"/>
            </w:pPr>
            <w:r>
              <w:t xml:space="preserve">Construction: transport to site</w:t>
            </w:r>
          </w:p>
        </w:tc>
        <w:tc>
          <w:tcPr/>
          <w:p>
            <w:pPr>
              <w:pStyle w:val="Compact"/>
              <w:jc w:val="right"/>
            </w:pPr>
            <w:r>
              <w:t xml:space="preserve">0.004</w:t>
            </w:r>
          </w:p>
        </w:tc>
        <w:tc>
          <w:tcPr/>
          <w:p>
            <w:pPr>
              <w:pStyle w:val="Compact"/>
              <w:jc w:val="right"/>
            </w:pPr>
            <w:r>
              <w:t xml:space="preserve">0.006</w:t>
            </w:r>
          </w:p>
        </w:tc>
        <w:tc>
          <w:tcPr/>
          <w:p>
            <w:pPr>
              <w:pStyle w:val="Compact"/>
              <w:jc w:val="right"/>
            </w:pPr>
            <w:r>
              <w:t xml:space="preserve">0.002</w:t>
            </w:r>
          </w:p>
        </w:tc>
        <w:tc>
          <w:tcPr/>
          <w:p>
            <w:pPr>
              <w:pStyle w:val="Compact"/>
              <w:jc w:val="right"/>
            </w:pPr>
            <w:r>
              <w:t xml:space="preserve">0.012</w:t>
            </w:r>
          </w:p>
        </w:tc>
        <w:tc>
          <w:tcPr/>
          <w:p>
            <w:pPr>
              <w:pStyle w:val="Compact"/>
              <w:jc w:val="right"/>
            </w:pPr>
            <w:r>
              <w:t xml:space="preserve">0.1%</w:t>
            </w:r>
          </w:p>
        </w:tc>
        <w:tc>
          <w:tcPr/>
          <w:p>
            <w:pPr>
              <w:pStyle w:val="Compact"/>
              <w:jc w:val="right"/>
            </w:pPr>
            <w:r>
              <w:t xml:space="preserve">+0.002</w:t>
            </w:r>
          </w:p>
        </w:tc>
      </w:tr>
      <w:tr>
        <w:tc>
          <w:tcPr/>
          <w:p>
            <w:pPr>
              <w:pStyle w:val="Compact"/>
              <w:jc w:val="left"/>
            </w:pPr>
            <w:r>
              <w:rPr>
                <w:bCs/>
                <w:b/>
              </w:rPr>
              <w:t xml:space="preserve">Total</w:t>
            </w:r>
          </w:p>
        </w:tc>
        <w:tc>
          <w:tcPr/>
          <w:p>
            <w:pPr>
              <w:pStyle w:val="Compact"/>
              <w:jc w:val="right"/>
            </w:pPr>
            <w:r>
              <w:rPr>
                <w:bCs/>
                <w:b/>
              </w:rPr>
              <w:t xml:space="preserve">2.701</w:t>
            </w:r>
          </w:p>
        </w:tc>
        <w:tc>
          <w:tcPr/>
          <w:p>
            <w:pPr>
              <w:pStyle w:val="Compact"/>
              <w:jc w:val="right"/>
            </w:pPr>
            <w:r>
              <w:rPr>
                <w:bCs/>
                <w:b/>
              </w:rPr>
              <w:t xml:space="preserve">4.279</w:t>
            </w:r>
          </w:p>
        </w:tc>
        <w:tc>
          <w:tcPr/>
          <w:p>
            <w:pPr>
              <w:pStyle w:val="Compact"/>
            </w:pPr>
          </w:p>
        </w:tc>
        <w:tc>
          <w:tcPr/>
          <w:p>
            <w:pPr>
              <w:pStyle w:val="Compact"/>
            </w:pPr>
          </w:p>
        </w:tc>
        <w:tc>
          <w:tcPr/>
          <w:p>
            <w:pPr>
              <w:pStyle w:val="Compact"/>
              <w:jc w:val="right"/>
            </w:pPr>
            <w:r>
              <w:rPr>
                <w:bCs/>
                <w:b/>
              </w:rPr>
              <w:t xml:space="preserve">100%</w:t>
            </w:r>
          </w:p>
        </w:tc>
        <w:tc>
          <w:tcPr/>
          <w:p>
            <w:pPr>
              <w:pStyle w:val="Compact"/>
              <w:jc w:val="right"/>
            </w:pPr>
            <w:r>
              <w:rPr>
                <w:bCs/>
                <w:b/>
              </w:rPr>
              <w:t xml:space="preserve">+1.578</w:t>
            </w:r>
          </w:p>
        </w:tc>
      </w:tr>
    </w:tbl>
    <w:p>
      <w:pPr>
        <w:pStyle w:val="BodyText"/>
      </w:pPr>
      <w:r>
        <w:t xml:space="preserve">Grouped (expected basis): fuel front end 64.2%, back end and decommissioning 19.2%, O&amp;M 9.1%, construction 7.5% (0.321 / 4.279).</w:t>
      </w:r>
    </w:p>
    <w:p>
      <w:pPr>
        <w:pStyle w:val="BodyText"/>
      </w:pPr>
      <w:r>
        <w:rPr>
          <w:iCs/>
          <w:i/>
        </w:rPr>
        <w:t xml:space="preserve">Table C4. Scenario savings and life-cycle shares on the Monte Carlo basis (the basis of Table T8 in §6.3).</w:t>
      </w:r>
      <w:r>
        <w:t xml:space="preserve"> </w:t>
      </w:r>
      <w:r>
        <w:rPr>
          <w:iCs/>
          <w:i/>
        </w:rPr>
        <w:t xml:space="preserve">Source:</w:t>
      </w:r>
      <w:r>
        <w:rPr>
          <w:iCs/>
          <w:i/>
        </w:rPr>
        <w:t xml:space="preserve"> </w:t>
      </w:r>
      <w:r>
        <w:rPr>
          <w:rStyle w:val="VerbatimChar"/>
          <w:iCs/>
          <w:i/>
        </w:rPr>
        <w:t xml:space="preserve">results/lca_uncertainty.md</w:t>
      </w:r>
      <w:r>
        <w:rPr>
          <w:iCs/>
          <w:i/>
        </w:rPr>
        <w:t xml:space="preserve">. Each draw’s saving is divided by the same draw’s S0 life-cycle total. S3 rows are steel sensitivities, not part of C1; S3 world-average is negative (adds emissions).</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Scenario</w:t>
            </w:r>
          </w:p>
        </w:tc>
        <w:tc>
          <w:tcPr/>
          <w:p>
            <w:pPr>
              <w:pStyle w:val="Compact"/>
              <w:jc w:val="left"/>
            </w:pPr>
            <w:r>
              <w:t xml:space="preserve">Saving, t per unit: median (5th–95th)</w:t>
            </w:r>
          </w:p>
        </w:tc>
        <w:tc>
          <w:tcPr/>
          <w:p>
            <w:pPr>
              <w:pStyle w:val="Compact"/>
              <w:jc w:val="left"/>
            </w:pPr>
            <w:r>
              <w:t xml:space="preserve">Share of life cycle, %: median (5th–95th)</w:t>
            </w:r>
          </w:p>
        </w:tc>
        <w:tc>
          <w:tcPr/>
          <w:p>
            <w:pPr>
              <w:pStyle w:val="Compact"/>
              <w:jc w:val="right"/>
            </w:pPr>
            <w:r>
              <w:t xml:space="preserve">Mode-case share, %</w:t>
            </w:r>
          </w:p>
        </w:tc>
      </w:tr>
      <w:tr>
        <w:tc>
          <w:tcPr/>
          <w:p>
            <w:pPr>
              <w:pStyle w:val="Compact"/>
              <w:jc w:val="left"/>
            </w:pPr>
            <w:r>
              <w:t xml:space="preserve">S1 slag blend (C1 fallback)</w:t>
            </w:r>
          </w:p>
        </w:tc>
        <w:tc>
          <w:tcPr/>
          <w:p>
            <w:pPr>
              <w:pStyle w:val="Compact"/>
              <w:jc w:val="left"/>
            </w:pPr>
            <w:r>
              <w:t xml:space="preserve">1,642 (1,205–2,113)</w:t>
            </w:r>
          </w:p>
        </w:tc>
        <w:tc>
          <w:tcPr/>
          <w:p>
            <w:pPr>
              <w:pStyle w:val="Compact"/>
              <w:jc w:val="left"/>
            </w:pPr>
            <w:r>
              <w:t xml:space="preserve">0.276 (0.169–0.441)</w:t>
            </w:r>
          </w:p>
        </w:tc>
        <w:tc>
          <w:tcPr/>
          <w:p>
            <w:pPr>
              <w:pStyle w:val="Compact"/>
              <w:jc w:val="right"/>
            </w:pPr>
            <w:r>
              <w:t xml:space="preserve">0.405</w:t>
            </w:r>
          </w:p>
        </w:tc>
      </w:tr>
      <w:tr>
        <w:tc>
          <w:tcPr/>
          <w:p>
            <w:pPr>
              <w:pStyle w:val="Compact"/>
              <w:jc w:val="left"/>
            </w:pPr>
            <w:r>
              <w:t xml:space="preserve">S2 LC3 (C1 target binder)</w:t>
            </w:r>
          </w:p>
        </w:tc>
        <w:tc>
          <w:tcPr/>
          <w:p>
            <w:pPr>
              <w:pStyle w:val="Compact"/>
              <w:jc w:val="left"/>
            </w:pPr>
            <w:r>
              <w:t xml:space="preserve">1,742 (1,387–2,153)</w:t>
            </w:r>
          </w:p>
        </w:tc>
        <w:tc>
          <w:tcPr/>
          <w:p>
            <w:pPr>
              <w:pStyle w:val="Compact"/>
              <w:jc w:val="left"/>
            </w:pPr>
            <w:r>
              <w:t xml:space="preserve">0.295 (0.185–0.455)</w:t>
            </w:r>
          </w:p>
        </w:tc>
        <w:tc>
          <w:tcPr/>
          <w:p>
            <w:pPr>
              <w:pStyle w:val="Compact"/>
              <w:jc w:val="right"/>
            </w:pPr>
            <w:r>
              <w:t xml:space="preserve">0.452</w:t>
            </w:r>
          </w:p>
        </w:tc>
      </w:tr>
      <w:tr>
        <w:tc>
          <w:tcPr/>
          <w:p>
            <w:pPr>
              <w:pStyle w:val="Compact"/>
              <w:jc w:val="left"/>
            </w:pPr>
            <w:r>
              <w:t xml:space="preserve">S2b LC3 + slag elsewhere</w:t>
            </w:r>
          </w:p>
        </w:tc>
        <w:tc>
          <w:tcPr/>
          <w:p>
            <w:pPr>
              <w:pStyle w:val="Compact"/>
              <w:jc w:val="left"/>
            </w:pPr>
            <w:r>
              <w:t xml:space="preserve">2,746 (1,809–4,107)</w:t>
            </w:r>
          </w:p>
        </w:tc>
        <w:tc>
          <w:tcPr/>
          <w:p>
            <w:pPr>
              <w:pStyle w:val="Compact"/>
              <w:jc w:val="left"/>
            </w:pPr>
            <w:r>
              <w:t xml:space="preserve">0.463 (0.263–0.804)</w:t>
            </w:r>
          </w:p>
        </w:tc>
        <w:tc>
          <w:tcPr/>
          <w:p>
            <w:pPr>
              <w:pStyle w:val="Compact"/>
              <w:jc w:val="right"/>
            </w:pPr>
            <w:r>
              <w:t xml:space="preserve">0.649</w:t>
            </w:r>
          </w:p>
        </w:tc>
      </w:tr>
      <w:tr>
        <w:tc>
          <w:tcPr/>
          <w:p>
            <w:pPr>
              <w:pStyle w:val="Compact"/>
              <w:jc w:val="left"/>
            </w:pPr>
            <w:r>
              <w:t xml:space="preserve">S3 like-for-like (target-structure steel)</w:t>
            </w:r>
          </w:p>
        </w:tc>
        <w:tc>
          <w:tcPr/>
          <w:p>
            <w:pPr>
              <w:pStyle w:val="Compact"/>
              <w:jc w:val="left"/>
            </w:pPr>
            <w:r>
              <w:t xml:space="preserve">941 (404–1,581)</w:t>
            </w:r>
          </w:p>
        </w:tc>
        <w:tc>
          <w:tcPr/>
          <w:p>
            <w:pPr>
              <w:pStyle w:val="Compact"/>
              <w:jc w:val="left"/>
            </w:pPr>
            <w:r>
              <w:t xml:space="preserve">0.156 (0.064–0.302)</w:t>
            </w:r>
          </w:p>
        </w:tc>
        <w:tc>
          <w:tcPr/>
          <w:p>
            <w:pPr>
              <w:pStyle w:val="Compact"/>
              <w:jc w:val="right"/>
            </w:pPr>
            <w:r>
              <w:t xml:space="preserve">0.148</w:t>
            </w:r>
          </w:p>
        </w:tc>
      </w:tr>
      <w:tr>
        <w:tc>
          <w:tcPr/>
          <w:p>
            <w:pPr>
              <w:pStyle w:val="Compact"/>
              <w:jc w:val="left"/>
            </w:pPr>
            <w:r>
              <w:t xml:space="preserve">S3 upper bound (all steel, EAF sections factors)</w:t>
            </w:r>
          </w:p>
        </w:tc>
        <w:tc>
          <w:tcPr/>
          <w:p>
            <w:pPr>
              <w:pStyle w:val="Compact"/>
              <w:jc w:val="left"/>
            </w:pPr>
            <w:r>
              <w:t xml:space="preserve">4,731 (1,713–9,084)</w:t>
            </w:r>
          </w:p>
        </w:tc>
        <w:tc>
          <w:tcPr/>
          <w:p>
            <w:pPr>
              <w:pStyle w:val="Compact"/>
              <w:jc w:val="left"/>
            </w:pPr>
            <w:r>
              <w:t xml:space="preserve">0.787 (0.278–1.683)</w:t>
            </w:r>
          </w:p>
        </w:tc>
        <w:tc>
          <w:tcPr/>
          <w:p>
            <w:pPr>
              <w:pStyle w:val="Compact"/>
              <w:jc w:val="right"/>
            </w:pPr>
            <w:r>
              <w:t xml:space="preserve">0.969</w:t>
            </w:r>
          </w:p>
        </w:tc>
      </w:tr>
      <w:tr>
        <w:tc>
          <w:tcPr/>
          <w:p>
            <w:pPr>
              <w:pStyle w:val="Compact"/>
              <w:jc w:val="left"/>
            </w:pPr>
            <w:r>
              <w:t xml:space="preserve">S3 world-average steel</w:t>
            </w:r>
          </w:p>
        </w:tc>
        <w:tc>
          <w:tcPr/>
          <w:p>
            <w:pPr>
              <w:pStyle w:val="Compact"/>
              <w:jc w:val="left"/>
            </w:pPr>
            <w:r>
              <w:t xml:space="preserve">−6,695 (−10,805 to −3,178)</w:t>
            </w:r>
          </w:p>
        </w:tc>
        <w:tc>
          <w:tcPr/>
          <w:p>
            <w:pPr>
              <w:pStyle w:val="Compact"/>
              <w:jc w:val="left"/>
            </w:pPr>
            <w:r>
              <w:t xml:space="preserve">−1.114 (−2.109 to −0.492)</w:t>
            </w:r>
          </w:p>
        </w:tc>
        <w:tc>
          <w:tcPr/>
          <w:p>
            <w:pPr>
              <w:pStyle w:val="Compact"/>
              <w:jc w:val="right"/>
            </w:pPr>
            <w:r>
              <w:t xml:space="preserve">−2.192</w:t>
            </w:r>
          </w:p>
        </w:tc>
      </w:tr>
    </w:tbl>
    <w:p>
      <w:pPr>
        <w:pStyle w:val="BodyText"/>
      </w:pPr>
      <w:r>
        <w:rPr>
          <w:bCs/>
          <w:b/>
        </w:rPr>
        <w:t xml:space="preserve">Why plate steel falls (−0.010).</w:t>
      </w:r>
      <w:r>
        <w:t xml:space="preserve"> </w:t>
      </w:r>
      <w:r>
        <w:t xml:space="preserve">Plate steel is total steel minus rebar, and rebar scales with plant concrete (capped at total steel; Appendix A3). Concrete intensity is right-skewed (34.5–69–138 m³/MWe), so expected rebar rises above its mode value, while steel intensity is slightly left-skewed (16.5–33–46 t/MWe). Expected plate steel is therefore below its mode value, even though expected total steel emissions (rebar plus plate) rise.</w:t>
      </w:r>
    </w:p>
    <w:bookmarkEnd w:id="106"/>
    <w:bookmarkStart w:id="107" w:name="X62d4c771b19bf733ac0046ab84ee2e69e047196"/>
    <w:p>
      <w:pPr>
        <w:pStyle w:val="Heading3"/>
      </w:pPr>
      <w:r>
        <w:t xml:space="preserve">C5. Why the median (4.2) sits above the mode case (2.7)</w:t>
      </w:r>
    </w:p>
    <w:p>
      <w:pPr>
        <w:pStyle w:val="FirstParagraph"/>
      </w:pPr>
      <w:r>
        <w:rPr>
          <w:bCs/>
          <w:b/>
        </w:rPr>
        <w:t xml:space="preserve">Result.</w:t>
      </w:r>
      <w:r>
        <w:t xml:space="preserve"> </w:t>
      </w:r>
      <w:r>
        <w:t xml:space="preserve">The gap is real information, not an error: the inputs we know least about have long upper tails, so they can mostly push the result up.</w:t>
      </w:r>
    </w:p>
    <w:p>
      <w:pPr>
        <w:numPr>
          <w:ilvl w:val="0"/>
          <w:numId w:val="1016"/>
        </w:numPr>
        <w:pStyle w:val="Compact"/>
      </w:pPr>
      <w:r>
        <w:t xml:space="preserve">A triangular distribution’s mean is (low + mode + high) / 3. For conversion heat that is (26 + 26 + 665) / 3 = 239 kWh/kg U, nine times the mode of 26.</w:t>
      </w:r>
    </w:p>
    <w:p>
      <w:pPr>
        <w:numPr>
          <w:ilvl w:val="0"/>
          <w:numId w:val="1016"/>
        </w:numPr>
        <w:pStyle w:val="Compact"/>
      </w:pPr>
      <w:r>
        <w:t xml:space="preserve">Conversion therefore contributes +0.97 of the +1.58 g/kWh gap (Table C3). Mining (+0.23), the back end (+0.09), enrichment (+0.08), O&amp;M (+0.06), decommissioning (+0.06) and the construction uplift (+0.06) add most of the rest.</w:t>
      </w:r>
    </w:p>
    <w:p>
      <w:pPr>
        <w:numPr>
          <w:ilvl w:val="0"/>
          <w:numId w:val="1016"/>
        </w:numPr>
        <w:pStyle w:val="Compact"/>
      </w:pPr>
      <w:r>
        <w:t xml:space="preserve">The LC3 saving is almost symmetric (mode 1,734 t, median 1,742 t), so its share of the total falls from 0.45% (mode case) to 0.29% (median).</w:t>
      </w:r>
    </w:p>
    <w:p>
      <w:pPr>
        <w:numPr>
          <w:ilvl w:val="0"/>
          <w:numId w:val="1016"/>
        </w:numPr>
        <w:pStyle w:val="Compact"/>
      </w:pPr>
      <w:r>
        <w:t xml:space="preserve">We therefore quote the median as the result and the mode case only as</w:t>
      </w:r>
      <w:r>
        <w:t xml:space="preserve"> </w:t>
      </w:r>
      <w:r>
        <w:t xml:space="preserve">“</w:t>
      </w:r>
      <w:r>
        <w:t xml:space="preserve">every input at its most likely value</w:t>
      </w:r>
      <w:r>
        <w:t xml:space="preserve">”</w:t>
      </w:r>
      <w:r>
        <w:t xml:space="preserve">. A measured conversion value would collapse most of the gap [TODO: source needed: Cameco Port Hope facility emissions divided by UF₆ output].</w:t>
      </w:r>
    </w:p>
    <w:p>
      <w:pPr>
        <w:numPr>
          <w:ilvl w:val="0"/>
          <w:numId w:val="1016"/>
        </w:numPr>
        <w:pStyle w:val="Compact"/>
      </w:pPr>
      <w:r>
        <w:t xml:space="preserve">Because one distribution choice carries most of the gap, Table C2’s last two rows re-run the Monte Carlo with conversion heat fixed at 26 kWh/kg U and with a log-uniform 26–665 distribution. The median does not stay near 4.2: it is 3.31 and 3.91 respectively, so the headline is partly an artefact of the triangular shape. §6 therefore reports the</w:t>
      </w:r>
      <w:r>
        <w:t xml:space="preserve"> </w:t>
      </w:r>
      <w:r>
        <w:rPr>
          <w:bCs/>
          <w:b/>
        </w:rPr>
        <w:t xml:space="preserve">range of medians, 3.3–4.2 g CO₂e/kWh</w:t>
      </w:r>
      <w:r>
        <w:t xml:space="preserve">. Conversion heat accounts for about 0.9 g/kWh of the median (4.18 − 3.31 = 0.87) and decides how skewed the result is, which makes a measured value the single most useful datum to find.</w:t>
      </w:r>
    </w:p>
    <w:bookmarkEnd w:id="107"/>
    <w:bookmarkStart w:id="108" w:name="X861311e05ca973e4ff92563d183b5e9367fe19f"/>
    <w:p>
      <w:pPr>
        <w:pStyle w:val="Heading3"/>
      </w:pPr>
      <w:r>
        <w:t xml:space="preserve">C6. Limitations of the uncertainty analysis</w:t>
      </w:r>
    </w:p>
    <w:p>
      <w:pPr>
        <w:numPr>
          <w:ilvl w:val="0"/>
          <w:numId w:val="1017"/>
        </w:numPr>
        <w:pStyle w:val="Compact"/>
      </w:pPr>
      <w:r>
        <w:rPr>
          <w:bCs/>
          <w:b/>
        </w:rPr>
        <w:t xml:space="preserve">Independence.</w:t>
      </w:r>
      <w:r>
        <w:t xml:space="preserve"> </w:t>
      </w:r>
      <w:r>
        <w:t xml:space="preserve">Inputs are drawn independently. Concrete and steel intensities are probably positively correlated (bigger plants need more of both), which would widen the construction tail slightly; enrichment and burnup are also linked in practice. The effect on the total is small because construction is about 7.5%.</w:t>
      </w:r>
    </w:p>
    <w:p>
      <w:pPr>
        <w:numPr>
          <w:ilvl w:val="0"/>
          <w:numId w:val="1017"/>
        </w:numPr>
        <w:pStyle w:val="Compact"/>
      </w:pPr>
      <w:r>
        <w:rPr>
          <w:bCs/>
          <w:b/>
        </w:rPr>
        <w:t xml:space="preserve">Ranges partly judgement.</w:t>
      </w:r>
      <w:r>
        <w:t xml:space="preserve"> </w:t>
      </w:r>
      <w:r>
        <w:t xml:space="preserve">Ranges marked A or P in Table C1 are our assumptions; ×0.5 to ×2 transfer ranges on the EDF stages are not data.</w:t>
      </w:r>
    </w:p>
    <w:p>
      <w:pPr>
        <w:numPr>
          <w:ilvl w:val="0"/>
          <w:numId w:val="1017"/>
        </w:numPr>
        <w:pStyle w:val="Compact"/>
      </w:pPr>
      <w:r>
        <w:rPr>
          <w:bCs/>
          <w:b/>
        </w:rPr>
        <w:t xml:space="preserve">Triangular shape.</w:t>
      </w:r>
      <w:r>
        <w:t xml:space="preserve"> </w:t>
      </w:r>
      <w:r>
        <w:t xml:space="preserve">A convention, not a fitted distribution.</w:t>
      </w:r>
    </w:p>
    <w:p>
      <w:pPr>
        <w:numPr>
          <w:ilvl w:val="0"/>
          <w:numId w:val="1017"/>
        </w:numPr>
        <w:pStyle w:val="Compact"/>
      </w:pPr>
      <w:r>
        <w:rPr>
          <w:bCs/>
          <w:b/>
        </w:rPr>
        <w:t xml:space="preserve">Unverified inputs.</w:t>
      </w:r>
      <w:r>
        <w:t xml:space="preserve"> </w:t>
      </w:r>
      <w:r>
        <w:t xml:space="preserve">Every V in Table C1 is a search lead. The intervals will move when the primaries are opened.</w:t>
      </w:r>
    </w:p>
    <w:p>
      <w:pPr>
        <w:numPr>
          <w:ilvl w:val="0"/>
          <w:numId w:val="1017"/>
        </w:numPr>
        <w:pStyle w:val="Compact"/>
      </w:pPr>
      <w:r>
        <w:rPr>
          <w:bCs/>
          <w:b/>
        </w:rPr>
        <w:t xml:space="preserve">Model structure not varied.</w:t>
      </w:r>
      <w:r>
        <w:t xml:space="preserve"> </w:t>
      </w:r>
      <w:r>
        <w:t xml:space="preserve">The boundary (process-based stages plus three stages transferred as per-kWh values) and the cut-offs (§6.1) are not sampled; they bias the result low (§6.5, Table T9).</w:t>
      </w:r>
    </w:p>
    <w:p>
      <w:r>
        <w:pict>
          <v:rect style="width:0;height:1.5pt" o:hralign="center" o:hrstd="t" o:hr="t"/>
        </w:pict>
      </w:r>
    </w:p>
    <w:bookmarkEnd w:id="108"/>
    <w:bookmarkEnd w:id="109"/>
    <w:bookmarkStart w:id="110" w:name="appendix-e-search-log.md"/>
    <w:p>
      <w:pPr>
        <w:pStyle w:val="Heading2"/>
      </w:pPr>
      <w:r>
        <w:t xml:space="preserve">appendix-E-search-log.md</w:t>
      </w:r>
    </w:p>
    <w:p>
      <w:pPr>
        <w:pStyle w:val="FirstParagraph"/>
      </w:pPr>
      <w:r>
        <w:rPr>
          <w:bCs/>
          <w:b/>
        </w:rPr>
        <w:t xml:space="preserve">[TODO: not yet in the repo]</w:t>
      </w:r>
    </w:p>
    <w:bookmarkEnd w:id="110"/>
    <w:bookmarkEnd w:id="111"/>
    <w:sectPr>
      <w:headerReference r:id="rId9" w:type="default"/>
      <w:headerReference r:id="rId10" w:type="first"/>
      <w:footerReference r:id="rId11" w:type="default"/>
      <w:footerReference r:id="rId12" w:type="first"/>
      <w:pgSz w:h="16834" w:orient="portrait" w:w="11909"/>
      <w:pgMar w:bottom="1440" w:footer="720.0000000000001" w:header="720.0000000000001" w:left="1440" w:right="1440" w:top="1440"/>
      <w:pgNumType w:start="0"/>
      <w:titlePg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jc w:val="left"/>
      <w:rPr>
        <w:color w:val="666666"/>
      </w:rPr>
    </w:pPr>
    <w:r w:rsidDel="00000000" w:rsidR="00000000" w:rsidRPr="00000000">
      <w:rPr>
        <w:color w:val="666666"/>
        <w:rtl w:val="0"/>
      </w:rPr>
      <w:t xml:space="preserve">  </w:t>
      <w:tab/>
      <w:tab/>
      <w:tab/>
      <w:tab/>
      <w:tab/>
      <w:tab/>
      <w:tab/>
      <w:tab/>
      <w:tab/>
      <w:tab/>
      <w:tab/>
      <w:tab/>
    </w:r>
    <w:r w:rsidDel="00000000" w:rsidR="00000000" w:rsidRPr="00000000">
      <w:rPr>
        <w:color w:val="666666"/>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rPr/>
    </w:pP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rPr/>
    </w:pP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314325</wp:posOffset>
          </wp:positionV>
          <wp:extent cx="1401465" cy="595313"/>
          <wp:effectExtent b="0" l="0" r="0" t="0"/>
          <wp:wrapNone/>
          <wp:docPr id="10"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401465" cy="595313"/>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-457197</wp:posOffset>
          </wp:positionV>
          <wp:extent cx="887738" cy="318131"/>
          <wp:effectExtent b="0" l="0" r="0" t="0"/>
          <wp:wrapNone/>
          <wp:docPr id="8"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887738" cy="318131"/>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rPr/>
    </w:pP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9086850</wp:posOffset>
          </wp:positionV>
          <wp:extent cx="887738" cy="318131"/>
          <wp:effectExtent b="0" l="0" r="0" t="0"/>
          <wp:wrapSquare wrapText="bothSides" distB="114300" distT="114300" distL="114300" distR="114300"/>
          <wp:docPr id="7"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887738" cy="318131"/>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9858375</wp:posOffset>
          </wp:positionV>
          <wp:extent cx="1401465" cy="595313"/>
          <wp:effectExtent b="0" l="0" r="0" t="0"/>
          <wp:wrapNone/>
          <wp:docPr id="9"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401465" cy="595313"/>
                  </a:xfrm>
                  <a:prstGeom prst="rect"/>
                  <a:ln/>
                </pic:spPr>
              </pic:pic>
            </a:graphicData>
          </a:graphic>
        </wp:anchor>
      </w:drawing>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o"/>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o"/>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o"/>
      <w:lvlJc w:val="left"/>
      <w:pPr>
        <w:ind w:hanging="360" w:left="5760"/>
      </w:pPr>
      <w:rPr>
        <w:u w:val="none"/>
      </w:rPr>
    </w:lvl>
    <w:lvl w:ilvl="8">
      <w:start w:val="1"/>
      <w:numFmt w:val="bullet"/>
      <w:lvlText w:val="▪"/>
      <w:lvlJc w:val="left"/>
      <w:pPr>
        <w:ind w:hanging="360" w:left="6480"/>
      </w:pPr>
      <w:rPr>
        <w:u w:val="none"/>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defaultTabStop w:val="720"/>
  <w:compat>
    <w:compatSetting w:name="compatibilityMode" w:uri="http://schemas.microsoft.com/office/word" w:val="15"/>
  </w:compat>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ptos" w:cs="Aptos" w:eastAsia="Aptos" w:hAnsi="Aptos"/>
        <w:sz w:val="22"/>
        <w:szCs w:val="22"/>
        <w:lang w:val="en_GB"/>
      </w:rPr>
    </w:rPrDefault>
    <w:pPrDefault>
      <w:pPr>
        <w:spacing w:after="160" w:line="278.0000000000000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rPr>
  </w:style>
  <w:style w:styleId="Heading2" w:type="paragraph">
    <w:name w:val="heading 2"/>
    <w:basedOn w:val="Normal"/>
    <w:next w:val="Normal"/>
    <w:pPr>
      <w:keepNext w:val="1"/>
      <w:keepLines w:val="1"/>
      <w:pageBreakBefore w:val="0"/>
      <w:spacing w:after="120" w:before="360" w:lineRule="auto"/>
    </w:pPr>
    <w:rPr>
      <w:b w:val="0"/>
      <w:bCs w:val="0"/>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default="1" w:styleId="Normal" w:type="paragraph">
    <w:name w:val="normal"/>
  </w:style>
  <w:style w:default="1" w:styleId="TableNormal" w:type="table">
    <w:name w:val="Table Normal"/>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 modular reactors: DRAFT (assembled from sections)</dc:title>
  <dc:creator/>
  <cp:keywords/>
  <dcterms:created xsi:type="dcterms:W3CDTF">2026-10-21T21:57:31Z</dcterms:created>
  <dcterms:modified xsi:type="dcterms:W3CDTF">2026-10-21T21:57:31Z</dcterms:modified>
</cp:coreProperties>
</file>

<file path=docProps/custom.xml><?xml version="1.0" encoding="utf-8"?>
<Properties xmlns="http://schemas.openxmlformats.org/officeDocument/2006/custom-properties" xmlns:vt="http://schemas.openxmlformats.org/officeDocument/2006/docPropsVTypes"/>
</file>