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0.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spacing w:before="3600" w:after="120"/>
      </w:pPr>
      <w:r>
        <w:rPr/>
        <w:t xml:space="preserve">Small Modular Reactors</w:t>
      </w:r>
    </w:p>
    <w:p>
      <w:pPr>
        <w:pStyle w:val="Subtitle"/>
        <w:jc w:val="center"/>
        <w:spacing w:before="0" w:after="120"/>
      </w:pPr>
      <w:r>
        <w:rPr/>
        <w:t xml:space="preserve">MTE4593 Assignment 2</w:t>
      </w:r>
    </w:p>
    <w:p>
      <w:pPr>
        <w:jc w:val="center"/>
        <w:spacing w:before="240" w:after="120"/>
      </w:pPr>
      <w:r>
        <w:rPr>
          <w:sz w:val="22"/>
          <w:szCs w:val="22"/>
          <w:i/>
        </w:rPr>
        <w:t xml:space="preserve">Where small modular reactors cut the most carbon, what holds them back, and a low-clinker concrete initiative for Darlington</w:t>
      </w:r>
    </w:p>
    <w:p>
      <w:pPr>
        <w:jc w:val="center"/>
        <w:spacing w:before="600" w:after="120"/>
      </w:pPr>
      <w:r>
        <w:rPr>
          <w:sz w:val="20"/>
          <w:szCs w:val="20"/>
        </w:rPr>
        <w:t xml:space="preserve">Authors: Leroy Louis Jean (33880212), Sam [surname] ([student ID]), Victor Clarke ([student ID])</w:t>
      </w:r>
    </w:p>
    <w:p>
      <w:pPr>
        <w:jc w:val="center"/>
        <w:spacing w:before="0" w:after="120"/>
      </w:pPr>
      <w:r>
        <w:rPr>
          <w:sz w:val="20"/>
          <w:szCs w:val="20"/>
        </w:rPr>
        <w:t xml:space="preserve">Date of Submission: 25 October 2026</w:t>
      </w:r>
    </w:p>
    <w:p>
      <w:r>
        <w:br w:type="page"/>
      </w:r>
    </w:p>
    <w:bookmarkStart w:id="20" w:name="abstract"/>
    <w:p>
      <w:pPr>
        <w:pStyle w:val="Heading1"/>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p>
      <w:r>
        <w:br w:type="page"/>
      </w:r>
    </w:p>
    <w:p>
      <w:pPr>
        <w:pStyle w:val="Heading1"/>
      </w:pPr>
      <w:r>
        <w:t>Table of Contents</w:t>
      </w:r>
    </w:p>
    <w:p>
      <w:r>
        <w:fldChar w:fldCharType="begin" w:dirty="true"/>
      </w:r>
      <w:r>
        <w:instrText xml:space="preserve">TOC \o "1-2" \h \z \u</w:instrText>
      </w:r>
      <w:r>
        <w:fldChar w:fldCharType="separate"/>
      </w:r>
      <w:r>
        <w:t>Right-click here and choose Update Field to build the table of contents.</w:t>
      </w:r>
      <w:r>
        <w:fldChar w:fldCharType="end"/>
      </w:r>
    </w:p>
    <w:p>
      <w:r>
        <w:br w:type="page"/>
      </w:r>
    </w:p>
    <w:bookmarkEnd w:id="20"/>
    <w:bookmarkStart w:id="21" w:name="introduction"/>
    <w:p>
      <w:pPr>
        <w:pStyle w:val="Heading1"/>
      </w:pPr>
      <w:r>
        <w:t xml:space="preserve">1 Introduction</w:t>
      </w:r>
    </w:p>
    <w:p>
      <w:pPr>
        <w:pStyle w:val="FirstParagraph"/>
      </w:pPr>
      <w: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(Section 3.6.1).</w:t>
      </w:r>
      <w:r>
        <w:t xml:space="preserve"> </w:t>
      </w:r>
      <w:r>
        <w:rPr>
          <w:iCs/>
          <w:i/>
        </w:rPr>
        <w:t xml:space="preserve">Liddell</w:t>
      </w:r>
      <w:r>
        <w:t xml:space="preserve"> </w:t>
      </w:r>
      <w:r>
        <w:t xml:space="preserve">is the Australian comparison, a closed coal site with a grid connection.</w:t>
      </w:r>
    </w:p>
    <w:p>
      <w:pPr>
        <w:pStyle w:val="BodyText"/>
      </w:pPr>
      <w:r>
        <w:t xml:space="preserve">OPG should pilot limestone calcined clay cement (LC³) in eligible non-safety works first, using it in the steel-composite infill only if qualified and schedule-neutral (Sections 3.1.1–3.1.4, Section 3.1.5).</w:t>
      </w:r>
    </w:p>
    <w:p>
      <w:pPr>
        <w:pStyle w:val="BodyText"/>
      </w:pPr>
      <w:r>
        <w:t xml:space="preserve">We answer four research questions.</w:t>
      </w:r>
    </w:p>
    <w:p>
      <w:pPr>
        <w:numPr>
          <w:ilvl w:val="0"/>
          <w:numId w:val="1001"/>
        </w:numPr>
        <w:pStyle w:val="Compact"/>
      </w:pPr>
      <w:r>
        <w:t xml:space="preserve">What does one BWRX-300 emit, and where? (Section 3.2)</w:t>
      </w:r>
    </w:p>
    <w:p>
      <w:pPr>
        <w:numPr>
          <w:ilvl w:val="0"/>
          <w:numId w:val="1001"/>
        </w:numPr>
        <w:pStyle w:val="Compact"/>
      </w:pPr>
      <w:r>
        <w:t xml:space="preserve">How much does C1 save, and what delay cancels it? (Sections 3.2–3.3)</w:t>
      </w:r>
    </w:p>
    <w:p>
      <w:pPr>
        <w:numPr>
          <w:ilvl w:val="0"/>
          <w:numId w:val="1001"/>
        </w:numPr>
        <w:pStyle w:val="Compact"/>
      </w:pPr>
      <w:r>
        <w:t xml:space="preserve">Does a unit’s climate value differ between Ontario and Liddell? (Section 3.3)</w:t>
      </w:r>
    </w:p>
    <w:p>
      <w:pPr>
        <w:numPr>
          <w:ilvl w:val="0"/>
          <w:numId w:val="1001"/>
        </w:numPr>
        <w:pStyle w:val="Compact"/>
      </w:pPr>
      <w:r>
        <w:t xml:space="preserve">Which barriers decide whether an SMR is built, and does it beat firmed renewables? (Section 3.1.3, Sections 3.4–3.7)</w:t>
      </w:r>
    </w:p>
    <w:p>
      <w:r>
        <w:pict>
          <v:rect style="width:0;height:1.5pt" o:hralign="center" o:hrstd="t" o:hr="t"/>
        </w:pict>
      </w:r>
    </w:p>
    <w:bookmarkEnd w:id="21"/>
    <w:bookmarkStart w:id="22" w:name="data-sourcesmethodology"/>
    <w:p>
      <w:pPr>
        <w:pStyle w:val="Heading1"/>
      </w:pPr>
      <w:r>
        <w:t xml:space="preserve">2 Data Sources/Methodology</w:t>
      </w:r>
    </w:p>
    <w:p>
      <w:pPr>
        <w:pStyle w:val="FirstParagraph"/>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t xml:space="preserve">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p>
    <w:p>
      <w:pPr>
        <w:pStyle w:val="BodyText"/>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22"/>
    <w:bookmarkStart w:id="77" w:name="discussion"/>
    <w:p>
      <w:pPr>
        <w:pStyle w:val="Heading1"/>
      </w:pPr>
      <w:r>
        <w:t xml:space="preserve">3 Discussion</w:t>
      </w:r>
    </w:p>
    <w:bookmarkStart w:id="28" w:name="overview-of-smr"/>
    <w:p>
      <w:pPr>
        <w:pStyle w:val="Heading2"/>
      </w:pPr>
      <w:r>
        <w:t xml:space="preserve">3.1 Overview of SMR</w:t>
      </w:r>
    </w:p>
    <w:bookmarkStart w:id="23" w:name="current-projects-and-patents"/>
    <w:p>
      <w:pPr>
        <w:pStyle w:val="Heading3"/>
      </w:pPr>
      <w:r>
        <w:t xml:space="preserve">3.1.1 Current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T1.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p>
    <w:bookmarkEnd w:id="23"/>
    <w:bookmarkStart w:id="24" w:name="Xb1ffc1080fdf38f7feb2061406364c544a34d75"/>
    <w:p>
      <w:pPr>
        <w:pStyle w:val="Heading3"/>
      </w:pPr>
      <w:r>
        <w:t xml:space="preserve">3.1.2 Technical Descriptions: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p>
    <w:bookmarkEnd w:id="24"/>
    <w:bookmarkStart w:id="25" w:name="X282bf2c80aeb6e14a6d21bd058e6df252031dca"/>
    <w:p>
      <w:pPr>
        <w:pStyle w:val="Heading3"/>
      </w:pPr>
      <w:r>
        <w:t xml:space="preserve">3.1.3 Barriers to cutting emissions with small modular reactors</w:t>
      </w:r>
    </w:p>
    <w:p>
      <w:pPr>
        <w:pStyle w:val="FirstParagraph"/>
      </w:pPr>
      <w:r>
        <w:t xml:space="preserve">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pPr>
      <w:r>
        <w:rPr>
          <w:iCs/>
          <w:i/>
        </w:rPr>
        <w:t xml:space="preserve">Table T2.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3.5.1)</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3.3)</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3.5.2)</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3.2)</w:t>
            </w:r>
          </w:p>
        </w:tc>
        <w:tc>
          <w:tcPr/>
          <w:p>
            <w:pPr>
              <w:pStyle w:val="Compact"/>
              <w:jc w:val="left"/>
            </w:pPr>
            <w:r>
              <w:t xml:space="preserve">Infill concrete needs nuclear qualification before Units 2–4 are fixed (Section 3.6.1)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3.4.2)</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3.4.2)</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3.4.2)</w:t>
            </w:r>
          </w:p>
        </w:tc>
        <w:tc>
          <w:tcPr/>
          <w:p>
            <w:pPr>
              <w:pStyle w:val="Compact"/>
              <w:jc w:val="left"/>
            </w:pPr>
            <w:r>
              <w:t xml:space="preserve">No</w:t>
            </w:r>
          </w:p>
        </w:tc>
      </w:tr>
    </w:tbl>
    <w:p>
      <w:pPr>
        <w:pStyle w:val="BodyText"/>
      </w:pPr>
      <w:r>
        <w:t xml:space="preserve">C1 moves only rows 2 and 5; Section 3.3 and Section 3.6.2 test the schedule risk.</w:t>
      </w:r>
    </w:p>
    <w:p>
      <w:r>
        <w:pict>
          <v:rect style="width:0;height:1.5pt" o:hralign="center" o:hrstd="t" o:hr="t"/>
        </w:pict>
      </w:r>
    </w:p>
    <w:bookmarkEnd w:id="25"/>
    <w:bookmarkStart w:id="26" w:name="X90098c7b12d1bfce5617586e418e3203c93a876"/>
    <w:p>
      <w:pPr>
        <w:pStyle w:val="Heading3"/>
      </w:pPr>
      <w:r>
        <w:t xml:space="preserve">3.1.4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BodyText"/>
      </w:pPr>
      <w:r>
        <w:t xml:space="preserve">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3.2.3;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pPr>
      <w:r>
        <w:t xml:space="preserve">What C1 does not address. It leaves cost, law, fuel supply, social licence and workforce untouched (Table T2); lower-carbon steel in the same structures is the next lever (Section 3.2.3, Section 3.8).</w:t>
      </w:r>
    </w:p>
    <w:p>
      <w:r>
        <w:pict>
          <v:rect style="width:0;height:1.5pt" o:hralign="center" o:hrstd="t" o:hr="t"/>
        </w:pict>
      </w:r>
    </w:p>
    <w:bookmarkEnd w:id="26"/>
    <w:bookmarkStart w:id="27" w:name="materials-from-extraction-to-end-of-life"/>
    <w:p>
      <w:pPr>
        <w:pStyle w:val="Heading3"/>
      </w:pPr>
      <w:r>
        <w:t xml:space="preserve">3.1.5 Materials from extraction to end-of-life</w:t>
      </w:r>
    </w:p>
    <w:p>
      <w:pPr>
        <w:pStyle w:val="FirstParagraph"/>
      </w:pPr>
      <w:r>
        <w:t xml:space="preserve">For C1, the binder’s carbon arises in the kiln, but its risks arise in the pour and at decommissioning. Stages follow Section 3.2’s boundary; operation, decommissioning and waste use published per-kWh values (Section 3.2.1).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3.8)</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3.8).</w:t>
      </w:r>
    </w:p>
    <w:bookmarkEnd w:id="27"/>
    <w:bookmarkEnd w:id="28"/>
    <w:bookmarkStart w:id="49" w:name="lifecycle-analysis"/>
    <w:p>
      <w:pPr>
        <w:pStyle w:val="Heading2"/>
      </w:pPr>
      <w:r>
        <w:t xml:space="preserve">3.2 Lifecycle Analysis</w:t>
      </w:r>
    </w:p>
    <w:p>
      <w:pPr>
        <w:pStyle w:val="FirstParagraph"/>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bookmarkStart w:id="32" w:name="goal-scope-and-method"/>
    <w:p>
      <w:pPr>
        <w:pStyle w:val="Heading3"/>
      </w:pPr>
      <w:r>
        <w:t xml:space="preserve">3.2.1 Goal, scope and method</w:t>
      </w:r>
    </w:p>
    <w:p>
      <w:pPr>
        <w:pStyle w:val="FirstParagraph"/>
      </w:pP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pPr>
      <w:r>
        <w:t xml:space="preserve">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p>
    <w:p>
      <w:pPr>
        <w:pStyle w:val="BodyText"/>
      </w:pPr>
      <w:r>
        <w:t xml:space="preserve">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3.2.2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3.2.4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7.2–17.8% across draws). The C1-eligible concrete is only 1.9% of the mode-case total, so C1 acts on about one-fiftieth of the footprint.</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3.2.3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pPr>
      <w:r>
        <w:t xml:space="preserve">For the triple-bottom-line evaluation (Section 3.7), C1 is environmentally positive but marginal; feasibility hinges on qualification and schedule.</w:t>
      </w:r>
    </w:p>
    <w:bookmarkEnd w:id="37"/>
    <w:bookmarkStart w:id="44" w:name="uncertainty-tornado-and-monte-carlo"/>
    <w:p>
      <w:pPr>
        <w:pStyle w:val="Heading3"/>
      </w:pPr>
      <w:r>
        <w:t xml:space="preserve">3.2.4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3.2.5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t xml:space="preserve">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Section 3.2.3.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3ddf3e033a24408f4e033b74259d967de4cad05"/>
    <w:p>
      <w:pPr>
        <w:pStyle w:val="Heading2"/>
      </w:pPr>
      <w:r>
        <w:t xml:space="preserve">3.3 National Strategies and Industrial Policies: Carbon Avoided in Ontario and Australia</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3.3.1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p>
    <w:bookmarkEnd w:id="50"/>
    <w:bookmarkStart w:id="54" w:name="Xb77cf30fc1ffb1f20fb94e7af23c490604b5f45"/>
    <w:p>
      <w:pPr>
        <w:pStyle w:val="Heading3"/>
      </w:pPr>
      <w:r>
        <w:t xml:space="preserve">3.3.2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pPr>
      <w:r>
        <w:t xml:space="preserve">An SMR’s climate value depends on when it runs and what it displaces, not on today’s coal share. 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3.3.3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5" w:name="stakeholder-analysis"/>
    <w:p>
      <w:pPr>
        <w:pStyle w:val="Heading2"/>
      </w:pPr>
      <w:r>
        <w:t xml:space="preserve">3.4 Stakeholder Analysis</w:t>
      </w:r>
    </w:p>
    <w:bookmarkStart w:id="63" w:name="stakeholders-and-money-flows"/>
    <w:p>
      <w:pPr>
        <w:pStyle w:val="Heading3"/>
      </w:pPr>
      <w:r>
        <w:t xml:space="preserve">3.4.1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3.4–3.6. Source: this study, Appendix B8.2." title="" id="61" name="Picture"/>
            <a:graphic>
              <a:graphicData uri="http://schemas.openxmlformats.org/drawingml/2006/picture">
                <pic:pic>
                  <pic:nvPicPr>
                    <pic:cNvPr descr="/home/user/MTE4593-Group-Assignment/03_LCA_Calculations/results/F8_stakeholder_map.png" id="62" name="Picture"/>
                    <pic:cNvPicPr>
                      <a:picLocks noChangeArrowheads="1" noChangeAspect="1"/>
                    </pic:cNvPicPr>
                  </pic:nvPicPr>
                  <pic:blipFill>
                    <a:blip r:embed="rId60"/>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3.4–3.6. Source: this study, Appendix B8.2.</w:t>
      </w:r>
    </w:p>
    <w:p>
      <w:pPr>
        <w:pStyle w:val="BodyText"/>
      </w:pPr>
      <w:r>
        <w:rPr>
          <w:iCs/>
          <w:i/>
        </w:rPr>
        <w:t xml:space="preserve">Table T7.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(Section 3.4.2)</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(Section 3.4.2)</w:t>
            </w:r>
          </w:p>
        </w:tc>
      </w:tr>
    </w:tbl>
    <w:p>
      <w:r>
        <w:pict>
          <v:rect style="width:0;height:1.5pt" o:hralign="center" o:hrstd="t" o:hr="t"/>
        </w:pict>
      </w:r>
    </w:p>
    <w:bookmarkEnd w:id="63"/>
    <w:bookmarkStart w:id="64" w:name="social-licence"/>
    <w:p>
      <w:pPr>
        <w:pStyle w:val="Heading3"/>
      </w:pPr>
      <w:r>
        <w:t xml:space="preserve">3.4.2 Social licence</w:t>
      </w:r>
    </w:p>
    <w:p>
      <w:pPr>
        <w:pStyle w:val="FirstParagraph"/>
      </w:pPr>
      <w:r>
        <w:t xml:space="preserve">The same reactor has a social licence at Darlington and none at Liddell. Safety data do not explain the difference; consent, benefit and trust do (Table T8).</w:t>
      </w:r>
    </w:p>
    <w:p>
      <w:pPr>
        <w:pStyle w:val="BodyText"/>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pPr>
      <w:r>
        <w:rPr>
          <w:iCs/>
          <w:i/>
        </w:rPr>
        <w:t xml:space="preserve">Table T8.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4"/>
    <w:bookmarkEnd w:id="65"/>
    <w:bookmarkStart w:id="68" w:name="market-analysis-and-economic-feasibility"/>
    <w:p>
      <w:pPr>
        <w:pStyle w:val="Heading2"/>
      </w:pPr>
      <w:r>
        <w:t xml:space="preserve">3.5 Market Analysis and Economic Feasibility</w:t>
      </w:r>
    </w:p>
    <w:bookmarkStart w:id="66" w:name="economics-finance-and-market-barriers"/>
    <w:p>
      <w:pPr>
        <w:pStyle w:val="Heading3"/>
      </w:pPr>
      <w:r>
        <w:t xml:space="preserve">3.5.1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t xml:space="preserve">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t xml:space="preserve">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pPr>
      <w:r>
        <w:rPr>
          <w:iCs/>
          <w:i/>
        </w:rPr>
        <w:t xml:space="preserve">Table T9.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T10.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6"/>
    <w:bookmarkStart w:id="67" w:name="supply-concentration-and-geopolitics"/>
    <w:p>
      <w:pPr>
        <w:pStyle w:val="Heading3"/>
      </w:pPr>
      <w:r>
        <w:t xml:space="preserve">3.5.2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T11). For Darlington this is a price risk; for an Australian SMR it is a sovereign risk.</w:t>
      </w:r>
    </w:p>
    <w:p>
      <w:pPr>
        <w:pStyle w:val="BodyText"/>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pPr>
      <w:r>
        <w:rPr>
          <w:iCs/>
          <w:i/>
        </w:rPr>
        <w:t xml:space="preserve">Table T11.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7"/>
    <w:bookmarkEnd w:id="68"/>
    <w:bookmarkStart w:id="71" w:name="government-regulations-review"/>
    <w:p>
      <w:pPr>
        <w:pStyle w:val="Heading2"/>
      </w:pPr>
      <w:r>
        <w:t xml:space="preserve">3.6 Government Regulations Review</w:t>
      </w:r>
    </w:p>
    <w:bookmarkStart w:id="69" w:name="law-regulation-and-licensing"/>
    <w:p>
      <w:pPr>
        <w:pStyle w:val="Heading3"/>
      </w:pPr>
      <w:r>
        <w:t xml:space="preserve">3.6.1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t xml:space="preserve">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pPr>
      <w:r>
        <w:rPr>
          <w:iCs/>
          <w:i/>
        </w:rPr>
        <w:t xml:space="preserve">Table T12.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9"/>
    <w:bookmarkStart w:id="70" w:name="implementation-pathway"/>
    <w:p>
      <w:pPr>
        <w:pStyle w:val="Heading3"/>
      </w:pPr>
      <w:r>
        <w:t xml:space="preserve">3.6.2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3.5.1)</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p>
      <w:pPr>
        <w:pStyle w:val="BodyText"/>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70"/>
    <w:bookmarkEnd w:id="71"/>
    <w:bookmarkStart w:id="75" w:name="X5539a185355627e6c3e07c8c8240218227305a6"/>
    <w:p>
      <w:pPr>
        <w:pStyle w:val="Heading2"/>
      </w:pPr>
      <w:r>
        <w:t xml:space="preserve">3.7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72" w:name="triple-bottom-line"/>
    <w:p>
      <w:pPr>
        <w:pStyle w:val="Heading3"/>
      </w:pPr>
      <w:r>
        <w:t xml:space="preserve">3.7.1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3.2).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3.2.3, Section 3.3</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Section 3.5.1).</w:t>
            </w:r>
          </w:p>
        </w:tc>
        <w:tc>
          <w:tcPr/>
          <w:p>
            <w:pPr>
              <w:pStyle w:val="Compact"/>
              <w:jc w:val="left"/>
            </w:pPr>
            <w:r>
              <w:t xml:space="preserve">Conditional feasibility</w:t>
            </w:r>
          </w:p>
        </w:tc>
        <w:tc>
          <w:tcPr/>
          <w:p>
            <w:pPr>
              <w:pStyle w:val="Compact"/>
              <w:jc w:val="left"/>
            </w:pPr>
            <w:r>
              <w:t xml:space="preserve">Section 3.3.3, Section 3.5.1</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Section 3.6.1, Sections 3.4–3.6</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Sections 3.2–3.6</w:t>
            </w:r>
          </w:p>
        </w:tc>
      </w:tr>
    </w:tbl>
    <w:bookmarkEnd w:id="72"/>
    <w:bookmarkStart w:id="73" w:name="multi-criteria-analysis"/>
    <w:p>
      <w:pPr>
        <w:pStyle w:val="Heading3"/>
      </w:pPr>
      <w:r>
        <w:t xml:space="preserve">3.7.2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t xml:space="preserve">The status quo’s second place over the SMR is a scaling artefact. It scores full marks on cost, supply and legal feasibility because it changes nothing; on fixed global scales the SMR moves above it. Renewables stay first on both.</w:t>
      </w:r>
    </w:p>
    <w:bookmarkEnd w:id="73"/>
    <w:bookmarkStart w:id="74" w:name="verdict-and-limits"/>
    <w:p>
      <w:pPr>
        <w:pStyle w:val="Heading3"/>
      </w:pPr>
      <w:r>
        <w:t xml:space="preserve">3.7.3 Verdict and limits</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p>
    <w:p>
      <w:pPr>
        <w:pStyle w:val="BodyText"/>
      </w:pP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4"/>
    <w:bookmarkEnd w:id="75"/>
    <w:bookmarkStart w:id="76" w:name="future-material-properties-and-processes"/>
    <w:p>
      <w:pPr>
        <w:pStyle w:val="Heading2"/>
      </w:pPr>
      <w:r>
        <w:t xml:space="preserve">3.8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3.5.2);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6"/>
    <w:bookmarkEnd w:id="77"/>
    <w:bookmarkStart w:id="78" w:name="conclusion"/>
    <w:p>
      <w:pPr>
        <w:pStyle w:val="Heading1"/>
      </w:pPr>
      <w:r>
        <w:t xml:space="preserve">4 Conclusion</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t xml:space="preserve">Our answers to the four research questions are as follows.</w:t>
      </w:r>
    </w:p>
    <w:p>
      <w:pPr>
        <w:numPr>
          <w:ilvl w:val="0"/>
          <w:numId w:val="1002"/>
        </w:numPr>
        <w:pStyle w:val="Compact"/>
      </w:pPr>
      <w:r>
        <w:rPr>
          <w:iCs/>
          <w:i/>
        </w:rPr>
        <w:t xml:space="preserve">Life cycle (Section 3.2).</w:t>
      </w:r>
      <w:r>
        <w:t xml:space="preserve"> </w:t>
      </w:r>
      <w:r>
        <w:t xml:space="preserve">One BWRX-300 emits about 4 g CO₂e/kWh, mostly from the fuel front end; conversion heat is the largest uncertainty.</w:t>
      </w:r>
    </w:p>
    <w:p>
      <w:pPr>
        <w:numPr>
          <w:ilvl w:val="0"/>
          <w:numId w:val="1002"/>
        </w:numPr>
        <w:pStyle w:val="Compact"/>
      </w:pPr>
      <w:r>
        <w:rPr>
          <w:iCs/>
          <w:i/>
        </w:rPr>
        <w:t xml:space="preserve">C1 (Sections 3.2–3.3).</w:t>
      </w:r>
      <w:r>
        <w:t xml:space="preserve"> </w:t>
      </w:r>
      <w:r>
        <w:t xml:space="preserve">It saves 2,200 t per unit (1,100–3,300; Section 3.1.4), about 0.36% of the life cycle; a delay of 11.6–18.5 days cancels it (1.7–1.8 days on the marginal grid factor).</w:t>
      </w:r>
    </w:p>
    <w:p>
      <w:pPr>
        <w:numPr>
          <w:ilvl w:val="0"/>
          <w:numId w:val="1002"/>
        </w:numPr>
        <w:pStyle w:val="Compact"/>
      </w:pPr>
      <w:r>
        <w:rPr>
          <w:iCs/>
          <w:i/>
        </w:rPr>
        <w:t xml:space="preserve">Displacement (Section 3.3).</w:t>
      </w:r>
      <w:r>
        <w:t xml:space="preserve"> </w:t>
      </w:r>
      <w:r>
        <w:t xml:space="preserve">Darlington Unit 1 avoids 1.0–6.8 Mt CO₂e to 2050 and a Liddell unit 0.67–3.9 Mt; firmed renewables avoid 10.9 times more per dollar.</w:t>
      </w:r>
    </w:p>
    <w:p>
      <w:pPr>
        <w:numPr>
          <w:ilvl w:val="0"/>
          <w:numId w:val="1002"/>
        </w:numPr>
        <w:pStyle w:val="Compact"/>
      </w:pPr>
      <w:r>
        <w:rPr>
          <w:iCs/>
          <w:i/>
        </w:rPr>
        <w:t xml:space="preserve">Barriers and options (Section 3.1.3, Sections 3.4–3.7).</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p>
    <w:p>
      <w:pPr>
        <w:pStyle w:val="BodyText"/>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78"/>
    <w:bookmarkStart w:id="81" w:name="references"/>
    <w:p>
      <w:pPr>
        <w:pStyle w:val="Heading1"/>
      </w:pPr>
      <w:r>
        <w:t xml:space="preserve">5 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9" w:name="legislation"/>
    <w:p>
      <w:pPr>
        <w:pStyle w:val="Heading4"/>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9"/>
    <w:bookmarkStart w:id="80" w:name="cases"/>
    <w:p>
      <w:pPr>
        <w:pStyle w:val="Heading4"/>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80"/>
    <w:bookmarkEnd w:id="81"/>
    <w:bookmarkStart w:id="82" w:name="declaration-of-generative-ai-use"/>
    <w:p>
      <w:pPr>
        <w:pStyle w:val="Heading1"/>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82"/>
    <w:bookmarkStart w:id="149" w:name="appendices"/>
    <w:p>
      <w:pPr>
        <w:pStyle w:val="Heading1"/>
      </w:pPr>
      <w:r>
        <w:t xml:space="preserve">Appendices</w:t>
      </w:r>
    </w:p>
    <w:bookmarkStart w:id="92" w:name="Xddcc31d2d3503f687b8b233cd4a745104a63a5c"/>
    <w:p>
      <w:pPr>
        <w:pStyle w:val="Heading2"/>
      </w:pPr>
      <w:r>
        <w:t xml:space="preserve">Appendix A. LCA inventory and calculations</w:t>
      </w:r>
    </w:p>
    <w:p>
      <w:pPr>
        <w:pStyle w:val="FirstParagraph"/>
      </w:pPr>
      <w:r>
        <w:t xml:space="preserve">All calculations are reproducible from the Python scripts and parameter files in the team repository (03_LCA_Calculations).</w:t>
      </w:r>
    </w:p>
    <w:p>
      <w:pPr>
        <w:pStyle w:val="BodyText"/>
      </w:pPr>
      <w:r>
        <w:t xml:space="preserve">This is a screening LCA (ISO 14040/44 principles, not critically reviewed). The Ostrołęka and Pillai tables could not be opened, so their values are used as reported; other inputs are assumptions or placeholders.</w:t>
      </w:r>
    </w:p>
    <w:bookmarkStart w:id="83" w:name="a1-reproducing-the-results"/>
    <w:p>
      <w:pPr>
        <w:pStyle w:val="Heading4"/>
      </w:pPr>
      <w:r>
        <w:t xml:space="preserve">A1 Reproducing the results</w:t>
      </w:r>
    </w:p>
    <w:p>
      <w:pPr>
        <w:pStyle w:val="FirstParagraph"/>
      </w:pPr>
      <w:r>
        <w:t xml:space="preserve">Edit</w:t>
      </w:r>
      <w:r>
        <w:t xml:space="preserve"> </w:t>
      </w:r>
      <w:r>
        <w:rPr>
          <w:rStyle w:val="VerbatimChar"/>
        </w:rPr>
        <w:t xml:space="preserve">parameters_lca.yaml</w:t>
      </w:r>
      <w:r>
        <w:t xml:space="preserve"> </w:t>
      </w:r>
      <w:r>
        <w:t xml:space="preserve">(68 parameters) and re-run</w:t>
      </w:r>
      <w:r>
        <w:t xml:space="preserve"> </w:t>
      </w:r>
      <w:r>
        <w:rPr>
          <w:rStyle w:val="VerbatimChar"/>
        </w:rPr>
        <w:t xml:space="preserve">lca_baseline.py</w:t>
      </w:r>
      <w:r>
        <w:t xml:space="preserve">,</w:t>
      </w:r>
      <w:r>
        <w:t xml:space="preserve"> </w:t>
      </w:r>
      <w:r>
        <w:rPr>
          <w:rStyle w:val="VerbatimChar"/>
        </w:rPr>
        <w:t xml:space="preserve">lca_scenarios.py</w:t>
      </w:r>
      <w:r>
        <w:t xml:space="preserve"> </w:t>
      </w:r>
      <w:r>
        <w:t xml:space="preserve">and</w:t>
      </w:r>
      <w:r>
        <w:t xml:space="preserve"> </w:t>
      </w:r>
      <w:r>
        <w:rPr>
          <w:rStyle w:val="VerbatimChar"/>
        </w:rPr>
        <w:t xml:space="preserve">lca_uncertainty.py</w:t>
      </w:r>
      <w:r>
        <w:t xml:space="preserve"> </w:t>
      </w:r>
      <w:r>
        <w:t xml:space="preserve">(</w:t>
      </w:r>
      <w:r>
        <w:rPr>
          <w:rStyle w:val="VerbatimChar"/>
        </w:rPr>
        <w:t xml:space="preserve">python3 -I 03_LCA_Calculations/scripts/&lt;name&gt;</w:t>
      </w:r>
      <w:r>
        <w:t xml:space="preserve">). Outputs are in</w:t>
      </w:r>
      <w:r>
        <w:t xml:space="preserve"> </w:t>
      </w:r>
      <w:r>
        <w:rPr>
          <w:rStyle w:val="VerbatimChar"/>
        </w:rPr>
        <w:t xml:space="preserve">03_LCA_Calculations/results/</w:t>
      </w:r>
      <w:r>
        <w:t xml:space="preserve">.</w:t>
      </w:r>
    </w:p>
    <w:bookmarkEnd w:id="83"/>
    <w:bookmarkStart w:id="84" w:name="a2-functional-unit"/>
    <w:p>
      <w:pPr>
        <w:pStyle w:val="Heading4"/>
      </w:pPr>
      <w:r>
        <w:t xml:space="preserve">A2 Functional unit</w:t>
      </w:r>
    </w:p>
    <w:p>
      <w:pPr>
        <w:numPr>
          <w:ilvl w:val="0"/>
          <w:numId w:val="1003"/>
        </w:numPr>
        <w:pStyle w:val="Compact"/>
      </w:pPr>
      <w:r>
        <w:t xml:space="preserve">Annual output = 300 MWe × 8,760 h × 0.90 = 2,365,200 MWh/yr.</w:t>
      </w:r>
    </w:p>
    <w:p>
      <w:pPr>
        <w:numPr>
          <w:ilvl w:val="0"/>
          <w:numId w:val="1003"/>
        </w:numPr>
        <w:pStyle w:val="Compact"/>
      </w:pPr>
      <w:r>
        <w:t xml:space="preserve">Lifetime output E = 2,365,200 × 60 years =</w:t>
      </w:r>
      <w:r>
        <w:t xml:space="preserve"> </w:t>
      </w:r>
      <w:r>
        <w:rPr>
          <w:bCs/>
          <w:b/>
        </w:rPr>
        <w:t xml:space="preserve">1.419 × 10⁸ MWh</w:t>
      </w:r>
      <w:r>
        <w:t xml:space="preserve">.</w:t>
      </w:r>
    </w:p>
    <w:p>
      <w:pPr>
        <w:numPr>
          <w:ilvl w:val="0"/>
          <w:numId w:val="1003"/>
        </w:numPr>
        <w:pStyle w:val="Compact"/>
      </w:pPr>
      <w:r>
        <w:t xml:space="preserve">Net efficiency = 300 / 870 MWt =</w:t>
      </w:r>
      <w:r>
        <w:t xml:space="preserve"> </w:t>
      </w:r>
      <w:r>
        <w:rPr>
          <w:bCs/>
          <w:b/>
        </w:rPr>
        <w:t xml:space="preserve">0.345</w:t>
      </w:r>
      <w:r>
        <w:t xml:space="preserve"> </w:t>
      </w:r>
      <w:r>
        <w:t xml:space="preserve">(Sun and Kurosaki, 2025, unrefereed preprint).</w:t>
      </w:r>
    </w:p>
    <w:p>
      <w:pPr>
        <w:numPr>
          <w:ilvl w:val="0"/>
          <w:numId w:val="1003"/>
        </w:numPr>
        <w:pStyle w:val="Compact"/>
      </w:pPr>
      <w:r>
        <w:t xml:space="preserve">Inputs: 300 MWe (GE Vernova Hitachi Nuclear Energy, n.d.; 315 in Ontario Power Generation, 2025b); capacity factor 0.90 (placeholder); life 60 years (Canadian Nuclear Safety Commission, 2024).</w:t>
      </w:r>
    </w:p>
    <w:bookmarkEnd w:id="84"/>
    <w:bookmarkStart w:id="85" w:name="a3-material-quantities-per-unit"/>
    <w:p>
      <w:pPr>
        <w:pStyle w:val="Heading4"/>
      </w:pPr>
      <w:r>
        <w:t xml:space="preserve">A3 Material quantities per unit</w:t>
      </w:r>
    </w:p>
    <w:p>
      <w:pPr>
        <w:numPr>
          <w:ilvl w:val="0"/>
          <w:numId w:val="1004"/>
        </w:numPr>
        <w:pStyle w:val="Compact"/>
      </w:pPr>
      <w:r>
        <w:t xml:space="preserve">Main case (BWRX-300 Ostrołęka sp. z o.o., 2023, as reported):</w:t>
      </w:r>
      <w:r>
        <w:t xml:space="preserve"> </w:t>
      </w:r>
      <w:r>
        <w:rPr>
          <w:bCs/>
          <w:b/>
        </w:rPr>
        <w:t xml:space="preserve">50,000 m³ concrete, 14,000 t steel</w:t>
      </w:r>
      <w:r>
        <w:t xml:space="preserve">, a Polish-design proxy rather than Darlington data.</w:t>
      </w:r>
    </w:p>
    <w:p>
      <w:pPr>
        <w:numPr>
          <w:ilvl w:val="0"/>
          <w:numId w:val="1004"/>
        </w:numPr>
        <w:pStyle w:val="Compact"/>
      </w:pPr>
      <w:r>
        <w:t xml:space="preserve">Rebar = 0.15 t/m³ × 50,000 = 7,500 t (assumption); plate and equipment steel = 14,000 − 7,500 = 6,500 t.</w:t>
      </w:r>
    </w:p>
    <w:p>
      <w:pPr>
        <w:numPr>
          <w:ilvl w:val="0"/>
          <w:numId w:val="1004"/>
        </w:numPr>
        <w:pStyle w:val="Compact"/>
      </w:pPr>
      <w:r>
        <w:t xml:space="preserve">C1-eligible concrete = 0.40 × 50,000 =</w:t>
      </w:r>
      <w:r>
        <w:t xml:space="preserve"> </w:t>
      </w:r>
      <w:r>
        <w:rPr>
          <w:bCs/>
          <w:b/>
        </w:rPr>
        <w:t xml:space="preserve">20,000 m³</w:t>
      </w:r>
      <w:r>
        <w:t xml:space="preserve"> </w:t>
      </w:r>
      <w:r>
        <w:t xml:space="preserve">(10,000 and 30,000 at 20% and 60%; a scenario, not data).</w:t>
      </w:r>
    </w:p>
    <w:p>
      <w:pPr>
        <w:numPr>
          <w:ilvl w:val="0"/>
          <w:numId w:val="1004"/>
        </w:numPr>
        <w:pStyle w:val="Compact"/>
      </w:pPr>
      <w:r>
        <w:t xml:space="preserve">Cross-check (Peterson, Zhao and Petroski, 2005; ESBWR 69 m³/MWe, 33 t/MWe): 20,700 m³ and 9,900 t.</w:t>
      </w:r>
    </w:p>
    <w:bookmarkEnd w:id="85"/>
    <w:bookmarkStart w:id="86" w:name="a4-construction-inventory"/>
    <w:p>
      <w:pPr>
        <w:pStyle w:val="Heading4"/>
      </w:pPr>
      <w:r>
        <w:t xml:space="preserve">A4 Construction inventory</w:t>
      </w:r>
    </w:p>
    <w:p>
      <w:pPr>
        <w:pStyle w:val="FirstParagraph"/>
      </w:pPr>
      <w:r>
        <w:t xml:space="preserve">Construction emits</w:t>
      </w:r>
      <w:r>
        <w:t xml:space="preserve"> </w:t>
      </w:r>
      <w:r>
        <w:rPr>
          <w:bCs/>
          <w:b/>
        </w:rPr>
        <w:t xml:space="preserve">57,600 t CO₂e per unit</w:t>
      </w:r>
      <w:r>
        <w:t xml:space="preserve"> </w:t>
      </w:r>
      <w:r>
        <w:t xml:space="preserve">(mode case, 0.41 g/kWh).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Quantity × factor</w:t>
            </w:r>
          </w:p>
        </w:tc>
        <w:tc>
          <w:tcPr/>
          <w:p>
            <w:pPr>
              <w:pStyle w:val="Compact"/>
              <w:jc w:val="right"/>
            </w:pPr>
            <w:r>
              <w:t xml:space="preserve">t CO₂e</w:t>
            </w:r>
          </w:p>
        </w:tc>
      </w:tr>
      <w:tr>
        <w:tc>
          <w:tcPr/>
          <w:p>
            <w:pPr>
              <w:pStyle w:val="Compact"/>
              <w:jc w:val="left"/>
            </w:pPr>
            <w:r>
              <w:t xml:space="preserve">Concrete (all)</w:t>
            </w:r>
          </w:p>
        </w:tc>
        <w:tc>
          <w:tcPr/>
          <w:p>
            <w:pPr>
              <w:pStyle w:val="Compact"/>
              <w:jc w:val="left"/>
            </w:pPr>
            <w:r>
              <w:t xml:space="preserve">50,000 m³ × 380 kg/m³</w:t>
            </w:r>
          </w:p>
        </w:tc>
        <w:tc>
          <w:tcPr/>
          <w:p>
            <w:pPr>
              <w:pStyle w:val="Compact"/>
              <w:jc w:val="right"/>
            </w:pPr>
            <w:r>
              <w:t xml:space="preserve">19,000</w:t>
            </w:r>
          </w:p>
        </w:tc>
      </w:tr>
      <w:tr>
        <w:tc>
          <w:tcPr/>
          <w:p>
            <w:pPr>
              <w:pStyle w:val="Compact"/>
              <w:jc w:val="left"/>
            </w:pPr>
            <w:r>
              <w:t xml:space="preserve">Rebar</w:t>
            </w:r>
          </w:p>
        </w:tc>
        <w:tc>
          <w:tcPr/>
          <w:p>
            <w:pPr>
              <w:pStyle w:val="Compact"/>
              <w:jc w:val="left"/>
            </w:pPr>
            <w:r>
              <w:t xml:space="preserve">7,500 t × 0.97</w:t>
            </w:r>
          </w:p>
        </w:tc>
        <w:tc>
          <w:tcPr/>
          <w:p>
            <w:pPr>
              <w:pStyle w:val="Compact"/>
              <w:jc w:val="right"/>
            </w:pPr>
            <w:r>
              <w:t xml:space="preserve">7,275</w:t>
            </w:r>
          </w:p>
        </w:tc>
      </w:tr>
      <w:tr>
        <w:tc>
          <w:tcPr/>
          <w:p>
            <w:pPr>
              <w:pStyle w:val="Compact"/>
              <w:jc w:val="left"/>
            </w:pPr>
            <w:r>
              <w:t xml:space="preserve">Plate and equipment steel</w:t>
            </w:r>
          </w:p>
        </w:tc>
        <w:tc>
          <w:tcPr/>
          <w:p>
            <w:pPr>
              <w:pStyle w:val="Compact"/>
              <w:jc w:val="left"/>
            </w:pPr>
            <w:r>
              <w:t xml:space="preserve">6,500 t × 1.73</w:t>
            </w:r>
          </w:p>
        </w:tc>
        <w:tc>
          <w:tcPr/>
          <w:p>
            <w:pPr>
              <w:pStyle w:val="Compact"/>
              <w:jc w:val="right"/>
            </w:pPr>
            <w:r>
              <w:t xml:space="preserve">11,245</w:t>
            </w:r>
          </w:p>
        </w:tc>
      </w:tr>
      <w:tr>
        <w:tc>
          <w:tcPr/>
          <w:p>
            <w:pPr>
              <w:pStyle w:val="Compact"/>
              <w:jc w:val="left"/>
            </w:pPr>
            <w:r>
              <w:t xml:space="preserve">Transport</w:t>
            </w:r>
          </w:p>
        </w:tc>
        <w:tc>
          <w:tcPr/>
          <w:p>
            <w:pPr>
              <w:pStyle w:val="Compact"/>
              <w:jc w:val="left"/>
            </w:pPr>
            <w:r>
              <w:t xml:space="preserve">15 km concrete, 500 km steel, 0.10 kg/t-km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above</w:t>
            </w:r>
          </w:p>
        </w:tc>
        <w:tc>
          <w:tcPr/>
          <w:p>
            <w:pPr>
              <w:pStyle w:val="Compact"/>
              <w:jc w:val="right"/>
            </w:pPr>
            <w:r>
              <w:t xml:space="preserve">19,200</w:t>
            </w:r>
          </w:p>
        </w:tc>
      </w:tr>
    </w:tbl>
    <w:p>
      <w:pPr>
        <w:pStyle w:val="BodyText"/>
      </w:pPr>
      <w:r>
        <w:t xml:space="preserve">Spreadsheet corrections: site is Clarington, not Ottawa; the 4,127.29 m³ is forebay concrete plus rebar, not a bored volume; partial-milestone rows are replaced by whole-unit rows; rebar uses an electric-arc-furnace factor.</w:t>
      </w:r>
    </w:p>
    <w:bookmarkEnd w:id="86"/>
    <w:bookmarkStart w:id="87" w:name="a5-emission-factors"/>
    <w:p>
      <w:pPr>
        <w:pStyle w:val="Heading4"/>
      </w:pPr>
      <w:r>
        <w:t xml:space="preserve">A5 Emission factors</w:t>
      </w:r>
    </w:p>
    <w:p>
      <w:pPr>
        <w:pStyle w:val="FirstParagraph"/>
      </w:pPr>
      <w:r>
        <w:t xml:space="preserve">Climate change, GWP100; cradle-to-gate for materials. Source:</w:t>
      </w:r>
      <w:r>
        <w:t xml:space="preserve"> </w:t>
      </w:r>
      <w:r>
        <w:rPr>
          <w:rStyle w:val="VerbatimChar"/>
        </w:rPr>
        <w:t xml:space="preserve">parameters_lca.yaml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Central (range)</w:t>
            </w:r>
          </w:p>
        </w:tc>
        <w:tc>
          <w:tcPr/>
          <w:p>
            <w:pPr>
              <w:pStyle w:val="Compact"/>
              <w:jc w:val="left"/>
            </w:pPr>
            <w:r>
              <w:t xml:space="preserve">Reference</w:t>
            </w:r>
          </w:p>
        </w:tc>
      </w:tr>
      <w:tr>
        <w:tc>
          <w:tcPr/>
          <w:p>
            <w:pPr>
              <w:pStyle w:val="Compact"/>
              <w:jc w:val="left"/>
            </w:pPr>
            <w:r>
              <w:t xml:space="preserve">Baseline concrete</w:t>
            </w:r>
          </w:p>
        </w:tc>
        <w:tc>
          <w:tcPr/>
          <w:p>
            <w:pPr>
              <w:pStyle w:val="Compact"/>
              <w:jc w:val="left"/>
            </w:pPr>
            <w:r>
              <w:t xml:space="preserve">380 (330–420) kg CO₂e/m³</w:t>
            </w:r>
          </w:p>
        </w:tc>
        <w:tc>
          <w:tcPr/>
          <w:p>
            <w:pPr>
              <w:pStyle w:val="Compact"/>
              <w:jc w:val="left"/>
            </w:pPr>
            <w:r>
              <w:t xml:space="preserve">Pillai et al. (2019), as reported</w:t>
            </w:r>
          </w:p>
        </w:tc>
      </w:tr>
      <w:tr>
        <w:tc>
          <w:tcPr/>
          <w:p>
            <w:pPr>
              <w:pStyle w:val="Compact"/>
              <w:jc w:val="left"/>
            </w:pPr>
            <w:r>
              <w:t xml:space="preserve">LC³ concrete</w:t>
            </w:r>
          </w:p>
        </w:tc>
        <w:tc>
          <w:tcPr/>
          <w:p>
            <w:pPr>
              <w:pStyle w:val="Compact"/>
              <w:jc w:val="left"/>
            </w:pPr>
            <w:r>
              <w:t xml:space="preserve">270 kg CO₂e/m³ (cut 28.9%)</w:t>
            </w:r>
          </w:p>
        </w:tc>
        <w:tc>
          <w:tcPr/>
          <w:p>
            <w:pPr>
              <w:pStyle w:val="Compact"/>
              <w:jc w:val="left"/>
            </w:pPr>
            <w:r>
              <w:t xml:space="preserve">Pillai et al. (2019), as reported</w:t>
            </w:r>
          </w:p>
        </w:tc>
      </w:tr>
      <w:tr>
        <w:tc>
          <w:tcPr/>
          <w:p>
            <w:pPr>
              <w:pStyle w:val="Compact"/>
              <w:jc w:val="left"/>
            </w:pPr>
            <w:r>
              <w:t xml:space="preserve">Rebar</w:t>
            </w:r>
          </w:p>
        </w:tc>
        <w:tc>
          <w:tcPr/>
          <w:p>
            <w:pPr>
              <w:pStyle w:val="Compact"/>
              <w:jc w:val="left"/>
            </w:pPr>
            <w:r>
              <w:t xml:space="preserve">0.97 (0.89–1.99) t CO₂e/t</w:t>
            </w:r>
          </w:p>
        </w:tc>
        <w:tc>
          <w:tcPr/>
          <w:p>
            <w:pPr>
              <w:pStyle w:val="Compact"/>
              <w:jc w:val="left"/>
            </w:pPr>
            <w:r>
              <w:t xml:space="preserve">Concrete Reinforcing Steel Institute (2017)</w:t>
            </w:r>
          </w:p>
        </w:tc>
      </w:tr>
      <w:tr>
        <w:tc>
          <w:tcPr/>
          <w:p>
            <w:pPr>
              <w:pStyle w:val="Compact"/>
              <w:jc w:val="left"/>
            </w:pPr>
            <w:r>
              <w:t xml:space="preserve">Plate steel</w:t>
            </w:r>
          </w:p>
        </w:tc>
        <w:tc>
          <w:tcPr/>
          <w:p>
            <w:pPr>
              <w:pStyle w:val="Compact"/>
              <w:jc w:val="left"/>
            </w:pPr>
            <w:r>
              <w:t xml:space="preserve">1.73 (1.22–2.50) t CO₂e/t</w:t>
            </w:r>
          </w:p>
        </w:tc>
        <w:tc>
          <w:tcPr/>
          <w:p>
            <w:pPr>
              <w:pStyle w:val="Compact"/>
              <w:jc w:val="left"/>
            </w:pPr>
            <w:r>
              <w:t xml:space="preserve">American Institute of Steel Construction (2022)</w:t>
            </w:r>
          </w:p>
        </w:tc>
      </w:tr>
      <w:tr>
        <w:tc>
          <w:tcPr/>
          <w:p>
            <w:pPr>
              <w:pStyle w:val="Compact"/>
              <w:jc w:val="left"/>
            </w:pPr>
            <w:r>
              <w:t xml:space="preserve">Mining and milling</w:t>
            </w:r>
          </w:p>
        </w:tc>
        <w:tc>
          <w:tcPr/>
          <w:p>
            <w:pPr>
              <w:pStyle w:val="Compact"/>
              <w:jc w:val="left"/>
            </w:pPr>
            <w:r>
              <w:t xml:space="preserve">42 (24–81) kg CO₂e/kg U₃O₈</w:t>
            </w:r>
          </w:p>
        </w:tc>
        <w:tc>
          <w:tcPr/>
          <w:p>
            <w:pPr>
              <w:pStyle w:val="Compact"/>
              <w:jc w:val="left"/>
            </w:pPr>
            <w:r>
              <w:t xml:space="preserve">Parker, McNaughton and Sparrow (2016)</w:t>
            </w:r>
          </w:p>
        </w:tc>
      </w:tr>
      <w:tr>
        <w:tc>
          <w:tcPr/>
          <w:p>
            <w:pPr>
              <w:pStyle w:val="Compact"/>
              <w:jc w:val="left"/>
            </w:pPr>
            <w:r>
              <w:t xml:space="preserve">Conversion; enrichment</w:t>
            </w:r>
          </w:p>
        </w:tc>
        <w:tc>
          <w:tcPr/>
          <w:p>
            <w:pPr>
              <w:pStyle w:val="Compact"/>
              <w:jc w:val="left"/>
            </w:pPr>
            <w:r>
              <w:t xml:space="preserve">26 kWh/kg U (heat); 50 kWh/SWU</w:t>
            </w:r>
          </w:p>
        </w:tc>
        <w:tc>
          <w:tcPr/>
          <w:p>
            <w:pPr>
              <w:pStyle w:val="Compact"/>
              <w:jc w:val="left"/>
            </w:pPr>
            <w:r>
              <w:t xml:space="preserve">Gibon and Hahn Menacho (2023)</w:t>
            </w:r>
          </w:p>
        </w:tc>
      </w:tr>
      <w:tr>
        <w:tc>
          <w:tcPr/>
          <w:p>
            <w:pPr>
              <w:pStyle w:val="Compact"/>
              <w:jc w:val="left"/>
            </w:pPr>
            <w:r>
              <w:t xml:space="preserve">Grid: Ontario; USA</w:t>
            </w:r>
          </w:p>
        </w:tc>
        <w:tc>
          <w:tcPr/>
          <w:p>
            <w:pPr>
              <w:pStyle w:val="Compact"/>
              <w:jc w:val="left"/>
            </w:pPr>
            <w:r>
              <w:t xml:space="preserve">0.0738; 0.373 kg CO₂e/kWh</w:t>
            </w:r>
          </w:p>
        </w:tc>
        <w:tc>
          <w:tcPr/>
          <w:p>
            <w:pPr>
              <w:pStyle w:val="Compact"/>
              <w:jc w:val="left"/>
            </w:pPr>
            <w:r>
              <w:t xml:space="preserve">The Atmospheric Fund (2025); US EPA (2024)</w:t>
            </w:r>
          </w:p>
        </w:tc>
      </w:tr>
      <w:tr>
        <w:tc>
          <w:tcPr/>
          <w:p>
            <w:pPr>
              <w:pStyle w:val="Compact"/>
              <w:jc w:val="left"/>
            </w:pPr>
            <w:r>
              <w:t xml:space="preserve">O&amp;M; decommissioning; back end</w:t>
            </w:r>
          </w:p>
        </w:tc>
        <w:tc>
          <w:tcPr/>
          <w:p>
            <w:pPr>
              <w:pStyle w:val="Compact"/>
              <w:jc w:val="left"/>
            </w:pPr>
            <w:r>
              <w:t xml:space="preserve">0.33; 0.11; 0.56 g/kWh</w:t>
            </w:r>
          </w:p>
        </w:tc>
        <w:tc>
          <w:tcPr/>
          <w:p>
            <w:pPr>
              <w:pStyle w:val="Compact"/>
              <w:jc w:val="left"/>
            </w:pPr>
            <w:r>
              <w:t xml:space="preserve">EDF R&amp;D (2024), as reported</w:t>
            </w:r>
          </w:p>
        </w:tc>
      </w:tr>
    </w:tbl>
    <w:p>
      <w:pPr>
        <w:pStyle w:val="BodyText"/>
      </w:pPr>
      <w:r>
        <w:t xml:space="preserve">LC³ cut: 1 − 270/380 = 28.9%.</w:t>
      </w:r>
    </w:p>
    <w:bookmarkEnd w:id="87"/>
    <w:bookmarkStart w:id="88" w:name="a6-concrete-and-the-c1-scenarios"/>
    <w:p>
      <w:pPr>
        <w:pStyle w:val="Heading4"/>
      </w:pPr>
      <w:r>
        <w:t xml:space="preserve">A6 Concrete and the C1 scenarios</w:t>
      </w:r>
    </w:p>
    <w:p>
      <w:pPr>
        <w:numPr>
          <w:ilvl w:val="0"/>
          <w:numId w:val="1005"/>
        </w:numPr>
        <w:pStyle w:val="Compact"/>
      </w:pPr>
      <w:r>
        <w:rPr>
          <w:bCs/>
          <w:b/>
        </w:rPr>
        <w:t xml:space="preserve">LC³ (C1):</w:t>
      </w:r>
      <w:r>
        <w:t xml:space="preserve"> </w:t>
      </w:r>
      <w:r>
        <w:t xml:space="preserve">saving = 20,000 m³ × (380 − 270) / 1,000 =</w:t>
      </w:r>
      <w:r>
        <w:t xml:space="preserve"> </w:t>
      </w:r>
      <w:r>
        <w:rPr>
          <w:bCs/>
          <w:b/>
        </w:rPr>
        <w:t xml:space="preserve">2,200 t per unit</w:t>
      </w:r>
      <w:r>
        <w:t xml:space="preserve"> </w:t>
      </w:r>
      <w:r>
        <w:t xml:space="preserve">(1,100 at 20%; 3,300 at 60%); 2,200 / 406,462 = 0.54% of the mode-case life cycle.</w:t>
      </w:r>
    </w:p>
    <w:p>
      <w:pPr>
        <w:numPr>
          <w:ilvl w:val="0"/>
          <w:numId w:val="1005"/>
        </w:numPr>
        <w:pStyle w:val="Compact"/>
      </w:pPr>
      <w:r>
        <w:rPr>
          <w:bCs/>
          <w:b/>
        </w:rPr>
        <w:t xml:space="preserve">Slag fallback:</w:t>
      </w:r>
      <w:r>
        <w:t xml:space="preserve"> </w:t>
      </w:r>
      <w:r>
        <w:t xml:space="preserve">20,000 × 0.114 = 2,288 t.</w:t>
      </w:r>
    </w:p>
    <w:p>
      <w:pPr>
        <w:numPr>
          <w:ilvl w:val="0"/>
          <w:numId w:val="1005"/>
        </w:numPr>
        <w:pStyle w:val="Compact"/>
      </w:pPr>
      <w:r>
        <w:rPr>
          <w:bCs/>
          <w:b/>
        </w:rPr>
        <w:t xml:space="preserve">Clinker avoided:</w:t>
      </w:r>
      <w:r>
        <w:t xml:space="preserve"> </w:t>
      </w:r>
      <w:r>
        <w:t xml:space="preserve">20,000 × 350 kg/m³ × (0.92 − 0.50) / 1,000 = 2,940 t (indicative).</w:t>
      </w:r>
    </w:p>
    <w:p>
      <w:pPr>
        <w:numPr>
          <w:ilvl w:val="0"/>
          <w:numId w:val="1005"/>
        </w:numPr>
        <w:pStyle w:val="Compact"/>
      </w:pPr>
      <w:r>
        <w:rPr>
          <w:bCs/>
          <w:b/>
        </w:rPr>
        <w:t xml:space="preserve">Units 2–4:</w:t>
      </w:r>
      <w:r>
        <w:t xml:space="preserve"> </w:t>
      </w:r>
      <w:r>
        <w:t xml:space="preserve">3 × per unit = 6,600 t.</w:t>
      </w:r>
    </w:p>
    <w:p>
      <w:pPr>
        <w:numPr>
          <w:ilvl w:val="0"/>
          <w:numId w:val="1005"/>
        </w:numPr>
        <w:pStyle w:val="Compact"/>
      </w:pPr>
      <w:r>
        <w:t xml:space="preserve">Monte Carlo median for LC³ at 40%: 2,217 t per unit (1,375–3,294).</w:t>
      </w:r>
    </w:p>
    <w:bookmarkEnd w:id="88"/>
    <w:bookmarkStart w:id="89" w:name="X26113dcd5f7d5ab0d7b6b24f64ca9a1ce063d9c"/>
    <w:p>
      <w:pPr>
        <w:pStyle w:val="Heading4"/>
      </w:pPr>
      <w:r>
        <w:t xml:space="preserve">A7 Steel, transport and construction total</w:t>
      </w:r>
    </w:p>
    <w:p>
      <w:pPr>
        <w:numPr>
          <w:ilvl w:val="0"/>
          <w:numId w:val="1006"/>
        </w:numPr>
        <w:pStyle w:val="Compact"/>
      </w:pPr>
      <w:r>
        <w:t xml:space="preserve">Concrete 19,000 t + steel 18,520 t (7,275 + 11,245) + transport 880 t + uplift 0.5 × 38,400 = 19,200 t =</w:t>
      </w:r>
      <w:r>
        <w:t xml:space="preserve"> </w:t>
      </w:r>
      <w:r>
        <w:rPr>
          <w:bCs/>
          <w:b/>
        </w:rPr>
        <w:t xml:space="preserve">57,600 t</w:t>
      </w:r>
      <w:r>
        <w:t xml:space="preserve">.</w:t>
      </w:r>
    </w:p>
    <w:p>
      <w:pPr>
        <w:numPr>
          <w:ilvl w:val="0"/>
          <w:numId w:val="1006"/>
        </w:numPr>
        <w:pStyle w:val="Compact"/>
      </w:pPr>
      <w:r>
        <w:t xml:space="preserve">Per kWh: 57,600 / 1.419 × 10⁸ MWh =</w:t>
      </w:r>
      <w:r>
        <w:t xml:space="preserve"> </w:t>
      </w:r>
      <w:r>
        <w:rPr>
          <w:bCs/>
          <w:b/>
        </w:rPr>
        <w:t xml:space="preserve">0.406 g/kWh</w:t>
      </w:r>
      <w:r>
        <w:t xml:space="preserve">.</w:t>
      </w:r>
    </w:p>
    <w:p>
      <w:pPr>
        <w:numPr>
          <w:ilvl w:val="0"/>
          <w:numId w:val="1006"/>
        </w:numPr>
        <w:pStyle w:val="Compact"/>
      </w:pPr>
      <w:r>
        <w:t xml:space="preserve">Steel sensitivity (not part of C1): target-structure steel only 566 t per unit; all steel at best-practice factors 3,915 t; world-average steel −12,655 t (adds emissions).</w:t>
      </w:r>
    </w:p>
    <w:bookmarkEnd w:id="89"/>
    <w:bookmarkStart w:id="90" w:name="a8-fuel-cycle-and-life-cycle-total"/>
    <w:p>
      <w:pPr>
        <w:pStyle w:val="Heading4"/>
      </w:pPr>
      <w:r>
        <w:t xml:space="preserve">A8 Fuel cycle and life-cycle total</w:t>
      </w:r>
    </w:p>
    <w:p>
      <w:pPr>
        <w:pStyle w:val="FirstParagraph"/>
      </w:pPr>
      <w:r>
        <w:t xml:space="preserve">Inputs: burnup 45 GWd/t and 3.8% U-235 (placeholders); tails 0.25%; feed 0.711%.</w:t>
      </w:r>
      <w:r>
        <w:t xml:space="preserve"> </w:t>
      </w:r>
      <w:r>
        <w:t xml:space="preserve">- Enriched U = 1 / (45 × 24,000 × 0.345 kWh) →</w:t>
      </w:r>
      <w:r>
        <w:t xml:space="preserve"> </w:t>
      </w:r>
      <w:r>
        <w:rPr>
          <w:bCs/>
          <w:b/>
        </w:rPr>
        <w:t xml:space="preserve">2.685 g/MWh</w:t>
      </w:r>
      <w:r>
        <w:t xml:space="preserve">.</w:t>
      </w:r>
      <w:r>
        <w:t xml:space="preserve"> </w:t>
      </w:r>
      <w:r>
        <w:t xml:space="preserve">- Feed factor = (3.8 − 0.25) / (0.711 − 0.25) =</w:t>
      </w:r>
      <w:r>
        <w:t xml:space="preserve"> </w:t>
      </w:r>
      <w:r>
        <w:rPr>
          <w:bCs/>
          <w:b/>
        </w:rPr>
        <w:t xml:space="preserve">7.70</w:t>
      </w:r>
      <w:r>
        <w:t xml:space="preserve">; natural U = 20.68 g/MWh.</w:t>
      </w:r>
      <w:r>
        <w:t xml:space="preserve"> </w:t>
      </w:r>
      <w:r>
        <w:t xml:space="preserve">- Separative work = 5.42 SWU/kg → 0.0146 SWU/MWh.</w:t>
      </w:r>
      <w:r>
        <w:t xml:space="preserve"> </w:t>
      </w:r>
      <w:r>
        <w:t xml:space="preserve">- Four units need about</w:t>
      </w:r>
      <w:r>
        <w:t xml:space="preserve"> </w:t>
      </w:r>
      <w:r>
        <w:rPr>
          <w:bCs/>
          <w:b/>
        </w:rPr>
        <w:t xml:space="preserve">196 t natural U and 138 tSWU a year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 (mode case)</w:t>
            </w:r>
          </w:p>
        </w:tc>
        <w:tc>
          <w:tcPr/>
          <w:p>
            <w:pPr>
              <w:pStyle w:val="Compact"/>
              <w:jc w:val="right"/>
            </w:pPr>
            <w:r>
              <w:t xml:space="preserve">g CO₂e/kWh</w:t>
            </w:r>
          </w:p>
        </w:tc>
        <w:tc>
          <w:tcPr/>
          <w:p>
            <w:pPr>
              <w:pStyle w:val="Compact"/>
              <w:jc w:val="right"/>
            </w:pPr>
            <w:r>
              <w:t xml:space="preserve">Share</w:t>
            </w:r>
          </w:p>
        </w:tc>
      </w:tr>
      <w:tr>
        <w:tc>
          <w:tcPr/>
          <w:p>
            <w:pPr>
              <w:pStyle w:val="Compact"/>
              <w:jc w:val="left"/>
            </w:pPr>
            <w:r>
              <w:t xml:space="preserve">Mining and milling</w:t>
            </w:r>
          </w:p>
        </w:tc>
        <w:tc>
          <w:tcPr/>
          <w:p>
            <w:pPr>
              <w:pStyle w:val="Compact"/>
              <w:jc w:val="right"/>
            </w:pPr>
            <w:r>
              <w:t xml:space="preserve">1.024</w:t>
            </w:r>
          </w:p>
        </w:tc>
        <w:tc>
          <w:tcPr/>
          <w:p>
            <w:pPr>
              <w:pStyle w:val="Compact"/>
              <w:jc w:val="right"/>
            </w:pPr>
            <w:r>
              <w:t xml:space="preserve">35.8%</w:t>
            </w:r>
          </w:p>
        </w:tc>
      </w:tr>
      <w:tr>
        <w:tc>
          <w:tcPr/>
          <w:p>
            <w:pPr>
              <w:pStyle w:val="Compact"/>
              <w:jc w:val="left"/>
            </w:pPr>
            <w:r>
              <w:t xml:space="preserve">Back end</w:t>
            </w:r>
          </w:p>
        </w:tc>
        <w:tc>
          <w:tcPr/>
          <w:p>
            <w:pPr>
              <w:pStyle w:val="Compact"/>
              <w:jc w:val="right"/>
            </w:pPr>
            <w:r>
              <w:t xml:space="preserve">0.560</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11.5%</w:t>
            </w:r>
          </w:p>
        </w:tc>
      </w:tr>
      <w:tr>
        <w:tc>
          <w:tcPr/>
          <w:p>
            <w:pPr>
              <w:pStyle w:val="Compact"/>
              <w:jc w:val="left"/>
            </w:pPr>
            <w:r>
              <w:t xml:space="preserve">Enrichment</w:t>
            </w:r>
          </w:p>
        </w:tc>
        <w:tc>
          <w:tcPr/>
          <w:p>
            <w:pPr>
              <w:pStyle w:val="Compact"/>
              <w:jc w:val="right"/>
            </w:pPr>
            <w:r>
              <w:t xml:space="preserve">0.272</w:t>
            </w:r>
          </w:p>
        </w:tc>
        <w:tc>
          <w:tcPr/>
          <w:p>
            <w:pPr>
              <w:pStyle w:val="Compact"/>
              <w:jc w:val="right"/>
            </w:pPr>
            <w:r>
              <w:t xml:space="preserve">9.5%</w:t>
            </w:r>
          </w:p>
        </w:tc>
      </w:tr>
      <w:tr>
        <w:tc>
          <w:tcPr/>
          <w:p>
            <w:pPr>
              <w:pStyle w:val="Compact"/>
              <w:jc w:val="left"/>
            </w:pPr>
            <w:r>
              <w:t xml:space="preserve">Construction (all)</w:t>
            </w:r>
          </w:p>
        </w:tc>
        <w:tc>
          <w:tcPr/>
          <w:p>
            <w:pPr>
              <w:pStyle w:val="Compact"/>
              <w:jc w:val="right"/>
            </w:pPr>
            <w:r>
              <w:t xml:space="preserve">0.406</w:t>
            </w:r>
          </w:p>
        </w:tc>
        <w:tc>
          <w:tcPr/>
          <w:p>
            <w:pPr>
              <w:pStyle w:val="Compact"/>
              <w:jc w:val="right"/>
            </w:pPr>
            <w:r>
              <w:t xml:space="preserve">14.2%</w:t>
            </w:r>
          </w:p>
        </w:tc>
      </w:tr>
      <w:tr>
        <w:tc>
          <w:tcPr/>
          <w:p>
            <w:pPr>
              <w:pStyle w:val="Compact"/>
              <w:jc w:val="left"/>
            </w:pPr>
            <w:r>
              <w:t xml:space="preserve">Conversion</w:t>
            </w:r>
          </w:p>
        </w:tc>
        <w:tc>
          <w:tcPr/>
          <w:p>
            <w:pPr>
              <w:pStyle w:val="Compact"/>
              <w:jc w:val="right"/>
            </w:pPr>
            <w:r>
              <w:t xml:space="preserve">0.127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3.8%</w:t>
            </w:r>
          </w:p>
        </w:tc>
      </w:tr>
      <w:tr>
        <w:tc>
          <w:tcPr/>
          <w:p>
            <w:pPr>
              <w:pStyle w:val="Compact"/>
              <w:jc w:val="left"/>
            </w:pPr>
            <w:r>
              <w:t xml:space="preserve">Fabrication</w:t>
            </w:r>
          </w:p>
        </w:tc>
        <w:tc>
          <w:tcPr/>
          <w:p>
            <w:pPr>
              <w:pStyle w:val="Compact"/>
              <w:jc w:val="right"/>
            </w:pPr>
            <w:r>
              <w:t xml:space="preserve">0.036</w:t>
            </w:r>
          </w:p>
        </w:tc>
        <w:tc>
          <w:tcPr/>
          <w:p>
            <w:pPr>
              <w:pStyle w:val="Compact"/>
              <w:jc w:val="right"/>
            </w:pPr>
            <w:r>
              <w:t xml:space="preserve">1.3%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100%</w:t>
            </w:r>
          </w:p>
        </w:tc>
      </w:tr>
    </w:tbl>
    <w:p>
      <w:pPr>
        <w:pStyle w:val="BodyText"/>
      </w:pPr>
      <w:r>
        <w:t xml:space="preserve">Total 406,462 t CO₂e per unit. Fuel front end 1.458 g/kWh (50.9%).</w:t>
      </w:r>
    </w:p>
    <w:bookmarkEnd w:id="90"/>
    <w:bookmarkStart w:id="91" w:name="a9-granta-edupack-eco-audit"/>
    <w:p>
      <w:pPr>
        <w:pStyle w:val="Heading4"/>
      </w:pPr>
      <w:r>
        <w:t xml:space="preserve">A9 Granta EduPack Eco Audit</w:t>
      </w:r>
    </w:p>
    <w:p>
      <w:pPr>
        <w:pStyle w:val="FirstParagraph"/>
      </w:pPr>
      <w:r>
        <w:t xml:space="preserve">A Granta EduPack Eco Audit cross-check was planned but not completed; the screening model above is the basis of all results.</w:t>
      </w:r>
    </w:p>
    <w:bookmarkEnd w:id="91"/>
    <w:bookmarkEnd w:id="92"/>
    <w:bookmarkStart w:id="135" w:name="X7e33b522909f8daae3037d2691d3cd94d9b7c55"/>
    <w:p>
      <w:pPr>
        <w:pStyle w:val="Heading2"/>
      </w:pPr>
      <w:r>
        <w:t xml:space="preserve">Appendix B. Working for the policy and supply-chain analysis</w:t>
      </w:r>
    </w:p>
    <w:p>
      <w:pPr>
        <w:pStyle w:val="FirstParagraph"/>
      </w:pPr>
      <w: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7" w:name="b1.-legal-and-political-pathway"/>
    <w:p>
      <w:pPr>
        <w:pStyle w:val="Heading4"/>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3" w:name="X3978bcd65168dfde624f3a3e20dbe906af3d815"/>
    <w:p>
      <w:pPr>
        <w:pStyle w:val="Heading5"/>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3"/>
    <w:bookmarkStart w:id="94" w:name="X52641d6a275743723c641fbdfc2158d68a6cd0a"/>
    <w:p>
      <w:pPr>
        <w:pStyle w:val="Heading5"/>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4"/>
    <w:bookmarkStart w:id="95" w:name="b1.3-nsw-repeal-bill-status"/>
    <w:p>
      <w:pPr>
        <w:pStyle w:val="Heading5"/>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5"/>
    <w:bookmarkStart w:id="96" w:name="X1a74a4ec34d97d2cc7de09de2586d1d2b22092c"/>
    <w:p>
      <w:pPr>
        <w:pStyle w:val="Heading5"/>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6"/>
    <w:bookmarkEnd w:id="97"/>
    <w:bookmarkStart w:id="104" w:name="X372cadb88b67a633233203304eb4ef38d3c0c77"/>
    <w:p>
      <w:pPr>
        <w:pStyle w:val="Heading4"/>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8" w:name="b2.1-method"/>
    <w:p>
      <w:pPr>
        <w:pStyle w:val="Heading5"/>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section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section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8"/>
    <w:bookmarkStart w:id="99" w:name="b2.2-inputs-and-shares"/>
    <w:p>
      <w:pPr>
        <w:pStyle w:val="Heading5"/>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section 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section 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section 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section 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Section 3.5.2.</w:t>
      </w:r>
    </w:p>
    <w:bookmarkEnd w:id="99"/>
    <w:bookmarkStart w:id="100" w:name="b2.3-headline-results"/>
    <w:p>
      <w:pPr>
        <w:pStyle w:val="Heading5"/>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section 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100"/>
    <w:bookmarkStart w:id="101" w:name="b2.4-sensitivity"/>
    <w:p>
      <w:pPr>
        <w:pStyle w:val="Heading5"/>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101"/>
    <w:bookmarkStart w:id="102" w:name="b2.5-limitations"/>
    <w:p>
      <w:pPr>
        <w:pStyle w:val="Heading5"/>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(Section 4).</w:t>
      </w:r>
      <w:r>
        <w:t xml:space="preserve"> </w:t>
      </w:r>
      <w:r>
        <w:t xml:space="preserve">- The HHI is a world-market measure. Darlington’s own demand is sized against it in B2.6.</w:t>
      </w:r>
    </w:p>
    <w:bookmarkEnd w:id="102"/>
    <w:bookmarkStart w:id="103" w:name="X38b76fede8e58c0e5d473d8915656eae0265e01"/>
    <w:p>
      <w:pPr>
        <w:pStyle w:val="Heading5"/>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section 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section 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3"/>
    <w:bookmarkEnd w:id="104"/>
    <w:bookmarkStart w:id="106" w:name="X4d39e6569850789c0bc5244e03826205e394972"/>
    <w:p>
      <w:pPr>
        <w:pStyle w:val="Heading4"/>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Section 3.7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bookmarkStart w:id="105" w:name="X4d7620ad6684f736307b127d60379d32821a480"/>
    <w:p>
      <w:pPr>
        <w:pStyle w:val="Heading5"/>
      </w:pPr>
      <w:r>
        <w:t xml:space="preserve">B3.1 Implementation levers for C1 (the Section 3.6.2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Section 3.6.2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5"/>
    <w:bookmarkEnd w:id="106"/>
    <w:bookmarkStart w:id="110" w:name="X6942ef6bc025069590c0c205010015835f1b9ab"/>
    <w:p>
      <w:pPr>
        <w:pStyle w:val="Heading4"/>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7" w:name="b4.1-method"/>
    <w:p>
      <w:pPr>
        <w:pStyle w:val="Heading5"/>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Section 3.2;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(Section 3.2,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7"/>
    <w:bookmarkStart w:id="108" w:name="b4.2-results"/>
    <w:p>
      <w:pPr>
        <w:pStyle w:val="Heading5"/>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8"/>
    <w:bookmarkStart w:id="109" w:name="b4.3-limitations"/>
    <w:p>
      <w:pPr>
        <w:pStyle w:val="Heading5"/>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9"/>
    <w:bookmarkEnd w:id="110"/>
    <w:bookmarkStart w:id="117" w:name="X66860b851f2e133f81978e30598e738689cf6de"/>
    <w:p>
      <w:pPr>
        <w:pStyle w:val="Heading4"/>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11" w:name="b5.1-method"/>
    <w:p>
      <w:pPr>
        <w:pStyle w:val="Heading5"/>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11"/>
    <w:bookmarkStart w:id="112" w:name="b5.2-co₂e-lost-per-month-of-delay"/>
    <w:p>
      <w:pPr>
        <w:pStyle w:val="Heading5"/>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section 5).</w:t>
      </w:r>
    </w:p>
    <w:bookmarkEnd w:id="112"/>
    <w:bookmarkStart w:id="113" w:name="b5.3-break-even-delay-for-c1"/>
    <w:p>
      <w:pPr>
        <w:pStyle w:val="Heading5"/>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3"/>
    <w:bookmarkStart w:id="114" w:name="Xaea02f89b8298bc8af300b41fdf9ad8acb92793"/>
    <w:p>
      <w:pPr>
        <w:pStyle w:val="Heading5"/>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Section 3.3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section 5), against C1’s total carbon value of C$0.63–0.76 m (C$1.14 m at 60% eligibility and C$115/t).</w:t>
      </w:r>
    </w:p>
    <w:bookmarkEnd w:id="114"/>
    <w:bookmarkStart w:id="115" w:name="b5.5-year-scale-delays"/>
    <w:p>
      <w:pPr>
        <w:pStyle w:val="Heading5"/>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5"/>
    <w:bookmarkStart w:id="116" w:name="b5.6-limitations"/>
    <w:p>
      <w:pPr>
        <w:pStyle w:val="Heading5"/>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6"/>
    <w:bookmarkEnd w:id="117"/>
    <w:bookmarkStart w:id="122" w:name="Xe9bf8aa20110d892414618c9830b1120addc14d"/>
    <w:p>
      <w:pPr>
        <w:pStyle w:val="Heading4"/>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8" w:name="b6.1-inputs-and-method"/>
    <w:p>
      <w:pPr>
        <w:pStyle w:val="Heading5"/>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section 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Section 3.3)</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8"/>
    <w:bookmarkStart w:id="119" w:name="b6.2-results"/>
    <w:p>
      <w:pPr>
        <w:pStyle w:val="Heading5"/>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section 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section 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5. Bold row is the central case Section 3.3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9"/>
    <w:bookmarkStart w:id="120" w:name="Xd3c3cf27c12f2b6068bf203352ac12d45dd7cd3"/>
    <w:p>
      <w:pPr>
        <w:pStyle w:val="Heading5"/>
      </w:pPr>
      <w:r>
        <w:t xml:space="preserve">B6.3 Capital cost alone, and the check against our own LCOE and OPG’s figure</w:t>
      </w:r>
    </w:p>
    <w:p>
      <w:pPr>
        <w:pStyle w:val="FirstParagraph"/>
      </w:pPr>
      <w:r>
        <w:rPr>
          <w:bCs/>
          <w:b/>
        </w:rPr>
        <w:t xml:space="preserve">Capital cost alone (moved from Section 3.3.3).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section 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section 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(Section 3.5.1),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20"/>
    <w:bookmarkStart w:id="121" w:name="b6.4-limitations"/>
    <w:p>
      <w:pPr>
        <w:pStyle w:val="Heading5"/>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21"/>
    <w:bookmarkEnd w:id="122"/>
    <w:bookmarkStart w:id="129" w:name="Xc131c5b7da9b849e6bc37677db63fd4f3349dcd"/>
    <w:p>
      <w:pPr>
        <w:pStyle w:val="Heading4"/>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Section 3.7 (the Section 3.7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3" w:name="b7.1-options-criteria-and-inputs"/>
    <w:p>
      <w:pPr>
        <w:pStyle w:val="Heading5"/>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(Section 3.2).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Section 3.4.2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3"/>
    <w:bookmarkStart w:id="124" w:name="b7.2-method"/>
    <w:p>
      <w:pPr>
        <w:pStyle w:val="Heading5"/>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Section 3.6.2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4"/>
    <w:bookmarkStart w:id="125" w:name="b7.3-weights-and-results"/>
    <w:p>
      <w:pPr>
        <w:pStyle w:val="Heading5"/>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4. Rationale sources: Bowen’s statements; the Liberal Party 2026 energy plan; Section 3.4.2.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5"/>
    <w:bookmarkStart w:id="126" w:name="b7.4-rank-reversal-and-input-sensitivity"/>
    <w:p>
      <w:pPr>
        <w:pStyle w:val="Heading5"/>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6"/>
    <w:bookmarkStart w:id="127" w:name="X655acef3214253160cddaea55a74ab651fff5b4"/>
    <w:p>
      <w:pPr>
        <w:pStyle w:val="Heading5"/>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7"/>
    <w:bookmarkStart w:id="128" w:name="b7.6-limitations"/>
    <w:p>
      <w:pPr>
        <w:pStyle w:val="Heading5"/>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8"/>
    <w:bookmarkEnd w:id="129"/>
    <w:bookmarkStart w:id="134" w:name="Xf511f31261708a0052acbe2a7ca6790c4cfa87f"/>
    <w:p>
      <w:pPr>
        <w:pStyle w:val="Heading4"/>
      </w:pPr>
      <w:r>
        <w:t xml:space="preserve">B8. Social licence and stakeholder working (for Section 3.4.2 and Section 3.4.1)</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30" w:name="X8871295422bcc52b42d843e419a224e284f0009"/>
    <w:p>
      <w:pPr>
        <w:pStyle w:val="Heading5"/>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30"/>
    <w:bookmarkStart w:id="131" w:name="X92849018d318b05d1619841a208001b9b5d443e"/>
    <w:p>
      <w:pPr>
        <w:pStyle w:val="Heading5"/>
      </w:pPr>
      <w:r>
        <w:t xml:space="preserve">B8.2 Stakeholder power, interest and stance (Figure F8)</w:t>
      </w:r>
    </w:p>
    <w:p>
      <w:pPr>
        <w:pStyle w:val="FirstParagraph"/>
      </w:pPr>
      <w:r>
        <w:t xml:space="preserve">Each actor is scored for power (1–5), interest (1–5) and stance (−2 strongly against to +2 strongly for) from the evidence in Sections 3.4–3.6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Sections 3.4–3.6 evidence;</w:t>
      </w:r>
      <w:r>
        <w:rPr>
          <w:iCs/>
          <w:i/>
        </w:rPr>
        <w:t xml:space="preserve"> </w:t>
      </w:r>
      <w:r>
        <w:rPr>
          <w:rStyle w:val="VerbatimChar"/>
          <w:iCs/>
          <w:i/>
        </w:rPr>
        <w:t xml:space="preserve">results/social_licence.md</w:t>
      </w:r>
      <w:r>
        <w:rPr>
          <w:iCs/>
          <w:i/>
        </w:rPr>
        <w:t xml:space="preserve"> </w:t>
      </w:r>
      <w:r>
        <w:rPr>
          <w:iCs/>
          <w:i/>
        </w:rPr>
        <w:t xml:space="preserve">section 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31"/>
    <w:bookmarkStart w:id="132" w:name="X896d2bfe54b9a94cdd26775c3af798143bf33da"/>
    <w:p>
      <w:pPr>
        <w:pStyle w:val="Heading5"/>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p>
    <w:bookmarkEnd w:id="132"/>
    <w:bookmarkStart w:id="133" w:name="X7094c050e1e3614f8863513705ad571ff5d7276"/>
    <w:p>
      <w:pPr>
        <w:pStyle w:val="Heading5"/>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3"/>
    <w:bookmarkEnd w:id="134"/>
    <w:bookmarkEnd w:id="135"/>
    <w:bookmarkStart w:id="143" w:name="X2538f2b2fc20c8063ffc88885f2cb513202a3b3"/>
    <w:p>
      <w:pPr>
        <w:pStyle w:val="Heading2"/>
      </w:pPr>
      <w:r>
        <w:t xml:space="preserve">Appendix C. Sensitivity: tornado and Monte Carlo set-up and results</w:t>
      </w:r>
    </w:p>
    <w:p>
      <w:pPr>
        <w:pStyle w:val="FirstParagraph"/>
      </w:pPr>
      <w:r>
        <w:t xml:space="preserve">This appendix shows how uncertain the Section 3.2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6" w:name="c1.-set-up"/>
    <w:p>
      <w:pPr>
        <w:pStyle w:val="Heading4"/>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6"/>
    <w:bookmarkStart w:id="137" w:name="c2.-ranged-inputs-and-tornado-results"/>
    <w:p>
      <w:pPr>
        <w:pStyle w:val="Heading4"/>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7"/>
    <w:bookmarkStart w:id="138" w:name="X8f754cc28aabff45bd5ffa0c19e17af6b52329b"/>
    <w:p>
      <w:pPr>
        <w:pStyle w:val="Heading4"/>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8"/>
    <w:bookmarkStart w:id="139" w:name="c4.-monte-carlo-results"/>
    <w:p>
      <w:pPr>
        <w:pStyle w:val="Heading4"/>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Section 3.2.3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9"/>
    <w:bookmarkStart w:id="140" w:name="X31250b838455e6096b9edbd1b8f7a12ed088df6"/>
    <w:p>
      <w:pPr>
        <w:pStyle w:val="Heading4"/>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40"/>
    <w:bookmarkStart w:id="141" w:name="X861311e05ca973e4ff92563d183b5e9367fe19f"/>
    <w:p>
      <w:pPr>
        <w:pStyle w:val="Heading4"/>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(Section 3.2.1) are not sampled; they bias the result low (C7).</w:t>
      </w:r>
    </w:p>
    <w:bookmarkEnd w:id="141"/>
    <w:bookmarkStart w:id="142" w:name="X35b5ee5f237d4555b3db06902854d0e23ac87dc"/>
    <w:p>
      <w:pPr>
        <w:pStyle w:val="Heading4"/>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Section 3.2.3.</w:t>
      </w:r>
    </w:p>
    <w:p>
      <w:r>
        <w:pict>
          <v:rect style="width:0;height:1.5pt" o:hralign="center" o:hrstd="t" o:hr="t"/>
        </w:pict>
      </w:r>
    </w:p>
    <w:bookmarkEnd w:id="142"/>
    <w:bookmarkEnd w:id="143"/>
    <w:bookmarkStart w:id="148" w:name="appendix-e.-search-log"/>
    <w:p>
      <w:pPr>
        <w:pStyle w:val="Heading2"/>
      </w:pPr>
      <w:r>
        <w:t xml:space="preserve">Appendix E. Search log</w:t>
      </w:r>
    </w:p>
    <w:bookmarkStart w:id="144" w:name="e1.-method-and-access"/>
    <w:p>
      <w:pPr>
        <w:pStyle w:val="Heading4"/>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4"/>
    <w:bookmarkStart w:id="145" w:name="e2.-search-strings-and-results"/>
    <w:p>
      <w:pPr>
        <w:pStyle w:val="Heading4"/>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5"/>
    <w:bookmarkStart w:id="146" w:name="e3.-patents-kept"/>
    <w:p>
      <w:pPr>
        <w:pStyle w:val="Heading4"/>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(Section 3.1.2)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(Section 3.1.2;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(Section 3.1.5)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(Section 3.8)</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(Section 3.8)</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6"/>
    <w:bookmarkStart w:id="147" w:name="X6772717928f13429d4d4f50caaf7675f61535b4"/>
    <w:p>
      <w:pPr>
        <w:pStyle w:val="Heading4"/>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7"/>
    <w:bookmarkEnd w:id="148"/>
    <w:bookmarkEnd w:id="149"/>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outlineLvl w:val="0"/>
    </w:pPr>
    <w:rPr>
      <w:sz w:val="40"/>
      <w:szCs w:val="40"/>
    </w:rPr>
  </w:style>
  <w:style w:styleId="Heading2" w:type="paragraph">
    <w:name w:val="heading 2"/>
    <w:basedOn w:val="Normal"/>
    <w:next w:val="Normal"/>
    <w:pPr>
      <w:keepNext w:val="1"/>
      <w:keepLines w:val="1"/>
      <w:pageBreakBefore w:val="0"/>
      <w:spacing w:after="120" w:before="360" w:lineRule="auto"/>
      <w:outlineLvl w:val="1"/>
    </w:pPr>
    <w:rPr>
      <w:b w:val="0"/>
      <w:bCs w:val="0"/>
      <w:sz w:val="32"/>
      <w:szCs w:val="32"/>
    </w:rPr>
  </w:style>
  <w:style w:styleId="Heading3" w:type="paragraph">
    <w:name w:val="heading 3"/>
    <w:basedOn w:val="Normal"/>
    <w:next w:val="Normal"/>
    <w:pPr>
      <w:keepNext w:val="1"/>
      <w:keepLines w:val="1"/>
      <w:pageBreakBefore w:val="0"/>
      <w:spacing w:after="80" w:before="320" w:lineRule="auto"/>
      <w:outlineLvl w:val="2"/>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outlineLvl w:val="3"/>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595959" w:space="0" w:sz="8" w:val="single"/>
        <w:bottom w:color="595959" w:space="0" w:sz="8" w:val="single"/>
        <w:insideH w:color="D0D7DE" w:space="0" w:sz="4" w:val="single"/>
      </w:tblBorders>
      <w:tblCellMar>
        <w:top w:type="dxa" w:w="30"/>
        <w:left w:type="dxa" w:w="80"/>
        <w:bottom w:type="dxa" w:w="30"/>
        <w:right w:type="dxa" w:w="80"/>
      </w:tblCellMar>
    </w:tblPr>
    <w:tblStylePr w:type="firstRow">
      <w:rPr>
        <w:b/>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026" w:val="right"/>
      </w:tabs>
      <w:spacing w:after="60" w:before="60" w:line="240" w:lineRule="auto"/>
      <w:ind w:left="0"/>
    </w:pPr>
    <w:rPr>
      <w:rFonts w:ascii="Arial" w:cs="Arial" w:hAnsi="Arial"/>
      <w:b/>
      <w:bCs/>
      <w:sz w:val="22"/>
      <w:szCs w:val="22"/>
    </w:rPr>
  </w:style>
  <w:style w:styleId="TOC2" w:type="paragraph">
    <w:name w:val="toc 2"/>
    <w:basedOn w:val="Normal"/>
    <w:next w:val="Normal"/>
    <w:uiPriority w:val="39"/>
    <w:unhideWhenUsed/>
    <w:pPr>
      <w:tabs>
        <w:tab w:leader="dot" w:pos="9026" w:val="right"/>
      </w:tabs>
      <w:spacing w:after="60" w:before="60" w:line="240" w:lineRule="auto"/>
      <w:ind w:left="720"/>
    </w:pPr>
    <w:rPr>
      <w:rFonts w:ascii="Arial" w:cs="Arial" w:hAnsi="Arial"/>
      <w:sz w:val="22"/>
      <w:szCs w:val="22"/>
    </w:rPr>
  </w:style>
  <w:style w:styleId="TOC3" w:type="paragraph">
    <w:name w:val="toc 3"/>
    <w:basedOn w:val="Normal"/>
    <w:next w:val="Normal"/>
    <w:uiPriority w:val="39"/>
    <w:unhideWhenUsed/>
    <w:pPr>
      <w:tabs>
        <w:tab w:leader="dot" w:pos="9026" w:val="right"/>
      </w:tabs>
      <w:spacing w:after="60" w:before="60" w:line="240" w:lineRule="auto"/>
      <w:ind w:left="1440"/>
    </w:pPr>
    <w:rPr>
      <w:rFonts w:ascii="Arial" w:cs="Arial" w:hAnsi="Arial"/>
      <w:sz w:val="22"/>
      <w:szCs w:val="22"/>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2026-10-25T12:22:17Z</dcterms:created>
  <dcterms:modified xsi:type="dcterms:W3CDTF">2026-10-25T12:22:17Z</dcterms:modified>
</cp:coreProperties>
</file>

<file path=docProps/custom.xml><?xml version="1.0" encoding="utf-8"?>
<Properties xmlns="http://schemas.openxmlformats.org/officeDocument/2006/custom-properties" xmlns:vt="http://schemas.openxmlformats.org/officeDocument/2006/docPropsVTypes"/>
</file>