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5.png" ContentType="image/png"/>
  <Override PartName="/word/media/rId51.png" ContentType="image/png"/>
  <Override PartName="/word/media/rId55.png" ContentType="image/png"/>
  <Override PartName="/word/media/rId60.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DRAFT</w:t>
      </w:r>
      <w:r>
        <w:t xml:space="preserve"> </w:t>
      </w:r>
      <w:r>
        <w:t xml:space="preserve">(assembled</w:t>
      </w:r>
      <w:r>
        <w:t xml:space="preserve"> </w:t>
      </w:r>
      <w:r>
        <w:t xml:space="preserve">from</w:t>
      </w:r>
      <w:r>
        <w:t xml:space="preserve"> </w:t>
      </w:r>
      <w:r>
        <w:t xml:space="preserve">sections)</w:t>
      </w:r>
    </w:p>
    <w:p>
      <w:pPr>
        <w:pStyle w:val="FirstParagraph"/>
      </w:pPr>
      <w:r>
        <w:rPr>
          <w:bCs/>
          <w:b/>
        </w:rPr>
        <w:t xml:space="preserve">Draft for the team, not the submission.</w:t>
      </w:r>
      <w:r>
        <w:t xml:space="preserve"> </w:t>
      </w:r>
      <w:r>
        <w:t xml:space="preserve">Every [TO VERIFY] and [TODO] marker is still open. Leroy’s sections are placeholders until they are in the repo.</w:t>
      </w:r>
    </w:p>
    <w:p>
      <w:r>
        <w:br w:type="page"/>
      </w:r>
    </w:p>
    <w:bookmarkStart w:id="20" w:name="abstract"/>
    <w:p>
      <w:pPr>
        <w:pStyle w:val="Heading1"/>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p>
      <w:r>
        <w:br w:type="page"/>
      </w:r>
    </w:p>
    <w:p>
      <w:pPr>
        <w:pStyle w:val="Heading1"/>
      </w:pPr>
      <w:r>
        <w:t>Table of Contents</w:t>
      </w:r>
    </w:p>
    <w:p>
      <w:r>
        <w:fldChar w:fldCharType="begin" w:dirty="true"/>
      </w:r>
      <w:r>
        <w:instrText xml:space="preserve">TOC \o "1-3" \h \z \u</w:instrText>
      </w:r>
      <w:r>
        <w:fldChar w:fldCharType="separate"/>
      </w:r>
      <w:r>
        <w:t>Right-click here and choose Update Field to build the table of contents.</w:t>
      </w:r>
      <w:r>
        <w:fldChar w:fldCharType="end"/>
      </w:r>
    </w:p>
    <w:p>
      <w:r>
        <w:br w:type="page"/>
      </w:r>
    </w:p>
    <w:bookmarkEnd w:id="20"/>
    <w:bookmarkStart w:id="21" w:name="introduction"/>
    <w:p>
      <w:pPr>
        <w:pStyle w:val="Heading1"/>
      </w:pPr>
      <w:r>
        <w:t xml:space="preserve">1 Introduction</w:t>
      </w:r>
    </w:p>
    <w:p>
      <w:pPr>
        <w:pStyle w:val="FirstParagraph"/>
      </w:pPr>
      <w: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(Section 3.6.1).</w:t>
      </w:r>
      <w:r>
        <w:t xml:space="preserve"> </w:t>
      </w:r>
      <w:r>
        <w:rPr>
          <w:iCs/>
          <w:i/>
        </w:rPr>
        <w:t xml:space="preserve">Liddell</w:t>
      </w:r>
      <w:r>
        <w:t xml:space="preserve"> </w:t>
      </w:r>
      <w:r>
        <w:t xml:space="preserve">is the Australian comparison, a closed coal site with a grid connection.</w:t>
      </w:r>
    </w:p>
    <w:p>
      <w:pPr>
        <w:pStyle w:val="BodyText"/>
      </w:pPr>
      <w:r>
        <w:t xml:space="preserve">OPG should pilot limestone calcined clay cement (LC³) in eligible non-safety works first, using it in the steel-composite infill only if qualified and schedule-neutral (Sections 3.1.1–3.1.4, Section 3.1.5).</w:t>
      </w:r>
    </w:p>
    <w:p>
      <w:pPr>
        <w:pStyle w:val="BodyText"/>
      </w:pPr>
      <w:r>
        <w:t xml:space="preserve">We answer four research questions.</w:t>
      </w:r>
    </w:p>
    <w:p>
      <w:pPr>
        <w:numPr>
          <w:ilvl w:val="0"/>
          <w:numId w:val="1001"/>
        </w:numPr>
        <w:pStyle w:val="Compact"/>
      </w:pPr>
      <w:r>
        <w:t xml:space="preserve">What does one BWRX-300 emit, and where? (Section 3.2)</w:t>
      </w:r>
    </w:p>
    <w:p>
      <w:pPr>
        <w:numPr>
          <w:ilvl w:val="0"/>
          <w:numId w:val="1001"/>
        </w:numPr>
        <w:pStyle w:val="Compact"/>
      </w:pPr>
      <w:r>
        <w:t xml:space="preserve">How much does C1 save, and what delay cancels it? (Sections 3.2–3.3)</w:t>
      </w:r>
    </w:p>
    <w:p>
      <w:pPr>
        <w:numPr>
          <w:ilvl w:val="0"/>
          <w:numId w:val="1001"/>
        </w:numPr>
        <w:pStyle w:val="Compact"/>
      </w:pPr>
      <w:r>
        <w:t xml:space="preserve">Does a unit’s climate value differ between Ontario and Liddell? (Section 3.3)</w:t>
      </w:r>
    </w:p>
    <w:p>
      <w:pPr>
        <w:numPr>
          <w:ilvl w:val="0"/>
          <w:numId w:val="1001"/>
        </w:numPr>
        <w:pStyle w:val="Compact"/>
      </w:pPr>
      <w:r>
        <w:t xml:space="preserve">Which barriers decide whether an SMR is built, and does it beat firmed renewables? (Section 3.1.3, Sections 3.4–3.7)</w:t>
      </w:r>
    </w:p>
    <w:p>
      <w:r>
        <w:pict>
          <v:rect style="width:0;height:1.5pt" o:hralign="center" o:hrstd="t" o:hr="t"/>
        </w:pict>
      </w:r>
    </w:p>
    <w:bookmarkEnd w:id="21"/>
    <w:bookmarkStart w:id="22" w:name="data-sourcesmethodology"/>
    <w:p>
      <w:pPr>
        <w:pStyle w:val="Heading1"/>
      </w:pPr>
      <w:r>
        <w:t xml:space="preserve">2 Data Sources/Methodology</w:t>
      </w:r>
    </w:p>
    <w:p>
      <w:pPr>
        <w:pStyle w:val="FirstParagraph"/>
      </w:pPr>
      <w:r>
        <w:t xml:space="preserve">Four methods carry the numbers: a screening life-cycle assessment (LCA), grid displacement with a schedule break-even, a concentration index for fuel supply, and a multi-criteria analysis. Scripts and parameter files regenerate every figure (Appendix A1). 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t xml:space="preserve">A screening study following ISO 14040/14044 principles (International Organization for Standardization, 2006a; 2006b), not critically reviewed: functional unit 1 MWh of net electricity at the grid connection, cradle to grave (Section 3.2.1). The screening model is scripted in Python; a Granta EduPack Eco Audit cross-check was planned but not completed.</w:t>
      </w:r>
    </w:p>
    <w:p>
      <w:pPr>
        <w:pStyle w:val="BodyText"/>
      </w:pP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t xml:space="preserve">Search strategy and patent search: Appendix E.</w:t>
      </w:r>
    </w:p>
    <w:p>
      <w:r>
        <w:pict>
          <v:rect style="width:0;height:1.5pt" o:hralign="center" o:hrstd="t" o:hr="t"/>
        </w:pict>
      </w:r>
    </w:p>
    <w:bookmarkEnd w:id="22"/>
    <w:bookmarkStart w:id="77" w:name="discussion"/>
    <w:p>
      <w:pPr>
        <w:pStyle w:val="Heading1"/>
      </w:pPr>
      <w:r>
        <w:t xml:space="preserve">3 Discussion</w:t>
      </w:r>
    </w:p>
    <w:bookmarkStart w:id="28" w:name="overview-of-smr"/>
    <w:p>
      <w:pPr>
        <w:pStyle w:val="Heading2"/>
      </w:pPr>
      <w:r>
        <w:t xml:space="preserve">3.1 Overview of SMR</w:t>
      </w:r>
    </w:p>
    <w:bookmarkStart w:id="23" w:name="current-projects-and-patents"/>
    <w:p>
      <w:pPr>
        <w:pStyle w:val="Heading3"/>
      </w:pPr>
      <w:r>
        <w:t xml:space="preserve">3.1.1 Current Projects and Patents</w:t>
      </w:r>
    </w:p>
    <w:p>
      <w:pPr>
        <w:pStyle w:val="FirstParagraph"/>
      </w:pPr>
      <w:r>
        <w:t xml:space="preserve">No light-water SMR is yet reported operating on land; the BWRX-300 is the Western design closest to doing so, and China’s ACP100 (Linglong One) was still in commissioning, with no criticality reported, in May 2026. Table T1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T1.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t xml:space="preserve">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pP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t xml:space="preserve">Australia’s earliest date is about 2040. 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matching first power at Liddell (Section 3.3).</w:t>
      </w:r>
    </w:p>
    <w:bookmarkEnd w:id="23"/>
    <w:bookmarkStart w:id="24" w:name="Xb1ffc1080fdf38f7feb2061406364c544a34d75"/>
    <w:p>
      <w:pPr>
        <w:pStyle w:val="Heading3"/>
      </w:pPr>
      <w:r>
        <w:t xml:space="preserve">3.1.2 Technical Descriptions: the BWRX-300 at Darlington</w:t>
      </w:r>
    </w:p>
    <w:p>
      <w:pPr>
        <w:pStyle w:val="FirstParagraph"/>
      </w:pPr>
      <w:r>
        <w:t xml:space="preserve">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t xml:space="preserve">The vendor’s concrete claim is hard to reconcile with Ostrołęka. 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(Section 3.1.4).</w:t>
      </w:r>
    </w:p>
    <w:bookmarkEnd w:id="24"/>
    <w:bookmarkStart w:id="25" w:name="X282bf2c80aeb6e14a6d21bd058e6df252031dca"/>
    <w:p>
      <w:pPr>
        <w:pStyle w:val="Heading3"/>
      </w:pPr>
      <w:r>
        <w:t xml:space="preserve">3.1.3 Barriers to cutting emissions with small modular reactors</w:t>
      </w:r>
    </w:p>
    <w:p>
      <w:pPr>
        <w:pStyle w:val="FirstParagraph"/>
      </w:pPr>
      <w:r>
        <w:t xml:space="preserve">Eight barriers decide whether a small modular reactor (SMR) is built and cuts emissions. The initiative, C1 (Section 3.1.4), reaches one directly and is constrained by a second. At Darlington, Ontario, cost and schedule bind. At Liddell, the closed New South Wales coal plant we use as the Australian comparison, law comes first and every later barrier is still open (Sections 3.4–3.6).</w:t>
      </w:r>
    </w:p>
    <w:p>
      <w:pPr>
        <w:pStyle w:val="BodyText"/>
      </w:pPr>
      <w:r>
        <w:rPr>
          <w:iCs/>
          <w:i/>
        </w:rPr>
        <w:t xml:space="preserve">Table T2.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(Section 3.5.1)</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(Section 3.3)</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(Section 3.5.2)</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11.5%</w:t>
            </w:r>
            <w:r>
              <w:t xml:space="preserve"> </w:t>
            </w:r>
            <w:r>
              <w:t xml:space="preserve">of life-cycle emissions is construction; C1 saves 2,200 t per unit (this study, Section 3.2)</w:t>
            </w:r>
          </w:p>
        </w:tc>
        <w:tc>
          <w:tcPr/>
          <w:p>
            <w:pPr>
              <w:pStyle w:val="Compact"/>
              <w:jc w:val="left"/>
            </w:pPr>
            <w:r>
              <w:t xml:space="preserve">Infill concrete needs nuclear qualification before Units 2–4 are fixed (Section 3.6.1)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(Section 3.4.2)</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(Section 3.4.2)</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(Section 3.4.2)</w:t>
            </w:r>
          </w:p>
        </w:tc>
        <w:tc>
          <w:tcPr/>
          <w:p>
            <w:pPr>
              <w:pStyle w:val="Compact"/>
              <w:jc w:val="left"/>
            </w:pPr>
            <w:r>
              <w:t xml:space="preserve">No</w:t>
            </w:r>
          </w:p>
        </w:tc>
      </w:tr>
    </w:tbl>
    <w:p>
      <w:pPr>
        <w:pStyle w:val="BodyText"/>
      </w:pPr>
      <w:r>
        <w:t xml:space="preserve">C1 moves only rows 2 and 5; Section 3.3 and Section 3.6.2 test the schedule risk.</w:t>
      </w:r>
    </w:p>
    <w:p>
      <w:r>
        <w:pict>
          <v:rect style="width:0;height:1.5pt" o:hralign="center" o:hrstd="t" o:hr="t"/>
        </w:pict>
      </w:r>
    </w:p>
    <w:bookmarkEnd w:id="25"/>
    <w:bookmarkStart w:id="26" w:name="X90098c7b12d1bfce5617586e418e3203c93a876"/>
    <w:p>
      <w:pPr>
        <w:pStyle w:val="Heading3"/>
      </w:pPr>
      <w:r>
        <w:t xml:space="preserve">3.1.4 The initiative: low-clinker concrete for the Darlington Units 2–4 infill</w:t>
      </w:r>
    </w:p>
    <w:p>
      <w:pPr>
        <w:pStyle w:val="FirstParagraph"/>
      </w:pPr>
      <w:r>
        <w:t xml:space="preserve">C1 targets a materials problem that modular construction creates, and it is worth doing only if it is schedule-neutral. 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(Section 3.3.1).</w:t>
      </w:r>
    </w:p>
    <w:p>
      <w:pPr>
        <w:pStyle w:val="BodyText"/>
      </w:pPr>
      <w:r>
        <w:t xml:space="preserve">Ontario Power Generation (OPG) should pilot limestone calcined clay cement (LC³; Scrivener et al., 2018) in eligible non-safety works first, and use it in steel-composite infill only if it is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Section 3.2.3;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t xml:space="preserve">Why it is not the obvious choice. First, the infill problem is specific to modular construction: a mix that flows, stays cool in thick sections and still shields has to be developed (Section 3.8). Second, C1’s value is set by schedule, not by the concrete: under three weeks of delay to a unit cancels its saving (Section 3.3.1), so C1 is a qualification programme timed to Unit 1 mock-ups rather than a binder swap. Third, its lever is financial: the Units 2–4 equity tranche can carry the condition (Section 3.6.2).</w:t>
      </w:r>
    </w:p>
    <w:p>
      <w:pPr>
        <w:pStyle w:val="BodyText"/>
      </w:pPr>
      <w:r>
        <w:t xml:space="preserve">What C1 does not address. It leaves cost, law, fuel supply, social licence and workforce untouched (Table T2); lower-carbon steel in the same structures is the next lever (Section 3.2.3, Section 3.8).</w:t>
      </w:r>
    </w:p>
    <w:p>
      <w:r>
        <w:pict>
          <v:rect style="width:0;height:1.5pt" o:hralign="center" o:hrstd="t" o:hr="t"/>
        </w:pict>
      </w:r>
    </w:p>
    <w:bookmarkEnd w:id="26"/>
    <w:bookmarkStart w:id="27" w:name="materials-from-extraction-to-end-of-life"/>
    <w:p>
      <w:pPr>
        <w:pStyle w:val="Heading3"/>
      </w:pPr>
      <w:r>
        <w:t xml:space="preserve">3.1.5 Materials from extraction to end-of-life</w:t>
      </w:r>
    </w:p>
    <w:p>
      <w:pPr>
        <w:pStyle w:val="FirstParagraph"/>
      </w:pPr>
      <w:r>
        <w:t xml:space="preserve">For C1, the binder’s carbon arises in the kiln, but its risks arise in the pour and at decommissioning. Stages follow Section 3.2’s boundary; operation, decommissioning and waste use published per-kWh values (Section 3.2.1).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(Section 3.8)</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p>
      <w:pPr>
        <w:pStyle w:val="BodyText"/>
      </w:pP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(Section 3.8).</w:t>
      </w:r>
    </w:p>
    <w:bookmarkEnd w:id="27"/>
    <w:bookmarkEnd w:id="28"/>
    <w:bookmarkStart w:id="49" w:name="lifecycle-analysis"/>
    <w:p>
      <w:pPr>
        <w:pStyle w:val="Heading2"/>
      </w:pPr>
      <w:r>
        <w:t xml:space="preserve">3.2 Lifecycle Analysis</w:t>
      </w:r>
    </w:p>
    <w:p>
      <w:pPr>
        <w:pStyle w:val="FirstParagraph"/>
      </w:pPr>
      <w:r>
        <w:t xml:space="preserve">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bookmarkStart w:id="32" w:name="goal-scope-and-method"/>
    <w:p>
      <w:pPr>
        <w:pStyle w:val="Heading3"/>
      </w:pPr>
      <w:r>
        <w:t xml:space="preserve">3.2.1 Goal, scope and method</w:t>
      </w:r>
    </w:p>
    <w:p>
      <w:pPr>
        <w:pStyle w:val="FirstParagraph"/>
      </w:pP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pStyle w:val="BodyText"/>
      </w:pPr>
      <w:r>
        <w:t xml:space="preserve">Functional unit: 1 MWh of net electricity at the grid connection (g CO₂e/kWh equals kg CO₂e/MWh); transmission is outside. One unit delivers 300 MWe × 8,760 h × 0.90 × 60 years = 1.419 × 10⁸ MWh (Appendix A2). Boundary (Figure F1): cradle to grave. Construction materials and the fuel front end (mining and milling, conversion, enrichment, fabrication) are modelled from published factors; operation and maintenance (O&amp;M), decommissioning and the back end are per-kWh values from EDF’s French-fleet study (EDF R&amp;D, 2024). Baseline (S0): the concrete OPG would pour anyway, at 380 kg CO₂e/m³ (Pillai et al., 2019, as reported; Indian M50 mixes). We have not seen OPG’s mix or any cement-type limit in the specification (GE-Hitachi Nuclear Energy, 2024). Cut-offs: fuel cladding and hardware, conversion chemicals, upstream gas, fuel-plant capital goods and recycling credits; each biases the result low (Section 3.2.5). Impact category: climate change, GWP100.</w:t>
      </w:r>
    </w:p>
    <w:p>
      <w:pPr>
        <w:pStyle w:val="BodyText"/>
      </w:pPr>
      <w:r>
        <w:t xml:space="preserve">A reproducible Python model multiplies quantities by published emission factors (Appendices A and C). Plant quantities come from the Ostrołęka project information sheet (BWRX-300 Ostrołęka sp. z o.o., 2023, as reported in the project information sheet): 50,000 m³ of concrete and 14,000 t of steel per unit.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 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2"/>
    <w:bookmarkStart w:id="36" w:name="baseline-and-hotspots"/>
    <w:p>
      <w:pPr>
        <w:pStyle w:val="Heading3"/>
      </w:pPr>
      <w:r>
        <w:t xml:space="preserve">3.2.2 Baseline and hotspots</w:t>
      </w:r>
    </w:p>
    <w:p>
      <w:pPr>
        <w:pStyle w:val="FirstParagraph"/>
      </w:pPr>
      <w:r>
        <w:t xml:space="preserve">One unit emits 4.40 g/kWh (median; 90% interval 3.24–6.05). With every input at its most likely value (the</w:t>
      </w:r>
      <w:r>
        <w:t xml:space="preserve"> </w:t>
      </w:r>
      <w:r>
        <w:t xml:space="preserve">“</w:t>
      </w:r>
      <w:r>
        <w:t xml:space="preserve">mode case</w:t>
      </w:r>
      <w:r>
        <w:t xml:space="preserve">”</w:t>
      </w:r>
      <w:r>
        <w:t xml:space="preserve">) it is 2.86; Section 3.2.4 explains the gap. On the expected basis (Figure F2):</w:t>
      </w:r>
    </w:p>
    <w:p>
      <w:pPr>
        <w:pStyle w:val="BodyText"/>
      </w:pPr>
      <w:r>
        <w:t xml:space="preserve">Mining and milling: 1.26 g/kWh (28%), low because Saskatchewan ores are high-grade (Parker, McNaughton and Sparrow, 2016). Conversion: 1.10 g/kWh (25%), 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 Back end: 0.65 g/kWh (15%), transferred from France, which reprocesses; Canada plans direct disposal (Nuclear Waste Management Organization, 2024a), so this may be high.</w:t>
      </w:r>
    </w:p>
    <w:p>
      <w:pPr>
        <w:pStyle w:val="BodyText"/>
      </w:pPr>
      <w:r>
        <w:t xml:space="preserve">The back end and decommissioning add 18%, O&amp;M 9% and construction 11.5% (0.52 g/kWh; 7.2–17.8% across draws). The C1-eligible concrete is only 1.9% of the mode-case total, so C1 acts on about one-fiftieth of the footprint.</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6"/>
    <w:bookmarkStart w:id="37" w:name="the-initiative-against-the-baseline"/>
    <w:p>
      <w:pPr>
        <w:pStyle w:val="Heading3"/>
      </w:pPr>
      <w:r>
        <w:t xml:space="preserve">3.2.3 The initiative against the baseline</w:t>
      </w:r>
    </w:p>
    <w:p>
      <w:pPr>
        <w:pStyle w:val="FirstParagraph"/>
      </w:pPr>
      <w:r>
        <w:t xml:space="preserve">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and drives the result. At 20, 40 and 60% of 50,000 m³, C1 saves 1,100, 2,200 and 3,300 t per unit, or 0.18, 0.36 and 0.54% of its life cycle (Table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Three findings follow, each with a consequence for the initiative. The saving is small at plant scale. It is about 0.016 g/kWh, so C1 does not change the plant’s climate case. It still exceeds the swing from the LC³ cut (1,672–2,964 t), the largest input other than eligibility. Its economic value is in Section 3.5.1. Slag is about as good as LC³, so the carbon case is for low-clinker concrete, not LC³ in particular. LC³ beats slag in only 55% of draws (median difference +54 t; 90% interval −588 to +766). If OPG’s baseline already contains slag, LC³’s gain is about −90 t, within noise. The specification should accept whichever binder qualifies first (Section 3.6.1).3. Lower-carbon steel is the larger lever but is not part of C1. Steel in the structures C1 targets saves only 566 t per unit (Appendix A7). All 14,000 t at best-practice electric-arc-furnace factors would save up to 3,915 t (1.8 times LC³), but this is an upper bound, not shown feasible for forgings and nuclear-grade plate. It is the next lever (Section 3.8). Schedule dominates. A delay of 11.6–18.5 days to one unit on Ontario’s average grid factor, or 1.7–1.8 days on the marginal factor, cancels its saving (Section 3.3.1; Appendix B5). C1 is therefore specified only if schedule-neutral (Section 3.6.2).</w:t>
      </w:r>
    </w:p>
    <w:p>
      <w:pPr>
        <w:pStyle w:val="BodyText"/>
      </w:pPr>
      <w:r>
        <w:t xml:space="preserve">For the triple-bottom-line evaluation (Section 3.7), C1 is environmentally positive but marginal; feasibility hinges on qualification and schedule.</w:t>
      </w:r>
    </w:p>
    <w:bookmarkEnd w:id="37"/>
    <w:bookmarkStart w:id="44" w:name="uncertainty-tornado-and-monte-carlo"/>
    <w:p>
      <w:pPr>
        <w:pStyle w:val="Heading3"/>
      </w:pPr>
      <w:r>
        <w:t xml:space="preserve">3.2.4 Uncertainty: tornado and Monte Carlo</w:t>
      </w:r>
    </w:p>
    <w:p>
      <w:pPr>
        <w:pStyle w:val="FirstParagraph"/>
      </w:pPr>
      <w:r>
        <w:t xml:space="preserve">The tornado varies 45 inputs one at a time; the Monte Carlo varies them together, 20,000 times (Appendix C).</w:t>
      </w:r>
    </w:p>
    <w:p>
      <w:pPr>
        <w:pStyle w:val="BodyText"/>
      </w:pPr>
      <w:r>
        <w:t xml:space="preserve">The total depends on the fuel inputs, not the concrete (Figure F3). The largest swings are conversion heat (2.86 → 5.53 g/kWh), the mining factor (2.43 → 3.82) and the back end (2.58 → 3.41). No concrete input moves the total by more than 0.06 g/kWh. The saving depends on four inputs: 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t xml:space="preserve">Monte Carlo (Figure F4): why we report 4.4, not 2.9. Several inputs can mostly only rise: conversion heat is most likely 26 kWh/kg U but could be 665, which alone adds about 1.0 g/kWh to the mean (Appendix C5). We therefore quote the median. The headline depends on how conversion heat is distributed: fixed at Gibon and Hahn Menacho’s (2023) central 26 kWh/kg U, the median is 3.51 g/kWh (2.80–4.39); log-uniform over 26–665, 4.11 (3.06–6.12). We quote the range of medians, 3.51–4.40.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4"/>
    <w:bookmarkStart w:id="48" w:name="comparison-with-published-values"/>
    <w:p>
      <w:pPr>
        <w:pStyle w:val="Heading3"/>
      </w:pPr>
      <w:r>
        <w:t xml:space="preserve">3.2.5 Comparison with published values</w:t>
      </w:r>
    </w:p>
    <w:p>
      <w:pPr>
        <w:pStyle w:val="FirstParagraph"/>
      </w:pPr>
      <w:r>
        <w:t xml:space="preserve">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t xml:space="preserve">Three reasons explain most of the gap (sizes in Appendix C7): Ore grade: our mining is 1.0–1.3 g/kWh, against about 2.8 at global-average grades (Gibon and Hahn Menacho, 2023). Enrichment: centrifuges at 50 kWh per separative work unit, against about 2,500 for the diffusion plants in older study sets. Cut-offs and long life: 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Section 3.2.3.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46" name="Picture"/>
            <a:graphic>
              <a:graphicData uri="http://schemas.openxmlformats.org/drawingml/2006/picture">
                <pic:pic>
                  <pic:nvPicPr>
                    <pic:cNvPr descr="/home/user/MTE4593-Group-Assignment/03_LCA_Calculations/results/F5_benchmarks.png" id="47" name="Picture"/>
                    <pic:cNvPicPr>
                      <a:picLocks noChangeArrowheads="1" noChangeAspect="1"/>
                    </pic:cNvPicPr>
                  </pic:nvPicPr>
                  <pic:blipFill>
                    <a:blip r:embed="rId45"/>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8"/>
    <w:bookmarkEnd w:id="49"/>
    <w:bookmarkStart w:id="59" w:name="X3ddf3e033a24408f4e033b74259d967de4cad05"/>
    <w:p>
      <w:pPr>
        <w:pStyle w:val="Heading2"/>
      </w:pPr>
      <w:r>
        <w:t xml:space="preserve">3.3 National Strategies and Industrial Policies: Carbon Avoided in Ontario and Australia</w:t>
      </w:r>
    </w:p>
    <w:p>
      <w:pPr>
        <w:pStyle w:val="FirstParagraph"/>
      </w:pPr>
      <w:r>
        <w:t xml:space="preserve">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0" w:name="the-value-of-schedule"/>
    <w:p>
      <w:pPr>
        <w:pStyle w:val="Heading3"/>
      </w:pPr>
      <w:r>
        <w:t xml:space="preserve">3.3.1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t xml:space="preserve">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Section 3.5.1), so no one is paid for it. Schedule neutrality is therefore the binding condition on C1. The mix must be qualified on Unit 1 mock-ups before the Units 2–4 decision expected in 2028 (Section 3.6.2).</w:t>
      </w:r>
    </w:p>
    <w:bookmarkEnd w:id="50"/>
    <w:bookmarkStart w:id="54" w:name="Xb77cf30fc1ffb1f20fb94e7af23c490604b5f45"/>
    <w:p>
      <w:pPr>
        <w:pStyle w:val="Heading3"/>
      </w:pPr>
      <w:r>
        <w:t xml:space="preserve">3.3.2 What one BWRX-300 displaces: Darlington vs Liddell</w:t>
      </w:r>
    </w:p>
    <w:p>
      <w:pPr>
        <w:pStyle w:val="FirstParagraph"/>
      </w:pPr>
      <w:r>
        <w:t xml:space="preserve">At today’s grid factors, a unit at Liddell would avoid about nine times more CO₂e than one at Darlington. Timing closes most of that gap. 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 1.0–6.8 Mt and Liddell 0.67–3.9 Mt.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(Section 1).</w:t>
      </w:r>
    </w:p>
    <w:p>
      <w:pPr>
        <w:pStyle w:val="BodyText"/>
      </w:pPr>
      <w:r>
        <w:t xml:space="preserve">An SMR’s climate value depends on when it runs and what it displaces, not on today’s coal share. 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2" name="Picture"/>
            <a:graphic>
              <a:graphicData uri="http://schemas.openxmlformats.org/drawingml/2006/picture">
                <pic:pic>
                  <pic:nvPicPr>
                    <pic:cNvPr descr="/home/user/MTE4593-Group-Assignment/03_LCA_Calculations/results/F6_displacement.png" id="53" name="Picture"/>
                    <pic:cNvPicPr>
                      <a:picLocks noChangeArrowheads="1" noChangeAspect="1"/>
                    </pic:cNvPicPr>
                  </pic:nvPicPr>
                  <pic:blipFill>
                    <a:blip r:embed="rId51"/>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4"/>
    <w:bookmarkStart w:id="58" w:name="the-same-money-on-firmed-renewables"/>
    <w:p>
      <w:pPr>
        <w:pStyle w:val="Heading3"/>
      </w:pPr>
      <w:r>
        <w:t xml:space="preserve">3.3.3 The same money on firmed renewables</w:t>
      </w:r>
    </w:p>
    <w:p>
      <w:pPr>
        <w:pStyle w:val="FirstParagraph"/>
      </w:pPr>
      <w: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 10.9× 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 On carbon per dollar, an SMR at Liddell loses. Its case rests on firm supply, land use, system security and a hedge against renewables or transmission falling behind, which Section 3.7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6" name="Picture"/>
            <a:graphic>
              <a:graphicData uri="http://schemas.openxmlformats.org/drawingml/2006/picture">
                <pic:pic>
                  <pic:nvPicPr>
                    <pic:cNvPr descr="/home/user/MTE4593-Group-Assignment/03_LCA_Calculations/results/F7_same_money.png" id="57" name="Picture"/>
                    <pic:cNvPicPr>
                      <a:picLocks noChangeArrowheads="1" noChangeAspect="1"/>
                    </pic:cNvPicPr>
                  </pic:nvPicPr>
                  <pic:blipFill>
                    <a:blip r:embed="rId55"/>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8"/>
    <w:bookmarkEnd w:id="59"/>
    <w:bookmarkStart w:id="65" w:name="stakeholder-analysis"/>
    <w:p>
      <w:pPr>
        <w:pStyle w:val="Heading2"/>
      </w:pPr>
      <w:r>
        <w:t xml:space="preserve">3.4 Stakeholder Analysis</w:t>
      </w:r>
    </w:p>
    <w:bookmarkStart w:id="63" w:name="stakeholders-and-money-flows"/>
    <w:p>
      <w:pPr>
        <w:pStyle w:val="Heading3"/>
      </w:pPr>
      <w:r>
        <w:t xml:space="preserve">3.4.1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Table T7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(Section 3.5.1),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(Section 3.5.1). None is opposed, but none yet has a reason to act; the tranche condition supplies one (Section 3.6.2). Contractors and suppliers then decide whether LC³ is deliverable.</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Sections 3.4–3.6. Source: this study, Appendix B8.2." title="" id="61" name="Picture"/>
            <a:graphic>
              <a:graphicData uri="http://schemas.openxmlformats.org/drawingml/2006/picture">
                <pic:pic>
                  <pic:nvPicPr>
                    <pic:cNvPr descr="/home/user/MTE4593-Group-Assignment/03_LCA_Calculations/results/F8_stakeholder_map.png" id="62" name="Picture"/>
                    <pic:cNvPicPr>
                      <a:picLocks noChangeArrowheads="1" noChangeAspect="1"/>
                    </pic:cNvPicPr>
                  </pic:nvPicPr>
                  <pic:blipFill>
                    <a:blip r:embed="rId60"/>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Sections 3.4–3.6. Source: this study, Appendix B8.2.</w:t>
      </w:r>
    </w:p>
    <w:p>
      <w:pPr>
        <w:pStyle w:val="BodyText"/>
      </w:pPr>
      <w:r>
        <w:rPr>
          <w:iCs/>
          <w:i/>
        </w:rPr>
        <w:t xml:space="preserve">Table T7. Stakeholders at the C$20.9 bn Darlington New Nuclear Project: influence, interest in C1, and money.</w:t>
      </w:r>
      <w:r>
        <w:t xml:space="preserve"> </w:t>
      </w:r>
      <w:r>
        <w:rPr>
          <w:iCs/>
          <w:i/>
        </w:rPr>
        <w:t xml:space="preserve">Source: influence ratings and interests are our qualitative judgement, not survey data; money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Stakeholder</w:t>
            </w:r>
          </w:p>
        </w:tc>
        <w:tc>
          <w:tcPr/>
          <w:p>
            <w:pPr>
              <w:pStyle w:val="Compact"/>
              <w:jc w:val="left"/>
            </w:pPr>
            <w:r>
              <w:t xml:space="preserve">Influence</w:t>
            </w:r>
          </w:p>
        </w:tc>
        <w:tc>
          <w:tcPr/>
          <w:p>
            <w:pPr>
              <w:pStyle w:val="Compact"/>
              <w:jc w:val="left"/>
            </w:pPr>
            <w:r>
              <w:t xml:space="preserve">Primary interest and suitable response for C1</w:t>
            </w:r>
          </w:p>
        </w:tc>
        <w:tc>
          <w:tcPr/>
          <w:p>
            <w:pPr>
              <w:pStyle w:val="Compact"/>
              <w:jc w:val="left"/>
            </w:pPr>
            <w:r>
              <w:t xml:space="preserve">Money (share of budget)</w:t>
            </w:r>
          </w:p>
        </w:tc>
      </w:tr>
      <w:tr>
        <w:tc>
          <w:tcPr/>
          <w:p>
            <w:pPr>
              <w:pStyle w:val="Compact"/>
              <w:jc w:val="left"/>
            </w:pPr>
            <w:r>
              <w:t xml:space="preserve">OPG and its design authority</w:t>
            </w:r>
          </w:p>
        </w:tc>
        <w:tc>
          <w:tcPr/>
          <w:p>
            <w:pPr>
              <w:pStyle w:val="Compact"/>
              <w:jc w:val="left"/>
            </w:pPr>
            <w:r>
              <w:t xml:space="preserve">Very high</w:t>
            </w:r>
          </w:p>
        </w:tc>
        <w:tc>
          <w:tcPr/>
          <w:p>
            <w:pPr>
              <w:pStyle w:val="Compact"/>
              <w:jc w:val="left"/>
            </w:pPr>
            <w:r>
              <w:t xml:space="preserve">Safety, eligible concrete scope, budgets, delivery; oversee qualification and a fallback mix</w:t>
            </w:r>
          </w:p>
        </w:tc>
        <w:tc>
          <w:tcPr/>
          <w:p>
            <w:pPr>
              <w:pStyle w:val="Compact"/>
              <w:jc w:val="left"/>
            </w:pPr>
            <w:r>
              <w:t xml:space="preserve">Pays C$16.2 bn (78%), repaid by Ontario ratepayers through Ontario Energy Board-approved rates (Ontario Power Generation, 2025b)</w:t>
            </w:r>
          </w:p>
        </w:tc>
      </w:tr>
      <w:tr>
        <w:tc>
          <w:tcPr/>
          <w:p>
            <w:pPr>
              <w:pStyle w:val="Compact"/>
              <w:jc w:val="left"/>
            </w:pPr>
            <w:r>
              <w:t xml:space="preserve">CNSC</w:t>
            </w:r>
          </w:p>
        </w:tc>
        <w:tc>
          <w:tcPr/>
          <w:p>
            <w:pPr>
              <w:pStyle w:val="Compact"/>
              <w:jc w:val="left"/>
            </w:pPr>
            <w:r>
              <w:t xml:space="preserve">Very high</w:t>
            </w:r>
          </w:p>
        </w:tc>
        <w:tc>
          <w:tcPr/>
          <w:p>
            <w:pPr>
              <w:pStyle w:val="Compact"/>
              <w:jc w:val="left"/>
            </w:pPr>
            <w:r>
              <w:t xml:space="preserve">Independent compliance and safety case; evaluate material changes where applicable</w:t>
            </w:r>
          </w:p>
        </w:tc>
        <w:tc>
          <w:tcPr/>
          <w:p>
            <w:pPr>
              <w:pStyle w:val="Compact"/>
              <w:jc w:val="left"/>
            </w:pPr>
            <w:r>
              <w:t xml:space="preserve">None</w:t>
            </w:r>
          </w:p>
        </w:tc>
      </w:tr>
      <w:tr>
        <w:tc>
          <w:tcPr/>
          <w:p>
            <w:pPr>
              <w:pStyle w:val="Compact"/>
              <w:jc w:val="left"/>
            </w:pPr>
            <w:r>
              <w:t xml:space="preserve">Williams Treaties First Nations and other rights holders</w:t>
            </w:r>
          </w:p>
        </w:tc>
        <w:tc>
          <w:tcPr/>
          <w:p>
            <w:pPr>
              <w:pStyle w:val="Compact"/>
              <w:jc w:val="left"/>
            </w:pPr>
            <w:r>
              <w:t xml:space="preserve">High</w:t>
            </w:r>
          </w:p>
        </w:tc>
        <w:tc>
          <w:tcPr/>
          <w:p>
            <w:pPr>
              <w:pStyle w:val="Compact"/>
              <w:jc w:val="left"/>
            </w:pPr>
            <w:r>
              <w:t xml:space="preserve">Long-term participation, cultural and environmental interests; rights-respecting engagement</w:t>
            </w:r>
          </w:p>
        </w:tc>
        <w:tc>
          <w:tcPr/>
          <w:p>
            <w:pPr>
              <w:pStyle w:val="Compact"/>
              <w:jc w:val="left"/>
            </w:pPr>
            <w:r>
              <w:t xml:space="preserve">Loan converting to equity, C$0.70 bn (3.3%); guarantors carry default risk (Williams Treaties First Nations et al., 2026)</w:t>
            </w:r>
          </w:p>
        </w:tc>
      </w:tr>
      <w:tr>
        <w:tc>
          <w:tcPr/>
          <w:p>
            <w:pPr>
              <w:pStyle w:val="Compact"/>
              <w:jc w:val="left"/>
            </w:pPr>
            <w:r>
              <w:t xml:space="preserve">Public financiers and investors</w:t>
            </w:r>
          </w:p>
        </w:tc>
        <w:tc>
          <w:tcPr/>
          <w:p>
            <w:pPr>
              <w:pStyle w:val="Compact"/>
              <w:jc w:val="left"/>
            </w:pPr>
            <w:r>
              <w:t xml:space="preserve">High</w:t>
            </w:r>
          </w:p>
        </w:tc>
        <w:tc>
          <w:tcPr/>
          <w:p>
            <w:pPr>
              <w:pStyle w:val="Compact"/>
              <w:jc w:val="left"/>
            </w:pPr>
            <w:r>
              <w:t xml:space="preserve">Investment risk, delivery milestones, lower-carbon economic development</w:t>
            </w:r>
          </w:p>
        </w:tc>
        <w:tc>
          <w:tcPr/>
          <w:p>
            <w:pPr>
              <w:pStyle w:val="Compact"/>
              <w:jc w:val="left"/>
            </w:pPr>
            <w:r>
              <w:t xml:space="preserve">Canada Infrastructure Bank Phase 1 loan, C$0.97 bn (4.6%) (Canada Infrastructure Bank, 2022); equity in two tranches, C$3.0 bn (14.4%), for stakes of up to 15% and 7.5% (Canada Growth Fund and Building Ontario Fund, 2025)</w:t>
            </w:r>
          </w:p>
        </w:tc>
      </w:tr>
      <w:tr>
        <w:tc>
          <w:tcPr/>
          <w:p>
            <w:pPr>
              <w:pStyle w:val="Compact"/>
              <w:jc w:val="left"/>
            </w:pPr>
            <w:r>
              <w:t xml:space="preserve">Contractors, ready-mix and clay suppliers</w:t>
            </w:r>
          </w:p>
        </w:tc>
        <w:tc>
          <w:tcPr/>
          <w:p>
            <w:pPr>
              <w:pStyle w:val="Compact"/>
              <w:jc w:val="left"/>
            </w:pPr>
            <w:r>
              <w:t xml:space="preserve">High</w:t>
            </w:r>
          </w:p>
        </w:tc>
        <w:tc>
          <w:tcPr/>
          <w:p>
            <w:pPr>
              <w:pStyle w:val="Compact"/>
              <w:jc w:val="left"/>
            </w:pPr>
            <w:r>
              <w:t xml:space="preserve">Constructability, price, traceability, warranties, continuous quality testing</w:t>
            </w:r>
          </w:p>
        </w:tc>
        <w:tc>
          <w:tcPr/>
          <w:p>
            <w:pPr>
              <w:pStyle w:val="Compact"/>
              <w:jc w:val="left"/>
            </w:pPr>
            <w:r>
              <w:t xml:space="preserve">Earn the construction revenue, with GE Vernova Hitachi</w:t>
            </w:r>
          </w:p>
        </w:tc>
      </w:tr>
      <w:tr>
        <w:tc>
          <w:tcPr/>
          <w:p>
            <w:pPr>
              <w:pStyle w:val="Compact"/>
              <w:jc w:val="left"/>
            </w:pPr>
            <w:r>
              <w:t xml:space="preserve">Clarington residents and electricity customers</w:t>
            </w:r>
          </w:p>
        </w:tc>
        <w:tc>
          <w:tcPr/>
          <w:p>
            <w:pPr>
              <w:pStyle w:val="Compact"/>
              <w:jc w:val="left"/>
            </w:pPr>
            <w:r>
              <w:t xml:space="preserve">Medium–high</w:t>
            </w:r>
          </w:p>
        </w:tc>
        <w:tc>
          <w:tcPr/>
          <w:p>
            <w:pPr>
              <w:pStyle w:val="Compact"/>
              <w:jc w:val="left"/>
            </w:pPr>
            <w:r>
              <w:t xml:space="preserve">Air and water impacts, transparent reporting, cost and reliability</w:t>
            </w:r>
          </w:p>
        </w:tc>
        <w:tc>
          <w:tcPr/>
          <w:p>
            <w:pPr>
              <w:pStyle w:val="Compact"/>
              <w:jc w:val="left"/>
            </w:pPr>
            <w:r>
              <w:t xml:space="preserve">Repay OPG’s share through rates</w:t>
            </w:r>
          </w:p>
        </w:tc>
      </w:tr>
      <w:tr>
        <w:tc>
          <w:tcPr/>
          <w:p>
            <w:pPr>
              <w:pStyle w:val="Compact"/>
              <w:jc w:val="left"/>
            </w:pPr>
            <w:r>
              <w:t xml:space="preserve">Workers, unions and laboratories</w:t>
            </w:r>
          </w:p>
        </w:tc>
        <w:tc>
          <w:tcPr/>
          <w:p>
            <w:pPr>
              <w:pStyle w:val="Compact"/>
              <w:jc w:val="left"/>
            </w:pPr>
            <w:r>
              <w:t xml:space="preserve">Medium–high</w:t>
            </w:r>
          </w:p>
        </w:tc>
        <w:tc>
          <w:tcPr/>
          <w:p>
            <w:pPr>
              <w:pStyle w:val="Compact"/>
              <w:jc w:val="left"/>
            </w:pPr>
            <w:r>
              <w:t xml:space="preserve">Occupational safety, training, testing, reliable construction procedures</w:t>
            </w:r>
          </w:p>
        </w:tc>
        <w:tc>
          <w:tcPr/>
          <w:p>
            <w:pPr>
              <w:pStyle w:val="Compact"/>
              <w:jc w:val="left"/>
            </w:pPr>
            <w:r>
              <w:t xml:space="preserve">About 1,600 construction jobs per SMR (Section 3.4.2)</w:t>
            </w:r>
          </w:p>
        </w:tc>
      </w:tr>
      <w:tr>
        <w:tc>
          <w:tcPr/>
          <w:p>
            <w:pPr>
              <w:pStyle w:val="Compact"/>
              <w:jc w:val="left"/>
            </w:pPr>
            <w:r>
              <w:t xml:space="preserve">NWMO and waste managers</w:t>
            </w:r>
          </w:p>
        </w:tc>
        <w:tc>
          <w:tcPr/>
          <w:p>
            <w:pPr>
              <w:pStyle w:val="Compact"/>
              <w:jc w:val="left"/>
            </w:pPr>
            <w:r>
              <w:t xml:space="preserve">Medium</w:t>
            </w:r>
          </w:p>
        </w:tc>
        <w:tc>
          <w:tcPr/>
          <w:p>
            <w:pPr>
              <w:pStyle w:val="Compact"/>
              <w:jc w:val="left"/>
            </w:pPr>
            <w:r>
              <w:t xml:space="preserve">Long-term waste stewardship; funded end-of-life obligations</w:t>
            </w:r>
          </w:p>
        </w:tc>
        <w:tc>
          <w:tcPr/>
          <w:p>
            <w:pPr>
              <w:pStyle w:val="Compact"/>
              <w:jc w:val="left"/>
            </w:pPr>
            <w:r>
              <w:t xml:space="preserve">Producer-funded (Section 3.4.2)</w:t>
            </w:r>
          </w:p>
        </w:tc>
      </w:tr>
    </w:tbl>
    <w:p>
      <w:r>
        <w:pict>
          <v:rect style="width:0;height:1.5pt" o:hralign="center" o:hrstd="t" o:hr="t"/>
        </w:pict>
      </w:r>
    </w:p>
    <w:bookmarkEnd w:id="63"/>
    <w:bookmarkStart w:id="64" w:name="social-licence"/>
    <w:p>
      <w:pPr>
        <w:pStyle w:val="Heading3"/>
      </w:pPr>
      <w:r>
        <w:t xml:space="preserve">3.4.2 Social licence</w:t>
      </w:r>
    </w:p>
    <w:p>
      <w:pPr>
        <w:pStyle w:val="FirstParagraph"/>
      </w:pPr>
      <w:r>
        <w:t xml:space="preserve">The same reactor has a social licence at Darlington and none at Liddell. Safety data do not explain the difference; consent, benefit and trust do (Table T8).</w:t>
      </w:r>
    </w:p>
    <w:p>
      <w:pPr>
        <w:pStyle w:val="BodyText"/>
      </w:pP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(Section 3.3), depends on what the reactor displaces.</w:t>
      </w:r>
    </w:p>
    <w:p>
      <w:pPr>
        <w:pStyle w:val="BodyText"/>
      </w:pPr>
      <w:r>
        <w:t xml:space="preserve">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t xml:space="preserve">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(Section 3.6.2).</w:t>
      </w:r>
    </w:p>
    <w:p>
      <w:pPr>
        <w:pStyle w:val="BodyText"/>
      </w:pPr>
      <w:r>
        <w:rPr>
          <w:iCs/>
          <w:i/>
        </w:rPr>
        <w:t xml:space="preserve">Table T8.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4"/>
    <w:bookmarkEnd w:id="65"/>
    <w:bookmarkStart w:id="68" w:name="market-analysis-and-economic-feasibility"/>
    <w:p>
      <w:pPr>
        <w:pStyle w:val="Heading2"/>
      </w:pPr>
      <w:r>
        <w:t xml:space="preserve">3.5 Market Analysis and Economic Feasibility</w:t>
      </w:r>
    </w:p>
    <w:bookmarkStart w:id="66" w:name="economics-finance-and-market-barriers"/>
    <w:p>
      <w:pPr>
        <w:pStyle w:val="Heading3"/>
      </w:pPr>
      <w:r>
        <w:t xml:space="preserve">3.5.1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t xml:space="preserve">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t xml:space="preserve">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t xml:space="preserve">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Section 3.6.2 (Table T13).</w:t>
      </w:r>
    </w:p>
    <w:p>
      <w:pPr>
        <w:pStyle w:val="BodyText"/>
      </w:pPr>
      <w:r>
        <w:rPr>
          <w:iCs/>
          <w:i/>
        </w:rPr>
        <w:t xml:space="preserve">Table T9. Material-only cost of an LC³ premium on 20,000 m³ of eligible concrete per unit, against 2,200 t CO₂e saved.</w:t>
      </w:r>
      <w:r>
        <w:t xml:space="preserve"> </w:t>
      </w:r>
      <w:r>
        <w:rPr>
          <w:iCs/>
          <w:i/>
        </w:rPr>
        <w:t xml:space="preserve">Source: this study; premiums assumed. Carbon price from Environment and Climate Change Canada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Premium</w:t>
            </w:r>
          </w:p>
        </w:tc>
        <w:tc>
          <w:tcPr/>
          <w:p>
            <w:pPr>
              <w:pStyle w:val="Compact"/>
              <w:jc w:val="left"/>
            </w:pPr>
            <w:r>
              <w:t xml:space="preserve">Extra cost per unit</w:t>
            </w:r>
          </w:p>
        </w:tc>
        <w:tc>
          <w:tcPr/>
          <w:p>
            <w:pPr>
              <w:pStyle w:val="Compact"/>
              <w:jc w:val="left"/>
            </w:pPr>
            <w:r>
              <w:t xml:space="preserve">Per t CO₂e saved</w:t>
            </w:r>
          </w:p>
        </w:tc>
        <w:tc>
          <w:tcPr/>
          <w:p>
            <w:pPr>
              <w:pStyle w:val="Compact"/>
              <w:jc w:val="left"/>
            </w:pPr>
            <w:r>
              <w:t xml:space="preserve">Against C$95–115/t</w:t>
            </w:r>
          </w:p>
        </w:tc>
      </w:tr>
      <w:tr>
        <w:tc>
          <w:tcPr/>
          <w:p>
            <w:pPr>
              <w:pStyle w:val="Compact"/>
              <w:jc w:val="left"/>
            </w:pPr>
            <w:r>
              <w:t xml:space="preserve">C$0/m³</w:t>
            </w:r>
          </w:p>
        </w:tc>
        <w:tc>
          <w:tcPr/>
          <w:p>
            <w:pPr>
              <w:pStyle w:val="Compact"/>
              <w:jc w:val="left"/>
            </w:pPr>
            <w:r>
              <w:t xml:space="preserve">C$0</w:t>
            </w:r>
          </w:p>
        </w:tc>
        <w:tc>
          <w:tcPr/>
          <w:p>
            <w:pPr>
              <w:pStyle w:val="Compact"/>
              <w:jc w:val="left"/>
            </w:pPr>
            <w:r>
              <w:t xml:space="preserve">C$0</w:t>
            </w:r>
          </w:p>
        </w:tc>
        <w:tc>
          <w:tcPr/>
          <w:p>
            <w:pPr>
              <w:pStyle w:val="Compact"/>
              <w:jc w:val="left"/>
            </w:pPr>
            <w:r>
              <w:t xml:space="preserve">Free</w:t>
            </w:r>
          </w:p>
        </w:tc>
      </w:tr>
      <w:tr>
        <w:tc>
          <w:tcPr/>
          <w:p>
            <w:pPr>
              <w:pStyle w:val="Compact"/>
              <w:jc w:val="left"/>
            </w:pPr>
            <w:r>
              <w:t xml:space="preserve">C$10/m³</w:t>
            </w:r>
          </w:p>
        </w:tc>
        <w:tc>
          <w:tcPr/>
          <w:p>
            <w:pPr>
              <w:pStyle w:val="Compact"/>
              <w:jc w:val="left"/>
            </w:pPr>
            <w:r>
              <w:t xml:space="preserve">C$0.2 m</w:t>
            </w:r>
          </w:p>
        </w:tc>
        <w:tc>
          <w:tcPr/>
          <w:p>
            <w:pPr>
              <w:pStyle w:val="Compact"/>
              <w:jc w:val="left"/>
            </w:pPr>
            <w:r>
              <w:t xml:space="preserve">C$91</w:t>
            </w:r>
          </w:p>
        </w:tc>
        <w:tc>
          <w:tcPr/>
          <w:p>
            <w:pPr>
              <w:pStyle w:val="Compact"/>
              <w:jc w:val="left"/>
            </w:pPr>
            <w:r>
              <w:t xml:space="preserve">Below the price</w:t>
            </w:r>
          </w:p>
        </w:tc>
      </w:tr>
      <w:tr>
        <w:tc>
          <w:tcPr/>
          <w:p>
            <w:pPr>
              <w:pStyle w:val="Compact"/>
              <w:jc w:val="left"/>
            </w:pPr>
            <w:r>
              <w:t xml:space="preserve">C$25/m³</w:t>
            </w:r>
          </w:p>
        </w:tc>
        <w:tc>
          <w:tcPr/>
          <w:p>
            <w:pPr>
              <w:pStyle w:val="Compact"/>
              <w:jc w:val="left"/>
            </w:pPr>
            <w:r>
              <w:t xml:space="preserve">C$0.5 m</w:t>
            </w:r>
          </w:p>
        </w:tc>
        <w:tc>
          <w:tcPr/>
          <w:p>
            <w:pPr>
              <w:pStyle w:val="Compact"/>
              <w:jc w:val="left"/>
            </w:pPr>
            <w:r>
              <w:t xml:space="preserve">C$227</w:t>
            </w:r>
          </w:p>
        </w:tc>
        <w:tc>
          <w:tcPr/>
          <w:p>
            <w:pPr>
              <w:pStyle w:val="Compact"/>
              <w:jc w:val="left"/>
            </w:pPr>
            <w:r>
              <w:t xml:space="preserve">Above the price</w:t>
            </w:r>
          </w:p>
        </w:tc>
      </w:tr>
      <w:tr>
        <w:tc>
          <w:tcPr/>
          <w:p>
            <w:pPr>
              <w:pStyle w:val="Compact"/>
              <w:jc w:val="left"/>
            </w:pPr>
            <w:r>
              <w:t xml:space="preserve">C$50/m³</w:t>
            </w:r>
          </w:p>
        </w:tc>
        <w:tc>
          <w:tcPr/>
          <w:p>
            <w:pPr>
              <w:pStyle w:val="Compact"/>
              <w:jc w:val="left"/>
            </w:pPr>
            <w:r>
              <w:t xml:space="preserve">C$1.0 m</w:t>
            </w:r>
          </w:p>
        </w:tc>
        <w:tc>
          <w:tcPr/>
          <w:p>
            <w:pPr>
              <w:pStyle w:val="Compact"/>
              <w:jc w:val="left"/>
            </w:pPr>
            <w:r>
              <w:t xml:space="preserve">C$455</w:t>
            </w:r>
          </w:p>
        </w:tc>
        <w:tc>
          <w:tcPr/>
          <w:p>
            <w:pPr>
              <w:pStyle w:val="Compact"/>
              <w:jc w:val="left"/>
            </w:pPr>
            <w:r>
              <w:t xml:space="preserve">Above the price</w:t>
            </w:r>
          </w:p>
        </w:tc>
      </w:tr>
    </w:tbl>
    <w:p>
      <w:pPr>
        <w:pStyle w:val="BodyText"/>
      </w:pPr>
      <w:r>
        <w:rPr>
          <w:iCs/>
          <w:i/>
        </w:rPr>
        <w:t xml:space="preserve">Table T10.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6"/>
    <w:bookmarkStart w:id="67" w:name="supply-concentration-and-geopolitics"/>
    <w:p>
      <w:pPr>
        <w:pStyle w:val="Heading3"/>
      </w:pPr>
      <w:r>
        <w:t xml:space="preserve">3.5.2 Supply concentration and geopolitics</w:t>
      </w:r>
    </w:p>
    <w:p>
      <w:pPr>
        <w:pStyle w:val="FirstParagraph"/>
      </w:pPr>
      <w:r>
        <w:t xml:space="preserve">Every front-end fuel stage we measured is concentrated. Each Herfindahl–Hirschman index (HHI; Section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T11). For Darlington this is a price risk; for an Australian SMR it is a sovereign risk.</w:t>
      </w:r>
    </w:p>
    <w:p>
      <w:pPr>
        <w:pStyle w:val="BodyText"/>
      </w:pP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t xml:space="preserve">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(Section 3.6.2).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(Section 3.8).</w:t>
      </w:r>
    </w:p>
    <w:p>
      <w:pPr>
        <w:pStyle w:val="BodyText"/>
      </w:pPr>
      <w:r>
        <w:rPr>
          <w:iCs/>
          <w:i/>
        </w:rPr>
        <w:t xml:space="preserve">Table T11.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7"/>
    <w:bookmarkEnd w:id="68"/>
    <w:bookmarkStart w:id="71" w:name="government-regulations-review"/>
    <w:p>
      <w:pPr>
        <w:pStyle w:val="Heading2"/>
      </w:pPr>
      <w:r>
        <w:t xml:space="preserve">3.6 Government Regulations Review</w:t>
      </w:r>
    </w:p>
    <w:bookmarkStart w:id="69" w:name="law-regulation-and-licensing"/>
    <w:p>
      <w:pPr>
        <w:pStyle w:val="Heading3"/>
      </w:pPr>
      <w:r>
        <w:t xml:space="preserve">3.6.1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pP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t xml:space="preserve">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p>
    <w:p>
      <w:pPr>
        <w:pStyle w:val="BodyText"/>
      </w:pPr>
      <w:r>
        <w:t xml:space="preserve">The non-safety pilot needs no nuclear qualification. Infill qualification must start in 2027, with slag (S1) as the fallback (Section 3.6.2). At Liddell the barrier precedes any materials choice: none of these first-order barriers can be solved by changing Portland cement to LC³.</w:t>
      </w:r>
    </w:p>
    <w:p>
      <w:pPr>
        <w:pStyle w:val="BodyText"/>
      </w:pPr>
      <w:r>
        <w:rPr>
          <w:iCs/>
          <w:i/>
        </w:rPr>
        <w:t xml:space="preserve">Table T12.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(CNSC, 2026a)</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9"/>
    <w:bookmarkStart w:id="70" w:name="implementation-pathway"/>
    <w:p>
      <w:pPr>
        <w:pStyle w:val="Heading3"/>
      </w:pPr>
      <w:r>
        <w:t xml:space="preserve">3.6.2 Implementation pathway</w:t>
      </w:r>
    </w:p>
    <w:p>
      <w:pPr>
        <w:pStyle w:val="FirstParagraph"/>
      </w:pPr>
      <w:r>
        <w:t xml:space="preserve">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(Section 3.1.4; Pillai et al., 2019).</w:t>
      </w:r>
    </w:p>
    <w:p>
      <w:pPr>
        <w:pStyle w:val="BodyText"/>
      </w:pPr>
      <w:r>
        <w:rPr>
          <w:iCs/>
          <w:i/>
        </w:rPr>
        <w:t xml:space="preserve">Table T13. Levers for putting C1 into practice, compared.</w:t>
      </w:r>
      <w:r>
        <w:t xml:space="preserve"> </w:t>
      </w:r>
      <w:r>
        <w:rPr>
          <w:iCs/>
          <w:i/>
        </w:rPr>
        <w:t xml:space="preserve">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 When</w:t>
            </w:r>
          </w:p>
        </w:tc>
        <w:tc>
          <w:tcPr/>
          <w:p>
            <w:pPr>
              <w:pStyle w:val="Compact"/>
              <w:jc w:val="left"/>
            </w:pPr>
            <w:r>
              <w:t xml:space="preserve">Schedule risk</w:t>
            </w:r>
          </w:p>
        </w:tc>
        <w:tc>
          <w:tcPr/>
          <w:p>
            <w:pPr>
              <w:pStyle w:val="Compact"/>
              <w:jc w:val="left"/>
            </w:pPr>
            <w:r>
              <w:t xml:space="preserve">Qualification gate it depends on; outcome if not met</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Section 3.5.1)</w:t>
            </w:r>
          </w:p>
        </w:tc>
        <w:tc>
          <w:tcPr/>
          <w:p>
            <w:pPr>
              <w:pStyle w:val="Compact"/>
              <w:jc w:val="left"/>
            </w:pPr>
            <w:r>
              <w:t xml:space="preserve">Yes (own contracts); next procurement round (2027)</w:t>
            </w:r>
          </w:p>
        </w:tc>
        <w:tc>
          <w:tcPr/>
          <w:p>
            <w:pPr>
              <w:pStyle w:val="Compact"/>
              <w:jc w:val="left"/>
            </w:pPr>
            <w:r>
              <w:t xml:space="preserve">Low</w:t>
            </w:r>
          </w:p>
        </w:tc>
        <w:tc>
          <w:tcPr/>
          <w:p>
            <w:pPr>
              <w:pStyle w:val="Compact"/>
              <w:jc w:val="left"/>
            </w:pPr>
            <w:r>
              <w:t xml:space="preserve">Classification and provenance: each component’s safety function defined, binder traced; if not, exclude it and revert to the approved mix</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 with tranche 2 (around 2028)</w:t>
            </w:r>
          </w:p>
        </w:tc>
        <w:tc>
          <w:tcPr/>
          <w:p>
            <w:pPr>
              <w:pStyle w:val="Compact"/>
              <w:jc w:val="left"/>
            </w:pPr>
            <w:r>
              <w:t xml:space="preserve">Low, if the exemption is written in</w:t>
            </w:r>
          </w:p>
        </w:tc>
        <w:tc>
          <w:tcPr/>
          <w:p>
            <w:pPr>
              <w:pStyle w:val="Compact"/>
              <w:jc w:val="left"/>
            </w:pPr>
            <w:r>
              <w:t xml:space="preserve">Life-cycle verification: EPDs on a comparable product boundary, with transport modelled; if not, no quantified saving claim</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 months</w:t>
            </w:r>
          </w:p>
        </w:tc>
        <w:tc>
          <w:tcPr/>
          <w:p>
            <w:pPr>
              <w:pStyle w:val="Compact"/>
              <w:jc w:val="left"/>
            </w:pPr>
            <w:r>
              <w:t xml:space="preserve">Depends on wording</w:t>
            </w:r>
          </w:p>
        </w:tc>
        <w:tc>
          <w:tcPr/>
          <w:p>
            <w:pPr>
              <w:pStyle w:val="Compact"/>
              <w:jc w:val="left"/>
            </w:pPr>
            <w:r>
              <w:t xml:space="preserve">Design-authority acceptance, with CNSC review where relevant; if not, no use in affected safety-class works</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 2027</w:t>
            </w:r>
          </w:p>
        </w:tc>
        <w:tc>
          <w:tcPr/>
          <w:p>
            <w:pPr>
              <w:pStyle w:val="Compact"/>
              <w:jc w:val="left"/>
            </w:pPr>
            <w:r>
              <w:t xml:space="preserve">Removes the main schedule risk</w:t>
            </w:r>
          </w:p>
        </w:tc>
        <w:tc>
          <w:tcPr/>
          <w:p>
            <w:pPr>
              <w:pStyle w:val="Compact"/>
              <w:jc w:val="left"/>
            </w:pPr>
            <w:r>
              <w:t xml:space="preserve">Strength, heat, crack and durability data, lot records and mock-ups; if not met, a further trial, rework or rejection</w:t>
            </w:r>
          </w:p>
        </w:tc>
        <w:tc>
          <w:tcPr/>
          <w:p>
            <w:pPr>
              <w:pStyle w:val="Compact"/>
              <w:jc w:val="left"/>
            </w:pPr>
            <w:r>
              <w:t xml:space="preserve">— (enabling step for L1’s infill extension)</w:t>
            </w:r>
          </w:p>
        </w:tc>
      </w:tr>
    </w:tbl>
    <w:p>
      <w:pPr>
        <w:pStyle w:val="BodyText"/>
      </w:pPr>
      <w:r>
        <w:t xml:space="preserve">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t xml:space="preserve">The federal standard is a template, not an obligation. 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70"/>
    <w:bookmarkEnd w:id="71"/>
    <w:bookmarkStart w:id="75" w:name="X5539a185355627e6c3e07c8c8240218227305a6"/>
    <w:p>
      <w:pPr>
        <w:pStyle w:val="Heading2"/>
      </w:pPr>
      <w:r>
        <w:t xml:space="preserve">3.7 Triple-bottom-line evaluation and multi-criteria analysis</w:t>
      </w:r>
    </w:p>
    <w:p>
      <w:pPr>
        <w:pStyle w:val="FirstParagraph"/>
      </w:pPr>
      <w:r>
        <w:t xml:space="preserve">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bookmarkStart w:id="72" w:name="triple-bottom-line"/>
    <w:p>
      <w:pPr>
        <w:pStyle w:val="Heading3"/>
      </w:pPr>
      <w:r>
        <w:t xml:space="preserve">3.7.1 Triple bottom line</w:t>
      </w:r>
    </w:p>
    <w:p>
      <w:pPr>
        <w:pStyle w:val="FirstParagraph"/>
      </w:pPr>
      <w:r>
        <w:t xml:space="preserve">Table T14 applies the triple bottom line to C1 at Darlington and to the comparison at Liddell, each cell traced to its section.</w:t>
      </w:r>
    </w:p>
    <w:p>
      <w:pPr>
        <w:pStyle w:val="BodyText"/>
      </w:pPr>
      <w:r>
        <w:rPr>
          <w:iCs/>
          <w:i/>
        </w:rPr>
        <w:t xml:space="preserve">Table T14.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C1 assessment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(Section 3.2). C1 saves 2,200 t per unit at 40% eligibility, about 0.36% of the life cycle; supply and end-of-life effects are uncertain.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Conditional benefit</w:t>
            </w:r>
          </w:p>
        </w:tc>
        <w:tc>
          <w:tcPr/>
          <w:p>
            <w:pPr>
              <w:pStyle w:val="Compact"/>
              <w:jc w:val="left"/>
            </w:pPr>
            <w:r>
              <w:t xml:space="preserve">Section 3.2.3, Section 3.3</w:t>
            </w:r>
          </w:p>
        </w:tc>
      </w:tr>
      <w:tr>
        <w:tc>
          <w:tcPr/>
          <w:p>
            <w:pPr>
              <w:pStyle w:val="Compact"/>
              <w:jc w:val="left"/>
            </w:pPr>
            <w:r>
              <w:rPr>
                <w:bCs/>
                <w:b/>
              </w:rPr>
              <w:t xml:space="preserve">Economy</w:t>
            </w:r>
          </w:p>
        </w:tc>
        <w:tc>
          <w:tcPr/>
          <w:p>
            <w:pPr>
              <w:pStyle w:val="Compact"/>
              <w:jc w:val="left"/>
            </w:pPr>
            <w:r>
              <w:t xml:space="preserve">LCOE C$198/MWh at 7%. C1’s carbon value (C$0.63–0.76 m, Units 2–4) is modest beside capital and less than one day of delay (C$1.8–2.9 m); qualification, sourcing and schedule risk matter.</w:t>
            </w:r>
          </w:p>
        </w:tc>
        <w:tc>
          <w:tcPr/>
          <w:p>
            <w:pPr>
              <w:pStyle w:val="Compact"/>
              <w:jc w:val="left"/>
            </w:pPr>
            <w:r>
              <w:t xml:space="preserve">SMR A$230–382/MWh in 2030 against A$89–125 for firmed renewables. A first unit would need Commonwealth ownership or underwriting (our inference, Section 3.5.1).</w:t>
            </w:r>
          </w:p>
        </w:tc>
        <w:tc>
          <w:tcPr/>
          <w:p>
            <w:pPr>
              <w:pStyle w:val="Compact"/>
              <w:jc w:val="left"/>
            </w:pPr>
            <w:r>
              <w:t xml:space="preserve">Conditional feasibility</w:t>
            </w:r>
          </w:p>
        </w:tc>
        <w:tc>
          <w:tcPr/>
          <w:p>
            <w:pPr>
              <w:pStyle w:val="Compact"/>
              <w:jc w:val="left"/>
            </w:pPr>
            <w:r>
              <w:t xml:space="preserve">Section 3.3.3, Section 3.5.1</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 at the site; sourcing and workplace dust need open handling.</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Acceptability depends on process</w:t>
            </w:r>
          </w:p>
        </w:tc>
        <w:tc>
          <w:tcPr/>
          <w:p>
            <w:pPr>
              <w:pStyle w:val="Compact"/>
              <w:jc w:val="left"/>
            </w:pPr>
            <w:r>
              <w:t xml:space="preserve">Section 3.6.1, Sections 3.4–3.6</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Controlled innovation</w:t>
            </w:r>
          </w:p>
        </w:tc>
        <w:tc>
          <w:tcPr/>
          <w:p>
            <w:pPr>
              <w:pStyle w:val="Compact"/>
              <w:jc w:val="left"/>
            </w:pPr>
            <w:r>
              <w:t xml:space="preserve">Sections 3.2–3.6</w:t>
            </w:r>
          </w:p>
        </w:tc>
      </w:tr>
    </w:tbl>
    <w:bookmarkEnd w:id="72"/>
    <w:bookmarkStart w:id="73" w:name="multi-criteria-analysis"/>
    <w:p>
      <w:pPr>
        <w:pStyle w:val="Heading3"/>
      </w:pPr>
      <w:r>
        <w:t xml:space="preserve">3.7.2 Multi-criteria analysis</w:t>
      </w:r>
    </w:p>
    <w:p>
      <w:pPr>
        <w:pStyle w:val="FirstParagraph"/>
      </w:pPr>
      <w:r>
        <w:t xml:space="preserve">Method in Section 2; working in Appendix B7; social-licence and legal scores from Appendix B8.3 and B3. Technology readiness level (TRL) is not scored.</w:t>
      </w:r>
    </w:p>
    <w:p>
      <w:pPr>
        <w:pStyle w:val="BodyText"/>
      </w:pPr>
      <w:r>
        <w:rPr>
          <w:iCs/>
          <w:i/>
        </w:rPr>
        <w:t xml:space="preserve">Table T15.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t xml:space="preserve">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pP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t xml:space="preserve">SMR + C1 and SMR are indistinguishable. 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t xml:space="preserve">The status quo’s second place over the SMR is a scaling artefact. It scores full marks on cost, supply and legal feasibility because it changes nothing; on fixed global scales the SMR moves above it. Renewables stay first on both.</w:t>
      </w:r>
    </w:p>
    <w:bookmarkEnd w:id="73"/>
    <w:bookmarkStart w:id="74" w:name="verdict-and-limits"/>
    <w:p>
      <w:pPr>
        <w:pStyle w:val="Heading3"/>
      </w:pPr>
      <w:r>
        <w:t xml:space="preserve">3.7.3 Verdict and limits</w:t>
      </w:r>
    </w:p>
    <w:p>
      <w:pPr>
        <w:pStyle w:val="FirstParagraph"/>
      </w:pPr>
      <w:r>
        <w:t xml:space="preserve">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(Section 3.6.2).</w:t>
      </w:r>
    </w:p>
    <w:p>
      <w:pPr>
        <w:pStyle w:val="BodyText"/>
      </w:pP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4"/>
    <w:bookmarkEnd w:id="75"/>
    <w:bookmarkStart w:id="76" w:name="future-material-properties-and-processes"/>
    <w:p>
      <w:pPr>
        <w:pStyle w:val="Heading2"/>
      </w:pPr>
      <w:r>
        <w:t xml:space="preserve">3.8 Future material properties and processes</w:t>
      </w:r>
    </w:p>
    <w:p>
      <w:pPr>
        <w:pStyle w:val="FirstParagraph"/>
      </w:pPr>
      <w:r>
        <w:t xml:space="preserve">C1 and the levers beyond it each depend on a property or process still to be proven (Table T16).</w:t>
      </w:r>
    </w:p>
    <w:p>
      <w:pPr>
        <w:pStyle w:val="BodyText"/>
      </w:pPr>
      <w:r>
        <w:rPr>
          <w:iCs/>
          <w:i/>
        </w:rPr>
        <w:t xml:space="preserve">Table T16.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2023b)</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(Section 3.5.2);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6"/>
    <w:bookmarkEnd w:id="77"/>
    <w:bookmarkStart w:id="78" w:name="conclusion"/>
    <w:p>
      <w:pPr>
        <w:pStyle w:val="Heading1"/>
      </w:pPr>
      <w:r>
        <w:t xml:space="preserve">4 Conclusion</w:t>
      </w:r>
    </w:p>
    <w:p>
      <w:pPr>
        <w:pStyle w:val="FirstParagraph"/>
      </w:pPr>
      <w: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t xml:space="preserve">Our answers to the four research questions are as follows.</w:t>
      </w:r>
    </w:p>
    <w:p>
      <w:pPr>
        <w:numPr>
          <w:ilvl w:val="0"/>
          <w:numId w:val="1002"/>
        </w:numPr>
        <w:pStyle w:val="Compact"/>
      </w:pPr>
      <w:r>
        <w:rPr>
          <w:iCs/>
          <w:i/>
        </w:rPr>
        <w:t xml:space="preserve">Life cycle (Section 3.2).</w:t>
      </w:r>
      <w:r>
        <w:t xml:space="preserve"> </w:t>
      </w:r>
      <w:r>
        <w:t xml:space="preserve">One BWRX-300 emits about 4 g CO₂e/kWh, mostly from the fuel front end; conversion heat is the largest uncertainty.</w:t>
      </w:r>
    </w:p>
    <w:p>
      <w:pPr>
        <w:numPr>
          <w:ilvl w:val="0"/>
          <w:numId w:val="1002"/>
        </w:numPr>
        <w:pStyle w:val="Compact"/>
      </w:pPr>
      <w:r>
        <w:rPr>
          <w:iCs/>
          <w:i/>
        </w:rPr>
        <w:t xml:space="preserve">C1 (Sections 3.2–3.3).</w:t>
      </w:r>
      <w:r>
        <w:t xml:space="preserve"> </w:t>
      </w:r>
      <w:r>
        <w:t xml:space="preserve">It saves 2,200 t per unit (1,100–3,300; Section 3.1.4), about 0.36% of the life cycle; a delay of 11.6–18.5 days cancels it (1.7–1.8 days on the marginal grid factor).</w:t>
      </w:r>
    </w:p>
    <w:p>
      <w:pPr>
        <w:numPr>
          <w:ilvl w:val="0"/>
          <w:numId w:val="1002"/>
        </w:numPr>
        <w:pStyle w:val="Compact"/>
      </w:pPr>
      <w:r>
        <w:rPr>
          <w:iCs/>
          <w:i/>
        </w:rPr>
        <w:t xml:space="preserve">Displacement (Section 3.3).</w:t>
      </w:r>
      <w:r>
        <w:t xml:space="preserve"> </w:t>
      </w:r>
      <w:r>
        <w:t xml:space="preserve">Darlington Unit 1 avoids 1.0–6.8 Mt CO₂e to 2050 and a Liddell unit 0.67–3.9 Mt; firmed renewables avoid 10.9 times more per dollar.</w:t>
      </w:r>
    </w:p>
    <w:p>
      <w:pPr>
        <w:numPr>
          <w:ilvl w:val="0"/>
          <w:numId w:val="1002"/>
        </w:numPr>
        <w:pStyle w:val="Compact"/>
      </w:pPr>
      <w:r>
        <w:rPr>
          <w:iCs/>
          <w:i/>
        </w:rPr>
        <w:t xml:space="preserve">Barriers and options (Section 3.1.3, Sections 3.4–3.7).</w:t>
      </w:r>
      <w:r>
        <w:t xml:space="preserve"> </w:t>
      </w:r>
      <w:r>
        <w:t xml:space="preserve">Law (three bans), cost (C$149–198/MWh) and time (2040 at the earliest) decide; firmed renewables rank first under all four weight sets (80 against 30 with equal weights).</w:t>
      </w:r>
    </w:p>
    <w:p>
      <w:pPr>
        <w:pStyle w:val="FirstParagraph"/>
      </w:pPr>
      <w:r>
        <w:t xml:space="preserve">Ranked materials levers.. Schedule: a month’s slip to Units 2–4 costs 29–175 times C1’s carbon value (Section 3.3). Fuel front end: a measured conversion-heat value would narrow the headline most (Section 3.2). Whole-plant steel: up to 3,714 t per unit, if feasible for nuclear-grade plate (Section 3.8). Concrete (C1): real and low-risk if schedule-neutral, but it moves the life cycle by about 0.36%.</w:t>
      </w:r>
    </w:p>
    <w:p>
      <w:pPr>
        <w:pStyle w:val="BodyText"/>
      </w:pPr>
      <w:r>
        <w:t xml:space="preserve">A screening LCA, not critically reviewed; MCDA scores and weights are our judgement; inputs are as described in Section 2; legislation is as compiled, without the 2025 EPBC reforms.</w:t>
      </w:r>
    </w:p>
    <w:p>
      <w:r>
        <w:pict>
          <v:rect style="width:0;height:1.5pt" o:hralign="center" o:hrstd="t" o:hr="t"/>
        </w:pict>
      </w:r>
    </w:p>
    <w:p>
      <w:r>
        <w:br w:type="page"/>
      </w:r>
    </w:p>
    <w:bookmarkEnd w:id="78"/>
    <w:bookmarkStart w:id="81" w:name="references"/>
    <w:p>
      <w:pPr>
        <w:pStyle w:val="Heading1"/>
      </w:pPr>
      <w:r>
        <w:t xml:space="preserve">5 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[pdf] Table 14, p. 83. Available at: https://am.lrv.lt/media/viesa/saugykla/2024/2/oHCKCUp7Lrs.pdf</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2023a.</w:t>
      </w:r>
      <w:r>
        <w:t xml:space="preserve"> </w:t>
      </w:r>
      <w:r>
        <w:rPr>
          <w:iCs/>
          <w:i/>
        </w:rPr>
        <w:t xml:space="preserve">REGDOC-2.5.2, Design of Reactor Facilities: Nuclear Power Plants</w:t>
      </w:r>
      <w:r>
        <w:t xml:space="preserve">, Version 2.1. [online] Ottawa: Canadian Nuclear Safety Commission. Available at: https://www.cnsc-ccsn.gc.ca/eng/acts-and-regulations/regulatory-documents/published/html/regdoc2-5-2-v2-1/ [Accessed 25 October 2026].</w:t>
      </w:r>
    </w:p>
    <w:p>
      <w:pPr>
        <w:pStyle w:val="BodyText"/>
      </w:pPr>
      <w:r>
        <w:t xml:space="preserve">Canadian Nuclear Safety Commission, 2023b.</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CSA Group, 2026.</w:t>
      </w:r>
      <w:r>
        <w:t xml:space="preserve"> </w:t>
      </w:r>
      <w:r>
        <w:rPr>
          <w:iCs/>
          <w:i/>
        </w:rPr>
        <w:t xml:space="preserve">CSA N287.2, Material requirements for concrete containment structures for nuclear power plants</w:t>
      </w:r>
      <w:r>
        <w:t xml:space="preserve">. [online] Standard catalogue information. Toronto: CSA Group. Available at: https://webstore.ansi.org/standards/csa/csan2872026 [Accessed 25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Canada, 2026.</w:t>
      </w:r>
      <w:r>
        <w:t xml:space="preserve"> </w:t>
      </w:r>
      <w:r>
        <w:rPr>
          <w:iCs/>
          <w:i/>
        </w:rPr>
        <w:t xml:space="preserve">Darlington New Nuclear Project</w:t>
      </w:r>
      <w:r>
        <w:t xml:space="preserve">. [online] Ottawa: Major Projects Office, updated 8 July 2026. Available at: https://www.canada.ca/en/privy-council/major-projects-office/projects/national/darlington.html [Accessed 25 October 2026].</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2023.</w:t>
      </w:r>
      <w:r>
        <w:t xml:space="preserve"> </w:t>
      </w:r>
      <w:r>
        <w:rPr>
          <w:iCs/>
          <w:i/>
        </w:rPr>
        <w:t xml:space="preserve">What are small modular reactors (SMRs)?</w:t>
      </w:r>
      <w:r>
        <w:t xml:space="preserve"> </w:t>
      </w:r>
      <w:r>
        <w:t xml:space="preserve">[online] Vienna: International Atomic Energy Agency. Available at: https://www.iaea.org/newscenter/news/what-are-small-modular-reactors-smrs [Accessed 25 October 2026].</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2026.</w:t>
      </w:r>
      <w:r>
        <w:t xml:space="preserve"> </w:t>
      </w:r>
      <w:r>
        <w:rPr>
          <w:iCs/>
          <w:i/>
        </w:rPr>
        <w:t xml:space="preserve">Regulatory process: deep geological repository for Canada’s used nuclear fuel project</w:t>
      </w:r>
      <w:r>
        <w:t xml:space="preserve">. [online] Toronto: Nuclear Waste Management Organization. Available at: https://www.nwmo.ca/en/Regulatory-process [Accessed 25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9" w:name="legislation"/>
    <w:p>
      <w:pPr>
        <w:pStyle w:val="Heading4"/>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9"/>
    <w:bookmarkStart w:id="80" w:name="cases"/>
    <w:p>
      <w:pPr>
        <w:pStyle w:val="Heading4"/>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80"/>
    <w:bookmarkEnd w:id="81"/>
    <w:bookmarkStart w:id="82" w:name="declaration-of-generative-ai-use"/>
    <w:p>
      <w:pPr>
        <w:pStyle w:val="Heading1"/>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82"/>
    <w:bookmarkStart w:id="149" w:name="appendices"/>
    <w:p>
      <w:pPr>
        <w:pStyle w:val="Heading1"/>
      </w:pPr>
      <w:r>
        <w:t xml:space="preserve">Appendices</w:t>
      </w:r>
    </w:p>
    <w:bookmarkStart w:id="92" w:name="Xddcc31d2d3503f687b8b233cd4a745104a63a5c"/>
    <w:p>
      <w:pPr>
        <w:pStyle w:val="Heading2"/>
      </w:pPr>
      <w:r>
        <w:t xml:space="preserve">Appendix A. LCA inventory and calculations</w:t>
      </w:r>
    </w:p>
    <w:p>
      <w:pPr>
        <w:pStyle w:val="FirstParagraph"/>
      </w:pPr>
      <w:r>
        <w:t xml:space="preserve">This appendix gives the full working behind Section 3.2.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83" w:name="a1.-reproducing-the-results"/>
    <w:p>
      <w:pPr>
        <w:pStyle w:val="Heading4"/>
      </w:pPr>
      <w:r>
        <w:t xml:space="preserve">A1. Reproducing the results</w:t>
      </w:r>
    </w:p>
    <w:p>
      <w:pPr>
        <w:pStyle w:val="FirstParagraph"/>
      </w:pPr>
      <w:r>
        <w:t xml:space="preserve">Every table and figure in Section 3.2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83"/>
    <w:bookmarkStart w:id="84" w:name="Xa2e77a4399fb77857bb3994dd1c371f451280a3"/>
    <w:p>
      <w:pPr>
        <w:pStyle w:val="Heading4"/>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Section 3.2 and Section 3.3.</w:t>
      </w:r>
    </w:p>
    <w:p>
      <w:pPr>
        <w:numPr>
          <w:ilvl w:val="0"/>
          <w:numId w:val="1003"/>
        </w:numPr>
        <w:pStyle w:val="Compact"/>
      </w:pPr>
      <w:r>
        <w:t xml:space="preserve">Annual output = P_net × 8,760 h × CF = 300 MWe × 8,760 × 0.90 = 2,365,200 MWh/yr.</w:t>
      </w:r>
    </w:p>
    <w:p>
      <w:pPr>
        <w:numPr>
          <w:ilvl w:val="0"/>
          <w:numId w:val="1003"/>
        </w:numPr>
        <w:pStyle w:val="Compact"/>
      </w:pPr>
      <w:r>
        <w:t xml:space="preserve">Lifetime output E = 2,365,200 × 60 =</w:t>
      </w:r>
      <w:r>
        <w:t xml:space="preserve"> </w:t>
      </w:r>
      <w:r>
        <w:rPr>
          <w:bCs/>
          <w:b/>
        </w:rPr>
        <w:t xml:space="preserve">1.419 × 10⁸ MWh</w:t>
      </w:r>
      <w:r>
        <w:t xml:space="preserve">.</w:t>
      </w:r>
    </w:p>
    <w:p>
      <w:pPr>
        <w:numPr>
          <w:ilvl w:val="0"/>
          <w:numId w:val="1003"/>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3"/>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Section 3.3;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84"/>
    <w:bookmarkStart w:id="85" w:name="a3.-material-quantities-per-unit"/>
    <w:p>
      <w:pPr>
        <w:pStyle w:val="Heading4"/>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4"/>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4"/>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4"/>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85"/>
    <w:bookmarkStart w:id="86" w:name="X19344571a4b16ef4e61846afd028c6c0d6b769c"/>
    <w:p>
      <w:pPr>
        <w:pStyle w:val="Heading4"/>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86"/>
    <w:bookmarkStart w:id="87" w:name="a5.-emission-factors"/>
    <w:p>
      <w:pPr>
        <w:pStyle w:val="Heading4"/>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87"/>
    <w:bookmarkStart w:id="88" w:name="a6.-concrete-and-the-c1-scenarios"/>
    <w:p>
      <w:pPr>
        <w:pStyle w:val="Heading4"/>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5"/>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(Section 3.2.4).</w:t>
      </w:r>
    </w:p>
    <w:p>
      <w:pPr>
        <w:numPr>
          <w:ilvl w:val="0"/>
          <w:numId w:val="1005"/>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5"/>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5"/>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88"/>
    <w:bookmarkStart w:id="89" w:name="X62dd5352b338ee668e2c8600a16d3b918435b38"/>
    <w:p>
      <w:pPr>
        <w:pStyle w:val="Heading4"/>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06"/>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06"/>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06"/>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06"/>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89"/>
    <w:bookmarkStart w:id="90" w:name="a8.-fuel-cycle-and-life-cycle-total"/>
    <w:p>
      <w:pPr>
        <w:pStyle w:val="Heading4"/>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Section 3.2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90"/>
    <w:bookmarkStart w:id="91" w:name="a9.-granta-edupack-eco-audit"/>
    <w:p>
      <w:pPr>
        <w:pStyle w:val="Heading4"/>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91"/>
    <w:bookmarkEnd w:id="92"/>
    <w:bookmarkStart w:id="135" w:name="X7e33b522909f8daae3037d2691d3cd94d9b7c55"/>
    <w:p>
      <w:pPr>
        <w:pStyle w:val="Heading2"/>
      </w:pPr>
      <w:r>
        <w:t xml:space="preserve">Appendix B. Working for the policy and supply-chain analysis</w:t>
      </w:r>
    </w:p>
    <w:p>
      <w:pPr>
        <w:pStyle w:val="FirstParagraph"/>
      </w:pPr>
      <w:r>
        <w:t xml:space="preserve">This appendix gives the full working behind Section 3.6.1 (law and licensing), Section 3.5.2 (fuel-supply concentration), Sections 3.4–3.6 (social licence and stakeholders, B8), Section 3.3 (displacement, the value of schedule and the same money) and Section 3.7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7" w:name="b1.-legal-and-political-pathway"/>
    <w:p>
      <w:pPr>
        <w:pStyle w:val="Heading4"/>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93" w:name="X3978bcd65168dfde624f3a3e20dbe906af3d815"/>
    <w:p>
      <w:pPr>
        <w:pStyle w:val="Heading5"/>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93"/>
    <w:bookmarkStart w:id="94" w:name="X52641d6a275743723c641fbdfc2158d68a6cd0a"/>
    <w:p>
      <w:pPr>
        <w:pStyle w:val="Heading5"/>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94"/>
    <w:bookmarkStart w:id="95" w:name="b1.3-nsw-repeal-bill-status"/>
    <w:p>
      <w:pPr>
        <w:pStyle w:val="Heading5"/>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5"/>
    <w:bookmarkStart w:id="96" w:name="X1a74a4ec34d97d2cc7de09de2586d1d2b22092c"/>
    <w:p>
      <w:pPr>
        <w:pStyle w:val="Heading5"/>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6"/>
    <w:bookmarkEnd w:id="97"/>
    <w:bookmarkStart w:id="104" w:name="X372cadb88b67a633233203304eb4ef38d3c0c77"/>
    <w:p>
      <w:pPr>
        <w:pStyle w:val="Heading4"/>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8" w:name="b2.1-method"/>
    <w:p>
      <w:pPr>
        <w:pStyle w:val="Heading5"/>
      </w:pPr>
      <w:r>
        <w:t xml:space="preserve">B2.1 Method</w:t>
      </w:r>
    </w:p>
    <w:p>
      <w:pPr>
        <w:numPr>
          <w:ilvl w:val="0"/>
          <w:numId w:val="1007"/>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7"/>
        </w:numPr>
        <w:pStyle w:val="Compact"/>
      </w:pPr>
      <w:r>
        <w:t xml:space="preserve">HHI = Σ s</w:t>
      </w:r>
      <w:r>
        <w:rPr>
          <w:iCs/>
          <w:i/>
        </w:rPr>
        <w:t xml:space="preserve">ᵢ</w:t>
      </w:r>
      <w:r>
        <w:t xml:space="preserve">² (range 0 to 10,000; one supplier = 10,000).</w:t>
      </w:r>
    </w:p>
    <w:p>
      <w:pPr>
        <w:numPr>
          <w:ilvl w:val="0"/>
          <w:numId w:val="1007"/>
        </w:numPr>
        <w:pStyle w:val="Compact"/>
      </w:pPr>
      <w:r>
        <w:t xml:space="preserve">Equivalent number of equal-sized suppliers: N_eq = 10,000 / HHI.</w:t>
      </w:r>
    </w:p>
    <w:p>
      <w:pPr>
        <w:numPr>
          <w:ilvl w:val="0"/>
          <w:numId w:val="1007"/>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7"/>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7"/>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7"/>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section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section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8"/>
    <w:bookmarkStart w:id="99" w:name="b2.2-inputs-and-shares"/>
    <w:p>
      <w:pPr>
        <w:pStyle w:val="Heading5"/>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section 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section 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section 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section 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Section 3.5.2.</w:t>
      </w:r>
    </w:p>
    <w:bookmarkEnd w:id="99"/>
    <w:bookmarkStart w:id="100" w:name="b2.3-headline-results"/>
    <w:p>
      <w:pPr>
        <w:pStyle w:val="Heading5"/>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section 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100"/>
    <w:bookmarkStart w:id="101" w:name="b2.4-sensitivity"/>
    <w:p>
      <w:pPr>
        <w:pStyle w:val="Heading5"/>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101"/>
    <w:bookmarkStart w:id="102" w:name="b2.5-limitations"/>
    <w:p>
      <w:pPr>
        <w:pStyle w:val="Heading5"/>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(Section 4).</w:t>
      </w:r>
      <w:r>
        <w:t xml:space="preserve"> </w:t>
      </w:r>
      <w:r>
        <w:t xml:space="preserve">- The HHI is a world-market measure. Darlington’s own demand is sized against it in B2.6.</w:t>
      </w:r>
    </w:p>
    <w:bookmarkEnd w:id="102"/>
    <w:bookmarkStart w:id="103" w:name="X38b76fede8e58c0e5d473d8915656eae0265e01"/>
    <w:p>
      <w:pPr>
        <w:pStyle w:val="Heading5"/>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section 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section 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03"/>
    <w:bookmarkEnd w:id="104"/>
    <w:bookmarkStart w:id="106" w:name="X4d39e6569850789c0bc5244e03826205e394972"/>
    <w:p>
      <w:pPr>
        <w:pStyle w:val="Heading4"/>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Section 3.7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Section 3.7 MCDA.</w:t>
      </w:r>
    </w:p>
    <w:bookmarkStart w:id="105" w:name="X4d7620ad6684f736307b127d60379d32821a480"/>
    <w:p>
      <w:pPr>
        <w:pStyle w:val="Heading5"/>
      </w:pPr>
      <w:r>
        <w:t xml:space="preserve">B3.1 Implementation levers for C1 (the Section 3.6.2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Section 3.6.2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5"/>
    <w:bookmarkEnd w:id="106"/>
    <w:bookmarkStart w:id="110" w:name="X6942ef6bc025069590c0c205010015835f1b9ab"/>
    <w:p>
      <w:pPr>
        <w:pStyle w:val="Heading4"/>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7" w:name="b4.1-method"/>
    <w:p>
      <w:pPr>
        <w:pStyle w:val="Heading5"/>
      </w:pPr>
      <w:r>
        <w:t xml:space="preserve">B4.1 Method</w:t>
      </w:r>
    </w:p>
    <w:p>
      <w:pPr>
        <w:numPr>
          <w:ilvl w:val="0"/>
          <w:numId w:val="1008"/>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8"/>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Section 3.2; 90% interval 3.0–5.8).</w:t>
      </w:r>
    </w:p>
    <w:p>
      <w:pPr>
        <w:numPr>
          <w:ilvl w:val="0"/>
          <w:numId w:val="1008"/>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8"/>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bottom-up model (Section 3.2, Appendix C); the re-based 4.40 g/kWh changes avoided CO₂e by at most 0.3% (Ontario average grid: (73.8 − 4.40)/(73.8 − 4.2))</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7"/>
    <w:bookmarkStart w:id="108" w:name="b4.2-results"/>
    <w:p>
      <w:pPr>
        <w:pStyle w:val="Heading5"/>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section 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8"/>
    <w:bookmarkStart w:id="109" w:name="b4.3-limitations"/>
    <w:p>
      <w:pPr>
        <w:pStyle w:val="Heading5"/>
      </w:pPr>
      <w:r>
        <w:t xml:space="preserve">B4.3 Limitations</w:t>
      </w:r>
    </w:p>
    <w:p>
      <w:pPr>
        <w:numPr>
          <w:ilvl w:val="0"/>
          <w:numId w:val="1009"/>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9"/>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9"/>
        </w:numPr>
        <w:pStyle w:val="Compact"/>
      </w:pPr>
      <w:r>
        <w:rPr>
          <w:bCs/>
          <w:b/>
        </w:rPr>
        <w:t xml:space="preserve">Counterfactual.</w:t>
      </w:r>
      <w:r>
        <w:t xml:space="preserve"> </w:t>
      </w:r>
      <w:r>
        <w:t xml:space="preserve">In both grids the real alternative is other new supply, not today’s grid forever (B6).</w:t>
      </w:r>
    </w:p>
    <w:p>
      <w:pPr>
        <w:numPr>
          <w:ilvl w:val="0"/>
          <w:numId w:val="1009"/>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9"/>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9"/>
    <w:bookmarkEnd w:id="110"/>
    <w:bookmarkStart w:id="117" w:name="X66860b851f2e133f81978e30598e738689cf6de"/>
    <w:p>
      <w:pPr>
        <w:pStyle w:val="Heading4"/>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11" w:name="b5.1-method"/>
    <w:p>
      <w:pPr>
        <w:pStyle w:val="Heading5"/>
      </w:pPr>
      <w:r>
        <w:t xml:space="preserve">B5.1 Method</w:t>
      </w:r>
    </w:p>
    <w:p>
      <w:pPr>
        <w:numPr>
          <w:ilvl w:val="0"/>
          <w:numId w:val="1010"/>
        </w:numPr>
        <w:pStyle w:val="Compact"/>
      </w:pPr>
      <w:r>
        <w:t xml:space="preserve">Output of one unit: monthly M = E / 12 = 197,100,000 kWh; daily D = E / 365 = 6,480,000 kWh.</w:t>
      </w:r>
    </w:p>
    <w:p>
      <w:pPr>
        <w:numPr>
          <w:ilvl w:val="0"/>
          <w:numId w:val="1010"/>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0"/>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0"/>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11"/>
    <w:bookmarkStart w:id="112" w:name="b5.2-co₂e-lost-per-month-of-delay"/>
    <w:p>
      <w:pPr>
        <w:pStyle w:val="Heading5"/>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section 5).</w:t>
      </w:r>
    </w:p>
    <w:bookmarkEnd w:id="112"/>
    <w:bookmarkStart w:id="113" w:name="b5.3-break-even-delay-for-c1"/>
    <w:p>
      <w:pPr>
        <w:pStyle w:val="Heading5"/>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13"/>
    <w:bookmarkStart w:id="114" w:name="Xaea02f89b8298bc8af300b41fdf9ad8acb92793"/>
    <w:p>
      <w:pPr>
        <w:pStyle w:val="Heading5"/>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Section 3.3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section 5), against C1’s total carbon value of C$0.63–0.76 m (C$1.14 m at 60% eligibility and C$115/t).</w:t>
      </w:r>
    </w:p>
    <w:bookmarkEnd w:id="114"/>
    <w:bookmarkStart w:id="115" w:name="b5.5-year-scale-delays"/>
    <w:p>
      <w:pPr>
        <w:pStyle w:val="Heading5"/>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section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5"/>
    <w:bookmarkStart w:id="116" w:name="b5.6-limitations"/>
    <w:p>
      <w:pPr>
        <w:pStyle w:val="Heading5"/>
      </w:pPr>
      <w:r>
        <w:t xml:space="preserve">B5.6 Limitations</w:t>
      </w:r>
    </w:p>
    <w:p>
      <w:pPr>
        <w:numPr>
          <w:ilvl w:val="0"/>
          <w:numId w:val="1011"/>
        </w:numPr>
        <w:pStyle w:val="Compact"/>
      </w:pPr>
      <w:r>
        <w:t xml:space="preserve">Average factors understate what a late baseload unit would have displaced in Ontario, where gas is on the margin.</w:t>
      </w:r>
    </w:p>
    <w:p>
      <w:pPr>
        <w:numPr>
          <w:ilvl w:val="0"/>
          <w:numId w:val="1011"/>
        </w:numPr>
        <w:pStyle w:val="Compact"/>
      </w:pPr>
      <w:r>
        <w:t xml:space="preserve">The net basis assumes the plant’s life is fixed in years, not extended.</w:t>
      </w:r>
    </w:p>
    <w:p>
      <w:pPr>
        <w:numPr>
          <w:ilvl w:val="0"/>
          <w:numId w:val="1011"/>
        </w:numPr>
        <w:pStyle w:val="Compact"/>
      </w:pPr>
      <w:r>
        <w:t xml:space="preserve">The carbon value is realised only if someone prices it. Construction-material emissions appear to fall outside Ontario’s Emissions Performance Standards (our inference).</w:t>
      </w:r>
    </w:p>
    <w:p>
      <w:pPr>
        <w:numPr>
          <w:ilvl w:val="0"/>
          <w:numId w:val="1011"/>
        </w:numPr>
        <w:pStyle w:val="Compact"/>
      </w:pPr>
      <w:r>
        <w:t xml:space="preserve">The carrying cost is an upper bound for an early slip.</w:t>
      </w:r>
    </w:p>
    <w:p>
      <w:pPr>
        <w:numPr>
          <w:ilvl w:val="0"/>
          <w:numId w:val="1011"/>
        </w:numPr>
        <w:pStyle w:val="Compact"/>
      </w:pPr>
      <w:r>
        <w:t xml:space="preserve">The eligible share (20–60%) is an assumption; the saving per m³ (0.110 t) is fixed, so volume and saving move together.</w:t>
      </w:r>
    </w:p>
    <w:p>
      <w:r>
        <w:pict>
          <v:rect style="width:0;height:1.5pt" o:hralign="center" o:hrstd="t" o:hr="t"/>
        </w:pict>
      </w:r>
    </w:p>
    <w:bookmarkEnd w:id="116"/>
    <w:bookmarkEnd w:id="117"/>
    <w:bookmarkStart w:id="122" w:name="Xe9bf8aa20110d892414618c9830b1120addc14d"/>
    <w:p>
      <w:pPr>
        <w:pStyle w:val="Heading4"/>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8" w:name="b6.1-inputs-and-method"/>
    <w:p>
      <w:pPr>
        <w:pStyle w:val="Heading5"/>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section 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Section 3.3)</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8"/>
    <w:bookmarkStart w:id="119" w:name="b6.2-results"/>
    <w:p>
      <w:pPr>
        <w:pStyle w:val="Heading5"/>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section 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section 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section 5. Bold row is the central case Section 3.3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9"/>
    <w:bookmarkStart w:id="120" w:name="Xd3c3cf27c12f2b6068bf203352ac12d45dd7cd3"/>
    <w:p>
      <w:pPr>
        <w:pStyle w:val="Heading5"/>
      </w:pPr>
      <w:r>
        <w:t xml:space="preserve">B6.3 Capital cost alone, and the check against our own LCOE and OPG’s figure</w:t>
      </w:r>
    </w:p>
    <w:p>
      <w:pPr>
        <w:pStyle w:val="FirstParagraph"/>
      </w:pPr>
      <w:r>
        <w:rPr>
          <w:bCs/>
          <w:b/>
        </w:rPr>
        <w:t xml:space="preserve">Capital cost alone (moved from Section 3.3.3).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section 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section 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(Section 3.5.1),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20"/>
    <w:bookmarkStart w:id="121" w:name="b6.4-limitations"/>
    <w:p>
      <w:pPr>
        <w:pStyle w:val="Heading5"/>
      </w:pPr>
      <w:r>
        <w:t xml:space="preserve">B6.4 Limitations</w:t>
      </w:r>
    </w:p>
    <w:p>
      <w:pPr>
        <w:numPr>
          <w:ilvl w:val="0"/>
          <w:numId w:val="1012"/>
        </w:numPr>
        <w:pStyle w:val="Compact"/>
      </w:pPr>
      <w:r>
        <w:t xml:space="preserve">Adding several TWh a year of firmed renewables would itself change the NEM trajectory, so the comparison holds only at the margin of the stated trajectory.</w:t>
      </w:r>
    </w:p>
    <w:p>
      <w:pPr>
        <w:numPr>
          <w:ilvl w:val="0"/>
          <w:numId w:val="1012"/>
        </w:numPr>
        <w:pStyle w:val="Compact"/>
      </w:pPr>
      <w:r>
        <w:t xml:space="preserve">The LCOE of firmed renewables rises with their share, and GenCost’s integration costs cover this only up to the shares it models.</w:t>
      </w:r>
    </w:p>
    <w:p>
      <w:pPr>
        <w:numPr>
          <w:ilvl w:val="0"/>
          <w:numId w:val="1012"/>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2"/>
        </w:numPr>
        <w:pStyle w:val="Compact"/>
      </w:pPr>
      <w:r>
        <w:t xml:space="preserve">Renewable assets last about 25–30 years (GenCost). No replacement falls before 2050, but a whole-life comparison would need one.</w:t>
      </w:r>
    </w:p>
    <w:p>
      <w:pPr>
        <w:numPr>
          <w:ilvl w:val="0"/>
          <w:numId w:val="1012"/>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21"/>
    <w:bookmarkEnd w:id="122"/>
    <w:bookmarkStart w:id="129" w:name="Xc131c5b7da9b849e6bc37677db63fd4f3349dcd"/>
    <w:p>
      <w:pPr>
        <w:pStyle w:val="Heading4"/>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Section 3.7 (the Section 3.7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23" w:name="b7.1-options-criteria-and-inputs"/>
    <w:p>
      <w:pPr>
        <w:pStyle w:val="Heading5"/>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(Section 3.2).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Section 3.4.2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23"/>
    <w:bookmarkStart w:id="124" w:name="b7.2-method"/>
    <w:p>
      <w:pPr>
        <w:pStyle w:val="Heading5"/>
      </w:pPr>
      <w:r>
        <w:t xml:space="preserve">B7.2 Method</w:t>
      </w:r>
    </w:p>
    <w:p>
      <w:pPr>
        <w:numPr>
          <w:ilvl w:val="0"/>
          <w:numId w:val="1013"/>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3"/>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3"/>
        </w:numPr>
        <w:pStyle w:val="Compact"/>
      </w:pPr>
      <w:r>
        <w:rPr>
          <w:bCs/>
          <w:b/>
        </w:rPr>
        <w:t xml:space="preserve">Total.</w:t>
      </w:r>
      <w:r>
        <w:t xml:space="preserve"> </w:t>
      </w:r>
      <w:r>
        <w:t xml:space="preserve">T = 100 × Σ w_c s_c, with weights renormalised to sum to 1.</w:t>
      </w:r>
    </w:p>
    <w:p>
      <w:pPr>
        <w:numPr>
          <w:ilvl w:val="0"/>
          <w:numId w:val="1013"/>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3"/>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Section 3.6.2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4"/>
    <w:bookmarkStart w:id="125" w:name="b7.3-weights-and-results"/>
    <w:p>
      <w:pPr>
        <w:pStyle w:val="Heading5"/>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4. Rationale sources: Bowen’s statements; the Liberal Party 2026 energy plan; Section 3.4.2.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5"/>
    <w:bookmarkStart w:id="126" w:name="b7.4-rank-reversal-and-input-sensitivity"/>
    <w:p>
      <w:pPr>
        <w:pStyle w:val="Heading5"/>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4"/>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4"/>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4"/>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6"/>
    <w:bookmarkStart w:id="127" w:name="X655acef3214253160cddaea55a74ab651fff5b4"/>
    <w:p>
      <w:pPr>
        <w:pStyle w:val="Heading5"/>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section 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7"/>
    <w:bookmarkStart w:id="128" w:name="b7.6-limitations"/>
    <w:p>
      <w:pPr>
        <w:pStyle w:val="Heading5"/>
      </w:pPr>
      <w:r>
        <w:t xml:space="preserve">B7.6 Limitations</w:t>
      </w:r>
    </w:p>
    <w:p>
      <w:pPr>
        <w:numPr>
          <w:ilvl w:val="0"/>
          <w:numId w:val="1015"/>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5"/>
        </w:numPr>
        <w:pStyle w:val="Compact"/>
      </w:pPr>
      <w:r>
        <w:t xml:space="preserve">Local min–max scaling makes each score depend on which options are compared. The status quo’s second place changes on fixed global scales (B7.4).</w:t>
      </w:r>
    </w:p>
    <w:p>
      <w:pPr>
        <w:numPr>
          <w:ilvl w:val="0"/>
          <w:numId w:val="1015"/>
        </w:numPr>
        <w:pStyle w:val="Compact"/>
      </w:pPr>
      <w:r>
        <w:t xml:space="preserve">Renewables’ supply HHI uses solar PV only; batteries, wind turbines and transmission are not assessed, and the IEA (2022) report was not opened in full.</w:t>
      </w:r>
    </w:p>
    <w:p>
      <w:pPr>
        <w:numPr>
          <w:ilvl w:val="0"/>
          <w:numId w:val="1015"/>
        </w:numPr>
        <w:pStyle w:val="Compact"/>
      </w:pPr>
      <w:r>
        <w:t xml:space="preserve">TRL is not scored, and first-power years depend on CSIRO’s 2040 and the Coalition’s 2035 (as reported).</w:t>
      </w:r>
    </w:p>
    <w:p>
      <w:pPr>
        <w:numPr>
          <w:ilvl w:val="0"/>
          <w:numId w:val="1015"/>
        </w:numPr>
        <w:pStyle w:val="Compact"/>
      </w:pPr>
      <w:r>
        <w:t xml:space="preserve">Renewables’ 30 g/kWh and 2028 start are assumptions, and the GenCost reading is the one stated in B6. Adding several TWh of renewables would itself change the grid trajectory (B6.4).</w:t>
      </w:r>
    </w:p>
    <w:p>
      <w:pPr>
        <w:numPr>
          <w:ilvl w:val="0"/>
          <w:numId w:val="1015"/>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8"/>
    <w:bookmarkEnd w:id="129"/>
    <w:bookmarkStart w:id="134" w:name="Xf511f31261708a0052acbe2a7ca6790c4cfa87f"/>
    <w:p>
      <w:pPr>
        <w:pStyle w:val="Heading4"/>
      </w:pPr>
      <w:r>
        <w:t xml:space="preserve">B8. Social licence and stakeholder working (for Section 3.4.2 and Section 3.4.1)</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Section 3.4.2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30" w:name="X8871295422bcc52b42d843e419a224e284f0009"/>
    <w:p>
      <w:pPr>
        <w:pStyle w:val="Heading5"/>
      </w:pPr>
      <w:r>
        <w:t xml:space="preserve">B8.1 Perceived and actual safety, and deaths avoided</w:t>
      </w:r>
    </w:p>
    <w:p>
      <w:pPr>
        <w:numPr>
          <w:ilvl w:val="0"/>
          <w:numId w:val="1016"/>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6"/>
        </w:numPr>
        <w:pStyle w:val="Compact"/>
      </w:pPr>
      <w:r>
        <w:t xml:space="preserve">Output of one unit: 300 MWe × 8,760 h × 0.9 = 2.365 TWh a year (2.102–2.497 at capacity factors of 0.80–0.95).</w:t>
      </w:r>
    </w:p>
    <w:p>
      <w:pPr>
        <w:numPr>
          <w:ilvl w:val="0"/>
          <w:numId w:val="1016"/>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section 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30"/>
    <w:bookmarkStart w:id="131" w:name="X92849018d318b05d1619841a208001b9b5d443e"/>
    <w:p>
      <w:pPr>
        <w:pStyle w:val="Heading5"/>
      </w:pPr>
      <w:r>
        <w:t xml:space="preserve">B8.2 Stakeholder power, interest and stance (Figure F8)</w:t>
      </w:r>
    </w:p>
    <w:p>
      <w:pPr>
        <w:pStyle w:val="FirstParagraph"/>
      </w:pPr>
      <w:r>
        <w:t xml:space="preserve">Each actor is scored for power (1–5), interest (1–5) and stance (−2 strongly against to +2 strongly for) from the evidence in Sections 3.4–3.6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Sections 3.4–3.6 evidence;</w:t>
      </w:r>
      <w:r>
        <w:rPr>
          <w:iCs/>
          <w:i/>
        </w:rPr>
        <w:t xml:space="preserve"> </w:t>
      </w:r>
      <w:r>
        <w:rPr>
          <w:rStyle w:val="VerbatimChar"/>
          <w:iCs/>
          <w:i/>
        </w:rPr>
        <w:t xml:space="preserve">results/social_licence.md</w:t>
      </w:r>
      <w:r>
        <w:rPr>
          <w:iCs/>
          <w:i/>
        </w:rPr>
        <w:t xml:space="preserve"> </w:t>
      </w:r>
      <w:r>
        <w:rPr>
          <w:iCs/>
          <w:i/>
        </w:rPr>
        <w:t xml:space="preserve">section 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31"/>
    <w:bookmarkStart w:id="132" w:name="X896d2bfe54b9a94cdd26775c3af798143bf33da"/>
    <w:p>
      <w:pPr>
        <w:pStyle w:val="Heading5"/>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(Section 3.7).</w:t>
      </w:r>
    </w:p>
    <w:bookmarkEnd w:id="132"/>
    <w:bookmarkStart w:id="133" w:name="X7094c050e1e3614f8863513705ad571ff5d7276"/>
    <w:p>
      <w:pPr>
        <w:pStyle w:val="Heading5"/>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section 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Section 3.4.2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33"/>
    <w:bookmarkEnd w:id="134"/>
    <w:bookmarkEnd w:id="135"/>
    <w:bookmarkStart w:id="143" w:name="X2538f2b2fc20c8063ffc88885f2cb513202a3b3"/>
    <w:p>
      <w:pPr>
        <w:pStyle w:val="Heading2"/>
      </w:pPr>
      <w:r>
        <w:t xml:space="preserve">Appendix C. Sensitivity: tornado and Monte Carlo set-up and results</w:t>
      </w:r>
    </w:p>
    <w:p>
      <w:pPr>
        <w:pStyle w:val="FirstParagraph"/>
      </w:pPr>
      <w:r>
        <w:t xml:space="preserve">This appendix shows how uncertain the Section 3.2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36" w:name="c1.-set-up"/>
    <w:p>
      <w:pPr>
        <w:pStyle w:val="Heading4"/>
      </w:pPr>
      <w:r>
        <w:t xml:space="preserve">C1. Set-up</w:t>
      </w:r>
    </w:p>
    <w:p>
      <w:pPr>
        <w:numPr>
          <w:ilvl w:val="0"/>
          <w:numId w:val="1017"/>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17"/>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17"/>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17"/>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17"/>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7"/>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36"/>
    <w:bookmarkStart w:id="137" w:name="c2.-ranged-inputs-and-tornado-results"/>
    <w:p>
      <w:pPr>
        <w:pStyle w:val="Heading4"/>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37"/>
    <w:bookmarkStart w:id="138" w:name="X8f754cc28aabff45bd5ffa0c19e17af6b52329b"/>
    <w:p>
      <w:pPr>
        <w:pStyle w:val="Heading4"/>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38"/>
    <w:bookmarkStart w:id="139" w:name="c4.-monte-carlo-results"/>
    <w:p>
      <w:pPr>
        <w:pStyle w:val="Heading4"/>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Section 3.2.3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39"/>
    <w:bookmarkStart w:id="140" w:name="X31250b838455e6096b9edbd1b8f7a12ed088df6"/>
    <w:p>
      <w:pPr>
        <w:pStyle w:val="Heading4"/>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8"/>
        </w:numPr>
        <w:pStyle w:val="Compact"/>
      </w:pPr>
      <w:r>
        <w:t xml:space="preserve">A triangular distribution’s mean is (low + mode + high) / 3. For conversion heat that is (26 + 26 + 665) / 3 ≈ 239 kWh/kg U, nine times the mode of 26.</w:t>
      </w:r>
    </w:p>
    <w:p>
      <w:pPr>
        <w:numPr>
          <w:ilvl w:val="0"/>
          <w:numId w:val="1018"/>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18"/>
        </w:numPr>
        <w:pStyle w:val="Compact"/>
      </w:pPr>
      <w:r>
        <w:t xml:space="preserve">C1’s saving is almost symmetric (mode 2,200 t, median 2,217 t), so its share of the total falls from 0.54% at the mode case to 0.36%.</w:t>
      </w:r>
    </w:p>
    <w:p>
      <w:pPr>
        <w:numPr>
          <w:ilvl w:val="0"/>
          <w:numId w:val="1018"/>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18"/>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Section 3.2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40"/>
    <w:bookmarkStart w:id="141" w:name="X861311e05ca973e4ff92563d183b5e9367fe19f"/>
    <w:p>
      <w:pPr>
        <w:pStyle w:val="Heading4"/>
      </w:pPr>
      <w:r>
        <w:t xml:space="preserve">C6. Limitations of the uncertainty analysis</w:t>
      </w:r>
    </w:p>
    <w:p>
      <w:pPr>
        <w:numPr>
          <w:ilvl w:val="0"/>
          <w:numId w:val="1019"/>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19"/>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19"/>
        </w:numPr>
        <w:pStyle w:val="Compact"/>
      </w:pPr>
      <w:r>
        <w:rPr>
          <w:bCs/>
          <w:b/>
        </w:rPr>
        <w:t xml:space="preserve">Triangular shape.</w:t>
      </w:r>
      <w:r>
        <w:t xml:space="preserve"> </w:t>
      </w:r>
      <w:r>
        <w:t xml:space="preserve">A convention, not a fitted distribution; Table C5 tests it for conversion heat only.</w:t>
      </w:r>
    </w:p>
    <w:p>
      <w:pPr>
        <w:numPr>
          <w:ilvl w:val="0"/>
          <w:numId w:val="1019"/>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19"/>
        </w:numPr>
        <w:pStyle w:val="Compact"/>
      </w:pPr>
      <w:r>
        <w:rPr>
          <w:bCs/>
          <w:b/>
        </w:rPr>
        <w:t xml:space="preserve">Model structure not varied.</w:t>
      </w:r>
      <w:r>
        <w:t xml:space="preserve"> </w:t>
      </w:r>
      <w:r>
        <w:t xml:space="preserve">The boundary (process-based stages plus three stages transferred as per-kWh values) and the cut-offs (Section 3.2.1) are not sampled; they bias the result low (C7).</w:t>
      </w:r>
    </w:p>
    <w:bookmarkEnd w:id="141"/>
    <w:bookmarkStart w:id="142" w:name="X35b5ee5f237d4555b3db06902854d0e23ac87dc"/>
    <w:p>
      <w:pPr>
        <w:pStyle w:val="Heading4"/>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Section 3.2.3.</w:t>
      </w:r>
    </w:p>
    <w:p>
      <w:r>
        <w:pict>
          <v:rect style="width:0;height:1.5pt" o:hralign="center" o:hrstd="t" o:hr="t"/>
        </w:pict>
      </w:r>
    </w:p>
    <w:bookmarkEnd w:id="142"/>
    <w:bookmarkEnd w:id="143"/>
    <w:bookmarkStart w:id="148" w:name="appendix-e.-search-log"/>
    <w:p>
      <w:pPr>
        <w:pStyle w:val="Heading2"/>
      </w:pPr>
      <w:r>
        <w:t xml:space="preserve">Appendix E. Search log</w:t>
      </w:r>
    </w:p>
    <w:bookmarkStart w:id="144" w:name="e1.-method-and-access"/>
    <w:p>
      <w:pPr>
        <w:pStyle w:val="Heading4"/>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44"/>
    <w:bookmarkStart w:id="145" w:name="e2.-search-strings-and-results"/>
    <w:p>
      <w:pPr>
        <w:pStyle w:val="Heading4"/>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45"/>
    <w:bookmarkStart w:id="146" w:name="e3.-patents-kept"/>
    <w:p>
      <w:pPr>
        <w:pStyle w:val="Heading4"/>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(Section 3.1.2)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(Section 3.1.2;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(Section 3.1.5)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(Section 3.8)</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(Section 3.8)</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46"/>
    <w:bookmarkStart w:id="147" w:name="X6772717928f13429d4d4f50caaf7675f61535b4"/>
    <w:p>
      <w:pPr>
        <w:pStyle w:val="Heading4"/>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(2023b);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47"/>
    <w:bookmarkEnd w:id="148"/>
    <w:bookmarkEnd w:id="149"/>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outlineLvl w:val="0"/>
    </w:pPr>
    <w:rPr>
      <w:sz w:val="40"/>
      <w:szCs w:val="40"/>
    </w:rPr>
  </w:style>
  <w:style w:styleId="Heading2" w:type="paragraph">
    <w:name w:val="heading 2"/>
    <w:basedOn w:val="Normal"/>
    <w:next w:val="Normal"/>
    <w:pPr>
      <w:keepNext w:val="1"/>
      <w:keepLines w:val="1"/>
      <w:pageBreakBefore w:val="0"/>
      <w:spacing w:after="120" w:before="360" w:lineRule="auto"/>
      <w:outlineLvl w:val="1"/>
    </w:pPr>
    <w:rPr>
      <w:b w:val="0"/>
      <w:bCs w:val="0"/>
      <w:sz w:val="32"/>
      <w:szCs w:val="32"/>
    </w:rPr>
  </w:style>
  <w:style w:styleId="Heading3" w:type="paragraph">
    <w:name w:val="heading 3"/>
    <w:basedOn w:val="Normal"/>
    <w:next w:val="Normal"/>
    <w:pPr>
      <w:keepNext w:val="1"/>
      <w:keepLines w:val="1"/>
      <w:pageBreakBefore w:val="0"/>
      <w:spacing w:after="80" w:before="320" w:lineRule="auto"/>
      <w:outlineLvl w:val="2"/>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outlineLvl w:val="3"/>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pPr>
    <w:tblPr>
      <w:tblInd w:type="dxa" w:w="0"/>
      <w:tblBorders>
        <w:top w:color="595959" w:space="0" w:sz="8" w:val="single"/>
        <w:bottom w:color="595959" w:space="0" w:sz="8" w:val="single"/>
        <w:insideH w:color="D0D7DE" w:space="0" w:sz="4" w:val="single"/>
      </w:tblBorders>
      <w:tblCellMar>
        <w:top w:type="dxa" w:w="30"/>
        <w:left w:type="dxa" w:w="80"/>
        <w:bottom w:type="dxa" w:w="30"/>
        <w:right w:type="dxa" w:w="80"/>
      </w:tblCellMar>
    </w:tblPr>
    <w:tblStylePr w:type="firstRow">
      <w:rPr>
        <w:b/>
      </w:rPr>
      <w:tcPr>
        <w:shd w:color="auto" w:fill="EDEDE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color w:val="555555"/>
      <w:sz w:val="19"/>
      <w:szCs w:val="19"/>
    </w:rPr>
  </w:style>
  <w:style w:customStyle="1" w:styleId="ImageCaption" w:type="paragraph">
    <w:name w:val="Image Caption"/>
    <w:basedOn w:val="Caption"/>
    <w:rPr>
      <w:color w:val="555555"/>
      <w:sz w:val="19"/>
      <w:szCs w:val="19"/>
    </w:rPr>
    <w:pPr>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next w:val="Normal"/>
    <w:uiPriority w:val="39"/>
    <w:unhideWhenUsed/>
    <w:pPr>
      <w:tabs>
        <w:tab w:leader="dot" w:pos="9026" w:val="right"/>
      </w:tabs>
      <w:spacing w:after="60" w:before="60" w:line="240" w:lineRule="auto"/>
      <w:ind w:left="0"/>
    </w:pPr>
    <w:rPr>
      <w:rFonts w:ascii="Arial" w:cs="Arial" w:hAnsi="Arial"/>
      <w:b/>
      <w:bCs/>
      <w:sz w:val="22"/>
      <w:szCs w:val="22"/>
    </w:rPr>
  </w:style>
  <w:style w:styleId="TOC2" w:type="paragraph">
    <w:name w:val="toc 2"/>
    <w:basedOn w:val="Normal"/>
    <w:next w:val="Normal"/>
    <w:uiPriority w:val="39"/>
    <w:unhideWhenUsed/>
    <w:pPr>
      <w:tabs>
        <w:tab w:leader="dot" w:pos="9026" w:val="right"/>
      </w:tabs>
      <w:spacing w:after="60" w:before="60" w:line="240" w:lineRule="auto"/>
      <w:ind w:left="720"/>
    </w:pPr>
    <w:rPr>
      <w:rFonts w:ascii="Arial" w:cs="Arial" w:hAnsi="Arial"/>
      <w:sz w:val="22"/>
      <w:szCs w:val="22"/>
    </w:rPr>
  </w:style>
  <w:style w:styleId="TOC3" w:type="paragraph">
    <w:name w:val="toc 3"/>
    <w:basedOn w:val="Normal"/>
    <w:next w:val="Normal"/>
    <w:uiPriority w:val="39"/>
    <w:unhideWhenUsed/>
    <w:pPr>
      <w:tabs>
        <w:tab w:leader="dot" w:pos="9026" w:val="right"/>
      </w:tabs>
      <w:spacing w:after="60" w:before="60" w:line="240" w:lineRule="auto"/>
      <w:ind w:left="1440"/>
    </w:pPr>
    <w:rPr>
      <w:rFonts w:ascii="Arial" w:cs="Arial" w:hAnsi="Arial"/>
      <w:sz w:val="22"/>
      <w:szCs w:val="22"/>
    </w:rPr>
  </w:style>
  <w:style w:customStyle="1" w:styleId="TeamNote" w:type="character">
    <w:name w:val="Team Note"/>
    <w:rPr>
      <w:b/>
      <w:color w:val="C00000"/>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DRAFT (assembled from sections)</dc:title>
  <dc:creator/>
  <cp:keywords/>
  <dcterms:created xsi:type="dcterms:W3CDTF">2026-10-25T12:21:19Z</dcterms:created>
  <dcterms:modified xsi:type="dcterms:W3CDTF">2026-10-25T12:21:19Z</dcterms:modified>
</cp:coreProperties>
</file>

<file path=docProps/custom.xml><?xml version="1.0" encoding="utf-8"?>
<Properties xmlns="http://schemas.openxmlformats.org/officeDocument/2006/custom-properties" xmlns:vt="http://schemas.openxmlformats.org/officeDocument/2006/docPropsVTypes"/>
</file>