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ADD SURNAME (ADD STUDENT ID), Victor Clarke (ADD STUDENT ID)</w:t>
      </w:r>
    </w:p>
    <w:p>
      <w:pPr>
        <w:pStyle w:val="normal1"/>
        <w:spacing w:before="0" w:after="120"/>
        <w:jc w:val="center"/>
        <w:rPr/>
      </w:pPr>
      <w:r>
        <w:rPr>
          <w:sz w:val="20"/>
          <w:szCs w:val="20"/>
        </w:rPr>
        <w:t>Date of Submission: 25 October 2026</w:t>
      </w:r>
    </w:p>
    <w:p>
      <w:pPr>
        <w:pStyle w:val="normal1"/>
        <w:rPr/>
      </w:pPr>
      <w:r>
        <w:rPr/>
      </w:r>
      <w:r>
        <w:br w:type="page"/>
      </w:r>
    </w:p>
    <w:p>
      <w:pPr>
        <w:pStyle w:val="Heading2"/>
        <w:spacing w:before="0" w:after="120"/>
        <w:rPr/>
      </w:pPr>
      <w:r>
        <w:rPr/>
        <w:t>Team review checklist (this page is removed in the submission version)</w:t>
      </w:r>
    </w:p>
    <w:p>
      <w:pPr>
        <w:pStyle w:val="FirstParagraph"/>
        <w:rPr/>
      </w:pPr>
      <w:r>
        <w:rPr>
          <w:rStyle w:val="TeamNote"/>
        </w:rPr>
        <w:t>Highlighted notes like this one mark what is still needed. Everything else is complete and fact-checked.</w:t>
      </w:r>
    </w:p>
    <w:p>
      <w:pPr>
        <w:pStyle w:val="BodyText"/>
        <w:rPr/>
      </w:pPr>
      <w:r>
        <w:rPr>
          <w:b/>
          <w:bCs/>
        </w:rPr>
        <w:t>Leroy: Granta EduPack</w:t>
      </w:r>
      <w:r>
        <w:rPr/>
        <w:t xml:space="preserve"> (the only open technical item)</w:t>
      </w:r>
    </w:p>
    <w:p>
      <w:pPr>
        <w:pStyle w:val="Compact"/>
        <w:numPr>
          <w:ilvl w:val="0"/>
          <w:numId w:val="1"/>
        </w:numPr>
        <w:rPr/>
      </w:pPr>
      <w:r>
        <w:rPr/>
        <w:t>Run the Granta EduPack Eco Audit as set out in the note at the top of Section 3.2, and send the results (screenshots or export).</w:t>
      </w:r>
    </w:p>
    <w:p>
      <w:pPr>
        <w:pStyle w:val="Compact"/>
        <w:numPr>
          <w:ilvl w:val="0"/>
          <w:numId w:val="1"/>
        </w:numPr>
        <w:rPr/>
      </w:pPr>
      <w:r>
        <w:rPr/>
        <w:t>The results go in Section 3.2, Appendix A9 and one sentence in Section 2. The report currently says Granta was planned but not completed.</w:t>
      </w:r>
    </w:p>
    <w:p>
      <w:pPr>
        <w:pStyle w:val="FirstParagraph"/>
        <w:rPr/>
      </w:pPr>
      <w:r>
        <w:rPr>
          <w:b/>
          <w:bCs/>
        </w:rPr>
        <w:t>Everyone</w:t>
      </w:r>
    </w:p>
    <w:p>
      <w:pPr>
        <w:pStyle w:val="Compact"/>
        <w:numPr>
          <w:ilvl w:val="0"/>
          <w:numId w:val="13"/>
        </w:numPr>
        <w:rPr/>
      </w:pPr>
      <w:r>
        <w:rPr/>
        <w:t>Title page: Victor’s and Sam’s student IDs, and Sam’s surname (Leroy’s is in).</w:t>
      </w:r>
    </w:p>
    <w:p>
      <w:pPr>
        <w:pStyle w:val="Compact"/>
        <w:numPr>
          <w:ilvl w:val="0"/>
          <w:numId w:val="14"/>
        </w:numPr>
        <w:rPr/>
      </w:pPr>
      <w:r>
        <w:rPr/>
        <w:t>Agree the AI-use declaration wording (placeholder before the appendices).</w:t>
      </w:r>
    </w:p>
    <w:p>
      <w:pPr>
        <w:pStyle w:val="FirstParagraph"/>
        <w:rPr/>
      </w:pPr>
      <w:r>
        <w:rPr>
          <w:b/>
          <w:bCs/>
        </w:rPr>
        <w:t>Victor (before submitting)</w:t>
      </w:r>
    </w:p>
    <w:p>
      <w:pPr>
        <w:pStyle w:val="Compact"/>
        <w:numPr>
          <w:ilvl w:val="0"/>
          <w:numId w:val="15"/>
        </w:numPr>
        <w:rPr/>
      </w:pPr>
      <w:r>
        <w:rPr/>
        <w:t>Update the table of contents in Word (right-click, Update Field).</w:t>
      </w:r>
    </w:p>
    <w:p>
      <w:pPr>
        <w:pStyle w:val="normal1"/>
        <w:rPr/>
      </w:pPr>
      <w:r>
        <w:rPr/>
      </w:r>
      <w:r>
        <w:br w:type="page"/>
      </w:r>
    </w:p>
    <w:p>
      <w:pPr>
        <w:pStyle w:val="Heading1"/>
        <w:spacing w:before="0" w:after="120"/>
        <w:rPr/>
      </w:pPr>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r>
        <w:rPr/>
        <w:t>Table of Contents</w:t>
      </w:r>
    </w:p>
    <w:sdt>
      <w:sdtPr>
        <w:docPartObj>
          <w:docPartGallery w:val="Table of Contents"/>
          <w:docPartUnique w:val="true"/>
        </w:docPartObj>
      </w:sdtPr>
      <w:sdtContent>
        <w:p>
          <w:pPr>
            <w:pStyle w:val="TOC2"/>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r>
            <w:rPr>
              <w:webHidden/>
              <w:rStyle w:val="IndexLink"/>
            </w:rPr>
            <w:t>Team review checklist (this page is removed in the submission version)</w:t>
            <w:tab/>
            <w:t>1</w:t>
          </w:r>
        </w:p>
        <w:p>
          <w:pPr>
            <w:pStyle w:val="TOC1"/>
            <w:tabs>
              <w:tab w:val="clear" w:pos="9026"/>
              <w:tab w:val="right" w:pos="9025" w:leader="dot"/>
            </w:tabs>
            <w:rPr/>
          </w:pPr>
          <w:r>
            <w:rPr>
              <w:webHidden/>
              <w:rStyle w:val="IndexLink"/>
            </w:rPr>
            <w:t>Abstract</w:t>
            <w:tab/>
            <w:t>2</w:t>
          </w:r>
        </w:p>
        <w:p>
          <w:pPr>
            <w:pStyle w:val="TOC1"/>
            <w:tabs>
              <w:tab w:val="clear" w:pos="9026"/>
              <w:tab w:val="right" w:pos="9025" w:leader="dot"/>
            </w:tabs>
            <w:rPr/>
          </w:pPr>
          <w:r>
            <w:rPr>
              <w:webHidden/>
              <w:rStyle w:val="IndexLink"/>
            </w:rPr>
            <w:t>Table of Contents</w:t>
            <w:tab/>
            <w:t>3</w:t>
          </w:r>
        </w:p>
        <w:p>
          <w:pPr>
            <w:pStyle w:val="TOC1"/>
            <w:tabs>
              <w:tab w:val="clear" w:pos="9026"/>
              <w:tab w:val="right" w:pos="9025" w:leader="dot"/>
            </w:tabs>
            <w:rPr/>
          </w:pPr>
          <w:r>
            <w:rPr>
              <w:webHidden/>
              <w:rStyle w:val="IndexLink"/>
            </w:rPr>
            <w:t>1 Introduction</w:t>
            <w:tab/>
            <w:t>4</w:t>
          </w:r>
        </w:p>
        <w:p>
          <w:pPr>
            <w:pStyle w:val="TOC1"/>
            <w:tabs>
              <w:tab w:val="clear" w:pos="9026"/>
              <w:tab w:val="right" w:pos="9025" w:leader="dot"/>
            </w:tabs>
            <w:rPr/>
          </w:pPr>
          <w:r>
            <w:rPr>
              <w:webHidden/>
              <w:rStyle w:val="IndexLink"/>
            </w:rPr>
            <w:t>2 Data Sources/Methodology</w:t>
            <w:tab/>
            <w:t>4</w:t>
          </w:r>
        </w:p>
        <w:p>
          <w:pPr>
            <w:pStyle w:val="TOC1"/>
            <w:tabs>
              <w:tab w:val="clear" w:pos="9026"/>
              <w:tab w:val="right" w:pos="9025" w:leader="dot"/>
            </w:tabs>
            <w:rPr/>
          </w:pPr>
          <w:r>
            <w:rPr>
              <w:webHidden/>
              <w:rStyle w:val="IndexLink"/>
            </w:rPr>
            <w:t>3 Discussion</w:t>
            <w:tab/>
            <w:t>5</w:t>
          </w:r>
        </w:p>
        <w:p>
          <w:pPr>
            <w:pStyle w:val="TOC2"/>
            <w:tabs>
              <w:tab w:val="clear" w:pos="9026"/>
              <w:tab w:val="right" w:pos="9025" w:leader="dot"/>
            </w:tabs>
            <w:rPr/>
          </w:pPr>
          <w:r>
            <w:rPr>
              <w:webHidden/>
              <w:rStyle w:val="IndexLink"/>
            </w:rPr>
            <w:t>3.1 Overview of SMR</w:t>
            <w:tab/>
            <w:t>5</w:t>
          </w:r>
        </w:p>
        <w:p>
          <w:pPr>
            <w:pStyle w:val="TOC2"/>
            <w:tabs>
              <w:tab w:val="clear" w:pos="9026"/>
              <w:tab w:val="right" w:pos="9025" w:leader="dot"/>
            </w:tabs>
            <w:rPr/>
          </w:pPr>
          <w:r>
            <w:rPr>
              <w:webHidden/>
              <w:rStyle w:val="IndexLink"/>
            </w:rPr>
            <w:t>3.2 Lifecycle Analysis</w:t>
            <w:tab/>
            <w:t>10</w:t>
          </w:r>
        </w:p>
        <w:p>
          <w:pPr>
            <w:pStyle w:val="TOC2"/>
            <w:tabs>
              <w:tab w:val="clear" w:pos="9026"/>
              <w:tab w:val="right" w:pos="9025" w:leader="dot"/>
            </w:tabs>
            <w:rPr/>
          </w:pPr>
          <w:r>
            <w:rPr>
              <w:webHidden/>
              <w:rStyle w:val="IndexLink"/>
            </w:rPr>
            <w:t>3.3 National Strategies and Industrial Policies: Carbon Avoided in Ontario and Australia</w:t>
            <w:tab/>
            <w:t>15</w:t>
          </w:r>
        </w:p>
        <w:p>
          <w:pPr>
            <w:pStyle w:val="TOC2"/>
            <w:tabs>
              <w:tab w:val="clear" w:pos="9026"/>
              <w:tab w:val="right" w:pos="9025" w:leader="dot"/>
            </w:tabs>
            <w:rPr/>
          </w:pPr>
          <w:r>
            <w:rPr>
              <w:webHidden/>
              <w:rStyle w:val="IndexLink"/>
            </w:rPr>
            <w:t>3.4 Stakeholder Analysis</w:t>
            <w:tab/>
            <w:t>18</w:t>
          </w:r>
        </w:p>
        <w:p>
          <w:pPr>
            <w:pStyle w:val="TOC2"/>
            <w:tabs>
              <w:tab w:val="clear" w:pos="9026"/>
              <w:tab w:val="right" w:pos="9025" w:leader="dot"/>
            </w:tabs>
            <w:rPr/>
          </w:pPr>
          <w:r>
            <w:rPr>
              <w:webHidden/>
              <w:rStyle w:val="IndexLink"/>
            </w:rPr>
            <w:t>3.5 Market Analysis and Economic Feasibility</w:t>
            <w:tab/>
            <w:t>22</w:t>
          </w:r>
        </w:p>
        <w:p>
          <w:pPr>
            <w:pStyle w:val="TOC2"/>
            <w:tabs>
              <w:tab w:val="clear" w:pos="9026"/>
              <w:tab w:val="right" w:pos="9025" w:leader="dot"/>
            </w:tabs>
            <w:rPr/>
          </w:pPr>
          <w:r>
            <w:rPr>
              <w:webHidden/>
              <w:rStyle w:val="IndexLink"/>
            </w:rPr>
            <w:t>3.6 Government Regulations Review</w:t>
            <w:tab/>
            <w:t>25</w:t>
          </w:r>
        </w:p>
        <w:p>
          <w:pPr>
            <w:pStyle w:val="TOC2"/>
            <w:tabs>
              <w:tab w:val="clear" w:pos="9026"/>
              <w:tab w:val="right" w:pos="9025" w:leader="dot"/>
            </w:tabs>
            <w:rPr/>
          </w:pPr>
          <w:r>
            <w:rPr>
              <w:webHidden/>
              <w:rStyle w:val="IndexLink"/>
            </w:rPr>
            <w:t>3.7 Triple-bottom-line evaluation and multi-criteria analysis</w:t>
            <w:tab/>
            <w:t>28</w:t>
          </w:r>
        </w:p>
        <w:p>
          <w:pPr>
            <w:pStyle w:val="TOC2"/>
            <w:tabs>
              <w:tab w:val="clear" w:pos="9026"/>
              <w:tab w:val="right" w:pos="9025" w:leader="dot"/>
            </w:tabs>
            <w:rPr/>
          </w:pPr>
          <w:r>
            <w:rPr>
              <w:webHidden/>
              <w:rStyle w:val="IndexLink"/>
            </w:rPr>
            <w:t>3.8 Future material properties and processes</w:t>
            <w:tab/>
            <w:t>30</w:t>
          </w:r>
        </w:p>
        <w:p>
          <w:pPr>
            <w:pStyle w:val="TOC1"/>
            <w:tabs>
              <w:tab w:val="clear" w:pos="9026"/>
              <w:tab w:val="right" w:pos="9025" w:leader="dot"/>
            </w:tabs>
            <w:rPr/>
          </w:pPr>
          <w:r>
            <w:rPr>
              <w:webHidden/>
              <w:rStyle w:val="IndexLink"/>
            </w:rPr>
            <w:t>4 Conclusion</w:t>
            <w:tab/>
            <w:t>31</w:t>
          </w:r>
        </w:p>
        <w:p>
          <w:pPr>
            <w:pStyle w:val="TOC1"/>
            <w:tabs>
              <w:tab w:val="clear" w:pos="9026"/>
              <w:tab w:val="right" w:pos="9025" w:leader="dot"/>
            </w:tabs>
            <w:rPr/>
          </w:pPr>
          <w:r>
            <w:rPr>
              <w:webHidden/>
              <w:rStyle w:val="IndexLink"/>
            </w:rPr>
            <w:t>5 References</w:t>
            <w:tab/>
            <w:t>32</w:t>
          </w:r>
        </w:p>
        <w:p>
          <w:pPr>
            <w:pStyle w:val="TOC1"/>
            <w:tabs>
              <w:tab w:val="clear" w:pos="9026"/>
              <w:tab w:val="right" w:pos="9025" w:leader="dot"/>
            </w:tabs>
            <w:rPr/>
          </w:pPr>
          <w:r>
            <w:rPr>
              <w:webHidden/>
              <w:rStyle w:val="IndexLink"/>
            </w:rPr>
            <w:t>Declaration of generative AI use</w:t>
            <w:tab/>
            <w:t>43</w:t>
          </w:r>
        </w:p>
        <w:p>
          <w:pPr>
            <w:pStyle w:val="TOC1"/>
            <w:tabs>
              <w:tab w:val="clear" w:pos="9026"/>
              <w:tab w:val="right" w:pos="9025" w:leader="dot"/>
            </w:tabs>
            <w:rPr/>
          </w:pPr>
          <w:r>
            <w:rPr>
              <w:webHidden/>
              <w:rStyle w:val="IndexLink"/>
            </w:rPr>
            <w:t>Appendices</w:t>
            <w:tab/>
            <w:t>44</w:t>
          </w:r>
        </w:p>
        <w:p>
          <w:pPr>
            <w:pStyle w:val="TOC2"/>
            <w:tabs>
              <w:tab w:val="clear" w:pos="9026"/>
              <w:tab w:val="right" w:pos="9025" w:leader="dot"/>
            </w:tabs>
            <w:rPr/>
          </w:pPr>
          <w:r>
            <w:rPr>
              <w:webHidden/>
              <w:rStyle w:val="IndexLink"/>
            </w:rPr>
            <w:t>Appendix A. LCA inventory and calculations</w:t>
            <w:tab/>
            <w:t>44</w:t>
          </w:r>
        </w:p>
        <w:p>
          <w:pPr>
            <w:pStyle w:val="TOC2"/>
            <w:tabs>
              <w:tab w:val="clear" w:pos="9026"/>
              <w:tab w:val="right" w:pos="9025" w:leader="dot"/>
            </w:tabs>
            <w:rPr/>
          </w:pPr>
          <w:r>
            <w:rPr>
              <w:webHidden/>
              <w:rStyle w:val="IndexLink"/>
            </w:rPr>
            <w:t>Appendix B. Policy, economics and supply calculations</w:t>
            <w:tab/>
            <w:t>46</w:t>
          </w:r>
        </w:p>
        <w:p>
          <w:pPr>
            <w:pStyle w:val="TOC2"/>
            <w:tabs>
              <w:tab w:val="clear" w:pos="9026"/>
              <w:tab w:val="right" w:pos="9025" w:leader="dot"/>
            </w:tabs>
            <w:rPr/>
          </w:pPr>
          <w:r>
            <w:rPr>
              <w:webHidden/>
              <w:rStyle w:val="IndexLink"/>
            </w:rPr>
            <w:t>Appendix C. Sensitivity analysis</w:t>
            <w:tab/>
            <w:t>49</w:t>
          </w:r>
        </w:p>
        <w:p>
          <w:pPr>
            <w:pStyle w:val="TOC2"/>
            <w:tabs>
              <w:tab w:val="clear" w:pos="9026"/>
              <w:tab w:val="right" w:pos="9025" w:leader="dot"/>
            </w:tabs>
            <w:rPr/>
          </w:pPr>
          <w:r>
            <w:rPr>
              <w:webHidden/>
              <w:rStyle w:val="IndexLink"/>
            </w:rPr>
            <w:t>Appendix E. Search log</w:t>
            <w:tab/>
            <w:t>51</w:t>
          </w:r>
          <w:r>
            <w:rPr>
              <w:rStyle w:val="IndexLink"/>
            </w:rPr>
            <w:fldChar w:fldCharType="end"/>
          </w:r>
        </w:p>
      </w:sdtContent>
    </w:sdt>
    <w:p>
      <w:pPr>
        <w:pStyle w:val="normal1"/>
        <w:widowControl/>
        <w:bidi w:val="0"/>
        <w:spacing w:lineRule="auto" w:line="276" w:before="0" w:after="160"/>
        <w:jc w:val="left"/>
        <w:rPr/>
      </w:pPr>
      <w:r>
        <w:rPr/>
      </w:r>
      <w:r>
        <w:br w:type="page"/>
      </w:r>
    </w:p>
    <w:p>
      <w:pPr>
        <w:pStyle w:val="Heading1"/>
        <w:spacing w:before="0" w:after="120"/>
        <w:rPr/>
      </w:pPr>
      <w:r>
        <w:rPr/>
        <w:t>1 Introduction</w:t>
      </w:r>
    </w:p>
    <w:p>
      <w:pPr>
        <w:pStyle w:val="FirstParagraph"/>
        <w:rPr/>
      </w:pPr>
      <w:r>
        <w:rPr/>
        <w:t>Small modular reactors (SMRs) are one proposed replacement for closing coal plants. We ask whether an SMR is feasible across the triple bottom line (environmental, economic, social), and whether a materials choice can make it cleaner without delaying it.</w:t>
      </w:r>
    </w:p>
    <w:p>
      <w:pPr>
        <w:pStyle w:val="BodyText"/>
        <w:rPr/>
      </w:pPr>
      <w:r>
        <w:rPr/>
        <w:t>Liddell in New South Wales (NSW) has closed (Australian Energy Regulator, 2021), yet NSW’s grid still emits about 640 g CO₂e/kWh (Department of Climate Change, Energy, the Environment and Water [DCCEEW], 2025); Ontario’s emits about 74 (The Atmospheric Fund, 2025). An SMR is a reactor of up to about 300 MWe built largely from factory-made modules (International Atomic Energy Agency, 2024).</w:t>
      </w:r>
    </w:p>
    <w:p>
      <w:pPr>
        <w:pStyle w:val="BodyText"/>
        <w:rPr/>
      </w:pPr>
      <w:r>
        <w:rPr>
          <w:i/>
          <w:iCs/>
        </w:rPr>
        <w:t>Darlington, Ontario</w:t>
      </w:r>
      <w:r>
        <w:rPr/>
        <w:t xml:space="preserve"> is the initiative site: Ontario Power Generation (OPG) plans four BWRX-300 units for C$20.9 billion, Unit 1 in service in 2030 (Ontario Power Generation, 2025a). </w:t>
      </w:r>
      <w:r>
        <w:rPr>
          <w:i/>
          <w:iCs/>
        </w:rPr>
        <w:t>Liddell</w:t>
      </w:r>
      <w:r>
        <w:rPr/>
        <w:t xml:space="preserve"> is the Australian comparison.</w:t>
      </w:r>
    </w:p>
    <w:p>
      <w:pPr>
        <w:pStyle w:val="BodyText"/>
        <w:rPr/>
      </w:pPr>
      <w:r>
        <w:rPr/>
        <w:t>OPG should pilot limestone calcined clay cement (LC³) in eligible non-safety works first, using it in the steel-composite infill only if qualified and schedule-neutral (Sections 3.1.1–3.1.4, Section 3.1.5).</w:t>
      </w:r>
    </w:p>
    <w:p>
      <w:pPr>
        <w:pStyle w:val="BodyText"/>
        <w:rPr/>
      </w:pPr>
      <w:r>
        <w:rPr/>
        <w:t>We answer four research questions.</w:t>
      </w:r>
    </w:p>
    <w:p>
      <w:pPr>
        <w:pStyle w:val="Compact"/>
        <w:numPr>
          <w:ilvl w:val="0"/>
          <w:numId w:val="16"/>
        </w:numPr>
        <w:rPr/>
      </w:pPr>
      <w:r>
        <w:rPr/>
        <w:t>What does one BWRX-300 emit? (Section 3.2)</w:t>
      </w:r>
    </w:p>
    <w:p>
      <w:pPr>
        <w:pStyle w:val="Compact"/>
        <w:numPr>
          <w:ilvl w:val="0"/>
          <w:numId w:val="4"/>
        </w:numPr>
        <w:rPr/>
      </w:pPr>
      <w:r>
        <w:rPr/>
        <w:t>How much does C1 save, and what delay cancels it? (Sections 3.2–3.3)</w:t>
      </w:r>
    </w:p>
    <w:p>
      <w:pPr>
        <w:pStyle w:val="Compact"/>
        <w:numPr>
          <w:ilvl w:val="0"/>
          <w:numId w:val="4"/>
        </w:numPr>
        <w:rPr/>
      </w:pPr>
      <w:r>
        <w:rPr/>
        <w:t>Does a unit’s climate value differ between Ontario and Liddell? (Section 3.3)</w:t>
      </w:r>
    </w:p>
    <w:p>
      <w:pPr>
        <w:pStyle w:val="Compact"/>
        <w:numPr>
          <w:ilvl w:val="0"/>
          <w:numId w:val="4"/>
        </w:numPr>
        <w:rPr/>
      </w:pPr>
      <w:r>
        <w:rPr/>
        <w:t>Which barriers decide, and does an SMR beat firmed renewables? (Section 3.1.3, Sections 3.4–3.7)</w:t>
      </w:r>
    </w:p>
    <w:p>
      <w:pPr>
        <w:pStyle w:val="normal1"/>
        <w:rPr/>
      </w:pPr>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rPr/>
      </w:pPr>
      <w:r>
        <w:rPr/>
        <w:t>2 Data Sources/Methodology</w:t>
      </w:r>
    </w:p>
    <w:p>
      <w:pPr>
        <w:pStyle w:val="FirstParagraph"/>
        <w:rPr/>
      </w:pPr>
      <w:r>
        <w:rPr>
          <w:rStyle w:val="TeamNote"/>
        </w:rPr>
        <w:t>LEROY: once Granta is run, this section’s Granta sentence changes to describe it.</w:t>
      </w:r>
    </w:p>
    <w:p>
      <w:pPr>
        <w:pStyle w:val="BodyText"/>
        <w:rPr/>
      </w:pPr>
      <w:r>
        <w:rPr/>
        <w:t>Four methods carry the numbers: a screening life-cycle assessment (LCA), grid displacement with a schedule break-even, a concentration index for fuel supply, and a multi-criteria analysis. Scripts and parameter files regenerate every figure (Appendix A1). Values come from the documents cited; our assumptions and inferences are labelled.</w:t>
      </w:r>
    </w:p>
    <w:p>
      <w:pPr>
        <w:pStyle w:val="BodyText"/>
        <w:rPr/>
      </w:pPr>
      <w:r>
        <w:rPr/>
        <w:t>A screening study following ISO 14040/14044 principles (International Organization for Standardization, 2006a; 2006b), not critically reviewed: functional unit 1 MWh of net electricity at the grid connection, cradle to grave (Section 3.2.1). A Granta EduPack cross-check was planned but not completed.</w:t>
      </w:r>
    </w:p>
    <w:p>
      <w:pPr>
        <w:pStyle w:val="BodyText"/>
        <w:rPr/>
      </w:pPr>
      <w:r>
        <w:rPr/>
        <w:t xml:space="preserve">One unit (300 MWe net assumed)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(Department of Climate Change, Energy, the Environment and Water [DCCEEW], 2025).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p>
    <w:p>
      <w:pPr>
        <w:pStyle w:val="BodyText"/>
        <w:rPr/>
      </w:pPr>
      <w:r>
        <w:rPr/>
        <w:t>The Herfindahl–Hirschman index (HHI) sums squared percentage market shares (0 to 10,000); above 1,800 is highly concentrated (US Department of Justice and Federal Trade Commission, 2023). Capacity is not contracts (Appendix B2).</w:t>
      </w:r>
    </w:p>
    <w:p>
      <w:pPr>
        <w:pStyle w:val="BodyText"/>
        <w:rPr/>
      </w:pPr>
      <w:r>
        <w:rPr/>
        <w:t>A weighted sum (Dodgson et al., 2009) scores four options (status quo, one SMR at Liddell, the same SMR built with C1’s concrete, firmed renewables) on seven criteria, each min-max normalised. Four weight sets are our judgement; robustness is tested in Appendix B7.</w:t>
      </w:r>
    </w:p>
    <w:p>
      <w:pPr>
        <w:pStyle w:val="BodyText"/>
        <w:rPr/>
      </w:pPr>
      <w:r>
        <w:rPr/>
        <w:t>Search strategy and patent search: Appendix E.</w:t>
      </w:r>
    </w:p>
    <w:p>
      <w:pPr>
        <w:pStyle w:val="normal1"/>
        <w:rPr/>
      </w:pPr>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rPr/>
      </w:pPr>
      <w:r>
        <w:rPr/>
        <w:t>3 Discussion</w:t>
      </w:r>
    </w:p>
    <w:p>
      <w:pPr>
        <w:pStyle w:val="Heading2"/>
        <w:rPr/>
      </w:pPr>
      <w:r>
        <w:rPr/>
        <w:t>3.1 Overview of SMR</w:t>
      </w:r>
    </w:p>
    <w:p>
      <w:pPr>
        <w:pStyle w:val="Heading3"/>
        <w:rPr/>
      </w:pPr>
      <w:r>
        <w:rPr/>
        <w:t>3.1.1 Current Projects and Patents</w:t>
      </w:r>
    </w:p>
    <w:p>
      <w:pPr>
        <w:pStyle w:val="FirstParagraph"/>
        <w:rPr/>
      </w:pPr>
      <w:r>
        <w:rPr/>
        <w:t>No light-water SMR is yet reported operating on land; the BWRX-300 is the closest Western design, and China’s ACP100 (Linglong One) was still in commissioning, with no criticality reported, in May 2026. Table T1 rates projects on technology readiness levels (TRL): level 8 is “completed and qualified through test and demonstration”, level 9 operated across its full range (US Department of Energy, 2015);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expected 2028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(210)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Darlington’s construction licence took about 29 months and Clinch River’s permit 14 (US Nuclear Regulatory Commission and Canadian Nuclear Safety Commission, 2025).</w:t>
      </w:r>
    </w:p>
    <w:p>
      <w:pPr>
        <w:pStyle w:val="BodyText"/>
        <w:rPr/>
      </w:pPr>
      <w:r>
        <w:rPr/>
        <w:t>Appendix E, from search summaries only, found GE-Hitachi isolation-condenser patents but none on the diaphragm-plate composite modules, and no core LC³ composition patent, though Sika and Construction Research &amp; Technology hold LC³ applications. This suggests, but does not establish, that C1’s binder risk lies in qualification rather than patents; no freedom-to-operate search was done.</w:t>
      </w:r>
    </w:p>
    <w:p>
      <w:pPr>
        <w:pStyle w:val="BodyText"/>
        <w:rPr/>
      </w:pPr>
      <w:r>
        <w:rPr/>
        <w:t>Australia’s earliest date is about 2040. The Coalition’s 2024 plan claimed SMR power by 2035 (ABC News, 2024); CSIRO’s GenCost 2023-24 is reported to say 2040 at the earliest (Graham, Hayward and Foster, 2024). Darlington supports CSIRO: even with a licensed site, it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(Section 3.3).</w:t>
      </w:r>
    </w:p>
    <w:p>
      <w:pPr>
        <w:pStyle w:val="Heading3"/>
        <w:rPr/>
      </w:pPr>
      <w:r>
        <w:rPr/>
        <w:t>3.1.2 Technical Descriptions: the BWRX-300 at Darlington</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Passive isolation condensers cool the core for seven days (GE Hitachi Nuclear Energy, n.d.). The reactor building sits in a below-grade shaft of diaphragm-plate steel-composite (DP-SC) modules filled with self-consolidating concrete (SCC) (GE-Hitachi Nuclear Energy, 2024).</w:t>
      </w:r>
    </w:p>
    <w:p>
      <w:pPr>
        <w:pStyle w:val="BodyText"/>
        <w:rPr/>
      </w:pPr>
      <w:r>
        <w:rPr/>
        <w:t>The vendor’s concrete claim is hard to reconcile with Ostrołęka. GE Vernova (n.d.) claims about half the concrete per MW of its larger ESBWR, yet Ostrołęka’s information sheet gives 50,000 m³ per unit, or 167 m³/MWe (BWRX-300 Ostrołęka sp. z o.o., 2023), against the ESBWR’s 69 (Peterson, Zhao and Petroski, 2005). The gap probably reflects the boundary (our inference); a small reactor does not mean small concrete (Section 3.1.4).</w:t>
      </w:r>
    </w:p>
    <w:p>
      <w:pPr>
        <w:pStyle w:val="Heading3"/>
        <w:rPr/>
      </w:pPr>
      <w:r>
        <w:rPr/>
        <w:t>3.1.3 Barriers to cutting emissions with small modular reactors</w:t>
      </w:r>
    </w:p>
    <w:p>
      <w:pPr>
        <w:pStyle w:val="FirstParagraph"/>
        <w:rPr/>
      </w:pPr>
      <w:r>
        <w:rPr/>
        <w:t>Eight barriers decide whether a small modular reactor (SMR) is built and cuts emissions; C1 (Section 3.1.4) reaches one directly and is constrained by a second. At Darlington, Ontario, cost and schedule bind. At Liddell, the closed New South Wales coal plant we use as the Australian comparison, law comes first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(Ontario Power Generation, 2026b; this study); NuScale cancelled 2023 (Section 3.5.1)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against 1,800 (World Nuclear Association, 2025; US Department of Justice and Federal Trade Commission, 2023)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(Section 3.5.2)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(Section 3.2)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needs nuclear qualification (Section 3.6.1)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consent route (Section 3.4.2)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Scarce trades (Section 3.4.2)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producer-funded; no Australian route (Nuclear Waste Management Organization, n.d.)</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Needs a disposal route (Section 3.4.2)</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normal1"/>
        <w:rPr/>
      </w:pPr>
      <w:r>
        <w:rPr/>
        <mc:AlternateContent>
          <mc:Choice Requires="wps">
            <w:drawing>
              <wp:inline distT="0" distB="0" distL="0" distR="0">
                <wp:extent cx="635"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r>
        <w:rPr/>
        <w:t>3.1.4 The initiative: low-clinker concrete for the Darlington Units 2–4 infill</w:t>
      </w:r>
    </w:p>
    <w:p>
      <w:pPr>
        <w:pStyle w:val="FirstParagraph"/>
        <w:rPr/>
      </w:pPr>
      <w:r>
        <w:rPr/>
        <w:t>C1 targets a materials problem that modular construction creates, and it is worth doing only if it is schedule-neutral. The BWRX-300’s reactor building is made of diaphragm-plate steel-composite (DPSC) modules filled on site with concrete. The infill must flow between closely spaced plates, so we assume a cement-rich self-consolidating mix (our inference; GE-Hitachi Nuclear Energy, 2024). A delay of 11.6–18.5 days to one unit on Ontario’s average grid, or 1.7–1.8 days on its marginal grid, cancels that unit’s saving (Section 3.3.1).</w:t>
      </w:r>
    </w:p>
    <w:p>
      <w:pPr>
        <w:pStyle w:val="BodyText"/>
        <w:rPr/>
      </w:pPr>
      <w:r>
        <w:rPr/>
        <w:t>Ontario Power Generation (OPG) should pilot limestone calcined clay cement (LC³; Scrivener et al., 2018) in eligible non-safety works first, and use it in the infill only if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per unit; 20,000 m³ (40%) eligible</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infill if qualified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slag cement as fallback</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topical report NEDO-33926 (GE-Hitachi Nuclear Energy, 2024; US Nuclear Regulatory Commission and CNSC, 2025)</w:t>
            </w:r>
          </w:p>
        </w:tc>
      </w:tr>
    </w:tbl>
    <w:p>
      <w:pPr>
        <w:pStyle w:val="BodyText"/>
        <w:rPr/>
      </w:pPr>
      <w:r>
        <w:rPr/>
        <w:t>Why it is not the obvious choice. C1’s value is set by schedule, not by the concrete: under three weeks of delay to a unit cancels its saving (Section 3.3.1), so C1 is a qualification programme timed to Unit 1 mock-ups. Its lever is financial: the Units 2–4 equity tranche can carry the condition (Section 3.6.2).</w:t>
      </w:r>
    </w:p>
    <w:p>
      <w:pPr>
        <w:pStyle w:val="BodyText"/>
        <w:rPr/>
      </w:pPr>
      <w:r>
        <w:rPr/>
        <w:t>What C1 does not address. Cost, law, fuel supply, social licence and workforce (Table T2); lower-carbon steel is the next lever (Section 3.2.3, Section 3.8).</w:t>
      </w:r>
    </w:p>
    <w:p>
      <w:pPr>
        <w:pStyle w:val="normal1"/>
        <w:rPr/>
      </w:pPr>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r>
        <w:rPr/>
        <w:t>3.1.5 Materials from extraction to end-of-life</w:t>
      </w:r>
    </w:p>
    <w:p>
      <w:pPr>
        <w:pStyle w:val="FirstParagraph"/>
        <w:rPr/>
      </w:pPr>
      <w:r>
        <w:rPr/>
        <w:t>For C1, the binder’s carbon arises in the kiln, but its risks arise in the pour and at decommissioning. Stages follow Section 3.2.1’s boundary.</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kilned; M50 concrete 380 kg CO₂e/m³ (Pillai et al., 2019)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half the clinker (Zunino, 2021); 270 kg CO₂e/m³</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Ground by-product; 146.6 kg CO₂e/t (Slag Cement Association, n.d.)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flow in trials (Universität der Bundeswehr München, n.d.)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(Systematic evaluation of concrete placement reliability,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similar risk (our inference); no heat data (Section 3.8)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unknown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BodyText"/>
        <w:rPr/>
      </w:pPr>
      <w:r>
        <w:rPr/>
        <w:t>Each unit uses 14,000 t (BWRX-300 Ostrołęka sp. z o.o., 2023). Blast-furnace steel emits about 2.33 t CO₂/t and scrap-based electric arc furnace (EAF) steel 0.68 (World Steel Association, 2026), but scrap copper embrittles vessel steel under irradiation, so nuclear plate is not a drop-in (Canadian Nuclear Safety Commission, 2023b).</w:t>
      </w:r>
    </w:p>
    <w:p>
      <w:pPr>
        <w:pStyle w:val="BodyText"/>
        <w:rPr/>
      </w:pPr>
      <w:r>
        <w:rPr/>
        <w:t>Activation depends on trace elements: cobalt-60 and europium-152 dominate activated shield concrete (Helmholtz-Zentrum Dresden-Rossendorf, n.d.). Most decommissioning concrete is reportedly cleared, leaving “a few per cent” as waste (Thierfeldt, 2019); on an assumed 2.4 t/m³ and 2–5%, a unit’s 50,000 m³ (120,000 t) leaves 2,400–6,000 t. Qualification should measure calcined clay’s europium and cobalt (Section 3.8).</w:t>
      </w:r>
    </w:p>
    <w:p>
      <w:pPr>
        <w:pStyle w:val="Heading2"/>
        <w:rPr/>
      </w:pPr>
      <w:r>
        <w:rPr/>
        <w:t>3.2 Lifecycle Analysis</w:t>
      </w:r>
    </w:p>
    <w:p>
      <w:pPr>
        <w:pStyle w:val="FirstParagraph"/>
        <w:rPr/>
      </w:pPr>
      <w:r>
        <w:rPr>
          <w:rStyle w:val="TeamNote"/>
        </w:rPr>
        <w:t>LEROY (Granta EduPack): please run the Granta EduPack Eco Audit on one BWRX-300: concrete 120,000 t (50,000 m³ × 2.4 t/m³) and steel 14,000 t (Ostrołęka PIS, Table 14), with a second run where 40% of the concrete (20,000 m³) is LC³ at 270 instead of 380 kg CO₂e/m³ (Pillai et al., 2019). Send the CO₂ footprint and energy per life stage (screenshot or export). Then confirm or update this section’s Granta sentence, Appendix A9 and Section 2. Everything else in the report is complete.</w:t>
      </w:r>
    </w:p>
    <w:p>
      <w:pPr>
        <w:pStyle w:val="BodyText"/>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r>
        <w:rPr/>
        <w:t>3.2.1 Goal, scope and method</w:t>
      </w:r>
    </w:p>
    <w:p>
      <w:pPr>
        <w:pStyle w:val="FirstParagraph"/>
        <w:rPr/>
      </w:pPr>
      <w:r>
        <w:rPr/>
        <w:t>This is a screening LCA of one BWRX-300 at Darlington following ISO 14040/14044 principles (International Organization for Standardization, 2006a; 2006b), not critically reviewed.</w:t>
      </w:r>
    </w:p>
    <w:p>
      <w:pPr>
        <w:pStyle w:val="BodyText"/>
        <w:rPr/>
      </w:pPr>
      <w:r>
        <w:rPr/>
        <w:t>Functional unit: 1 MWh of net electricity at the grid connection. One unit delivers 300 MWe × 8,760 h × 0.90 × 60 years = 1.419 × 10⁸ MWh (Appendix A2). Boundary (Figure F1): cradle to grave. Construction materials and the fuel front end are modelled from published factors; operation and maintenance (O&amp;M), decommissioning and the back end are per-kWh values from EDF’s French-fleet study (EDF R&amp;D, 2024). Baseline (S0): the concrete OPG would pour anyway, at 380 kg CO₂e/m³ (Pillai et al., 2019, as reported). We have not seen OPG’s mix or any cement-type limit (GE-Hitachi Nuclear Energy, 2024). Cut-offs: fuel cladding, conversion chemicals, upstream gas, fuel-plant capital goods and recycling credits; each biases the result low (Section 3.2.5). Impact category: GWP100.</w:t>
      </w:r>
    </w:p>
    <w:p>
      <w:pPr>
        <w:pStyle w:val="BodyText"/>
        <w:rPr/>
      </w:pPr>
      <w:r>
        <w:rPr/>
        <w:t>A reproducible Python model multiplies quantities by published emission factors (Appendices A and C). Plant quantities come from the Ostrołęka project information sheet (BWRX-300 Ostrołęka sp. z o.o., 2023, as reported): 50,000 m³ of concrete and 14,000 t of steel per unit, a design proxy, not confirmed Darlington quantities. A bottom-up scaling (20,700 m³; Peterson, Zhao and Petroski, 2005) is a cross-check (Appendix A3). A Granta EduPack Eco Audit was planned but not completed; no number here comes from Granta.</w:t>
      </w:r>
    </w:p>
    <w:p>
      <w:pPr>
        <w:pStyle w:val="CaptionedFigure"/>
        <w:rPr/>
      </w:pPr>
      <w:r>
        <w:rPr/>
        <w:drawing>
          <wp:inline distT="0" distB="0" distL="0" distR="0">
            <wp:extent cx="5441315" cy="2835910"/>
            <wp:effectExtent l="0" t="0" r="0" b="0"/>
            <wp:docPr id="9"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r>
        <w:rPr/>
        <w:t>Figure F1. LCA system boundary for one BWRX-300 at Darlington: fuel front end, construction materials and C1-eligible concrete modelled here; operation, decommissioning and back end from the literature. | Source: this study.</w:t>
      </w:r>
    </w:p>
    <w:p>
      <w:pPr>
        <w:pStyle w:val="Heading3"/>
        <w:rPr/>
      </w:pPr>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it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The C1-eligible concrete is only 1.9% of the mode-case total, so C1 acts on about one-fiftieth of the footprint. Ostrołęka’s 167 m³ per MWe is 2.4 times the ESBWR’s 69 (Peterson, Zhao and Petroski, 2005), so scale effects outweigh the vendor’s claim of 50% less concrete per unit of energy (GE Vernova, n.d.). The cross-check gives 4.20 g/kWh (Appendix A8).</w:t>
      </w:r>
    </w:p>
    <w:p>
      <w:pPr>
        <w:pStyle w:val="CaptionedFigure"/>
        <w:rPr/>
      </w:pPr>
      <w:r>
        <w:rPr/>
        <w:drawing>
          <wp:inline distT="0" distB="0" distL="0" distR="0">
            <wp:extent cx="5441315" cy="2376170"/>
            <wp:effectExtent l="0" t="0" r="0" b="0"/>
            <wp:docPr id="10"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r>
        <w:rPr/>
        <w:t>Figure F2. Life-cycle emissions of one BWRX-300 by stage: expected value 4.49 g CO₂e/kWh (Monte Carlo mean), with the mode case (every input at its most likely value, total 2.86) marked. | Source: this study, Appendix C3.</w:t>
      </w:r>
    </w:p>
    <w:p>
      <w:pPr>
        <w:pStyle w:val="Heading3"/>
        <w:rPr/>
      </w:pPr>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At 20, 40 and 60% of 50,000 m³, C1 saves 1,100, 2,200 and 3,300 t per unit, or 0.18, 0.36 and 0.54% of its life cycle (Table T5). Varying eligibility, the cut and volumes together gives 2,217 t (1,375–3,294).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Four findings follow.</w:t>
      </w:r>
    </w:p>
    <w:p>
      <w:pPr>
        <w:pStyle w:val="BodyText"/>
        <w:rPr/>
      </w:pPr>
      <w:r>
        <w:rPr/>
        <w:t>The saving is small at plant scale: about 0.016 g/kWh, so C1 does not change the plant’s climate case (economic value: Section 3.5.1). Slag is about as good as LC³, so the case is for low-clinker concrete in general. LC³ beats slag in only 55% of draws (median difference +54 t; 90% interval −588 to +766). The specification should accept whichever binder qualifies first (Section 3.6.1). Lower-carbon steel is the larger lever but is not part of C1: all 14,000 t at best-practice electric-arc-furnace factors would save up to 3,915 t (1.8 times LC³), an upper bound not shown feasible for nuclear-grade plate (Appendix A7; Section 3.8). Schedule dominates. A delay of 11.6–18.5 days to one unit on Ontario’s average grid factor, or 1.7–1.8 days on the marginal factor, cancels its saving (Section 3.3.1; Appendix B5). C1 is specified only if schedule-neutral (Section 3.6.2).</w:t>
      </w:r>
    </w:p>
    <w:p>
      <w:pPr>
        <w:pStyle w:val="Heading3"/>
        <w:rPr/>
      </w:pPr>
      <w:r>
        <w:rPr/>
        <w:t>3.2.4 Uncertainty: tornado and Monte Carlo</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it by more than 0.06. The saving depends on four inputs: eligible share (1,100 → 3,300 t), LC³ cut (1,672 → 2,964 t), concrete volume (1,760 → 2,640 t) and the OPC factor (1,911 → 2,432 t).</w:t>
      </w:r>
    </w:p>
    <w:p>
      <w:pPr>
        <w:pStyle w:val="CaptionedFigure"/>
        <w:rPr/>
      </w:pPr>
      <w:r>
        <w:rPr/>
        <w:drawing>
          <wp:inline distT="0" distB="0" distL="0" distR="0">
            <wp:extent cx="5441315" cy="2725420"/>
            <wp:effectExtent l="0" t="0" r="0" b="0"/>
            <wp:docPr id="11"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and its dependence on conversion heat: fixed at Gibon and Hahn Menacho’s (2023) central 26 kWh/kg U, the median is 3.51 g/kWh (2.80–4.39); log-uniform over 26–665, 4.11 (3.06–6.12). We quote the range of medians, 3.51–4.40. Many ranges are judgement (Appendix C6).</w:t>
      </w:r>
    </w:p>
    <w:p>
      <w:pPr>
        <w:pStyle w:val="CaptionedFigure"/>
        <w:rPr/>
      </w:pPr>
      <w:r>
        <w:rPr/>
        <w:drawing>
          <wp:inline distT="0" distB="0" distL="0" distR="0">
            <wp:extent cx="5441315" cy="1961515"/>
            <wp:effectExtent l="0" t="0" r="0" b="0"/>
            <wp:docPr id="12"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r>
        <w:rPr/>
        <w:t>Figure F4. Monte Carlo distributions (20,000 draws) of life-cycle intensity (median 4.40, 5th–95th percentile 3.24–6.05 g CO₂e/kWh) and of C1’s saving per unit at central eligibility. | Source: this study, Appendix C4.</w:t>
      </w:r>
    </w:p>
    <w:p>
      <w:pPr>
        <w:pStyle w:val="Heading3"/>
        <w:rPr/>
      </w:pPr>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and the harmonised and IPCC AR5 medians of 12 (Warner and Heath, 2012; Schlömer et al., 2014). Gas combined cycle (403–513 g/kWh) and coal (751–1,095) are 90–120 and 170–250 times higher (United Nations Economic Commission for Europe, 2021).</w:t>
      </w:r>
    </w:p>
    <w:p>
      <w:pPr>
        <w:pStyle w:val="BodyText"/>
        <w:rPr/>
      </w:pPr>
      <w:r>
        <w:rPr/>
        <w:t>Three reasons explain most of the gap (Appendix C7): Ore grade: our mining is 1.0–1.3 g/kWh, against about 2.8 at global-average grades (Gibon and Hahn Menacho, 2023). Enrichment: centrifuges at 50 kWh per separative work unit, against about 2,500 for older diffusion plants. Cut-offs and long life: a 60-year life biases the result low; at 40 years the mode case rises from 2.86 to 3.07 g/kWh.</w:t>
      </w:r>
    </w:p>
    <w:p>
      <w:pPr>
        <w:pStyle w:val="BodyText"/>
        <w:rPr/>
      </w:pPr>
      <w:r>
        <w:rPr/>
        <w:t>The known low bias would raise the total and shrink C1’s share, so it does not weaken Section 3.2.3.</w:t>
      </w:r>
    </w:p>
    <w:p>
      <w:pPr>
        <w:pStyle w:val="CaptionedFigure"/>
        <w:rPr/>
      </w:pPr>
      <w:r>
        <w:rPr/>
        <w:drawing>
          <wp:inline distT="0" distB="0" distL="0" distR="0">
            <wp:extent cx="5441315" cy="2060575"/>
            <wp:effectExtent l="0" t="0" r="0" b="0"/>
            <wp:docPr id="13"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w:t>
      </w:r>
    </w:p>
    <w:p>
      <w:pPr>
        <w:pStyle w:val="normal1"/>
        <w:rPr/>
      </w:pPr>
      <w:r>
        <w:rPr/>
        <mc:AlternateContent>
          <mc:Choice Requires="wps">
            <w:drawing>
              <wp:inline distT="0" distB="0" distL="0" distR="0">
                <wp:extent cx="573151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3.3 National Strategies and Industrial Policies: Carbon Avoided in Ontario and Australia</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and firmed renewables beat both sites on the same money (Appendix B4–B6).</w:t>
      </w:r>
    </w:p>
    <w:p>
      <w:pPr>
        <w:pStyle w:val="Heading3"/>
        <w:rPr/>
      </w:pPr>
      <w:r>
        <w:rPr/>
        <w:t>3.3.1 The value of schedule</w:t>
      </w:r>
    </w:p>
    <w:p>
      <w:pPr>
        <w:pStyle w:val="FirstParagraph"/>
        <w:rPr/>
      </w:pPr>
      <w:r>
        <w:rPr/>
        <w:t>A late unit gives up each day’s displacement (Table T6). To 2050 (“gross”) the loss is permanent; over the whole life (“net”) it returns at end of life,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Schedule neutrality is therefore the binding condition on C1, and the mix must be qualified on Unit 1 mock-ups before the 2028 Units 2–4 decision (Section 3.6.2).</w:t>
      </w:r>
    </w:p>
    <w:p>
      <w:pPr>
        <w:pStyle w:val="Heading3"/>
        <w:rPr/>
      </w:pPr>
      <w:r>
        <w:rPr/>
        <w:t>3.3.2 What one BWRX-300 displaces: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its marginal factor of 343 g/kWh 0.80 Mt (1.9× less) (The Atmospheric Fund, 2025).</w:t>
      </w:r>
    </w:p>
    <w:p>
      <w:pPr>
        <w:pStyle w:val="BodyText"/>
        <w:rPr/>
      </w:pPr>
      <w:r>
        <w:rPr/>
        <w:t>The plants would not run in the same years. Darlington Unit 1 is planned for 2030 (Ontario Power Generation, 2025a); Australia’s earliest date for nuclear is 2040 (Graham, Hayward and Foster, 2024), against the Coalition’s 2035 as reported (ABC News, 2024). If coal leaves the NEM by 2038 (Australian Energy Market Operator, 2024), a 2040 unit displaces only a residual 30 g/kWh (assumed).</w:t>
      </w:r>
    </w:p>
    <w:p>
      <w:pPr>
        <w:pStyle w:val="BodyText"/>
        <w:rPr/>
      </w:pPr>
      <w:r>
        <w:rPr/>
        <w:t>To 2050 (Figure F6), Darlington Unit 1 avoids 1.0–6.8 Mt and Liddell 0.67–3.9 Mt; Liddell wins clearly only if the NEM stays at 640 g/kWh (16.5 Mt). Grid trajectory, start year and post-coal floor move these results tenfold; capacity factor and our life-cycle interval move them by a few per cent (Appendix B4). An SMR’s climate value depends on when it runs and what it displaces, not on today’s coal share.</w:t>
      </w:r>
    </w:p>
    <w:p>
      <w:pPr>
        <w:pStyle w:val="CaptionedFigure"/>
        <w:rPr/>
      </w:pPr>
      <w:r>
        <w:rPr/>
        <w:drawing>
          <wp:inline distT="0" distB="0" distL="0" distR="0">
            <wp:extent cx="4194810" cy="2862580"/>
            <wp:effectExtent l="0" t="0" r="0" b="0"/>
            <wp:docPr id="1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r>
        <w:rPr/>
        <w:t>Figure F6. CO₂e avoided to 2050 by one BWRX-300: Darlington Unit 1 (from 2030) against Liddell (from 2035 or 2040), by grid case; hatched bars are upper bounds. | Source: this study, Appendix B4 (Table B17)</w:t>
      </w:r>
    </w:p>
    <w:p>
      <w:pPr>
        <w:pStyle w:val="Heading3"/>
        <w:rPr/>
      </w:pPr>
      <w:r>
        <w:rPr/>
        <w:t>3.3.3 The same money on firmed renewables</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With renewables from 2028 (assumed) and the SMR from 2040, renewables avoid 10.9× more CO₂e to 2050. They still avoid 5.7× more in the worst case we tested for them (SMR A$230, renewables A$153), and 4.9× with the SMR at A$198 (Appendix B6, Table B28). If A$387–641 is the 2030 range instead, the ratios become 5.0× and 19.1×.</w:t>
      </w:r>
    </w:p>
    <w:p>
      <w:pPr>
        <w:pStyle w:val="BodyText"/>
        <w:rPr/>
      </w:pPr>
      <w:r>
        <w:rPr/>
        <w:t>Renewables win because they are cheaper per MWh and start about a decade earlier; integration costs rise beyond the shares GenCost models. On carbon per dollar, an SMR at Liddell loses. Its case rests on firm supply, system security and a hedge against renewables falling behind, which Section 3.7 weighs.</w:t>
      </w:r>
    </w:p>
    <w:p>
      <w:pPr>
        <w:pStyle w:val="CaptionedFigure"/>
        <w:rPr/>
      </w:pPr>
      <w:r>
        <w:rPr/>
        <w:drawing>
          <wp:inline distT="0" distB="0" distL="0" distR="0">
            <wp:extent cx="4769485" cy="2578100"/>
            <wp:effectExtent l="0" t="0" r="0" b="0"/>
            <wp:docPr id="1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normal1"/>
        <w:rPr/>
      </w:pPr>
      <w:r>
        <w:rPr/>
        <mc:AlternateContent>
          <mc:Choice Requires="wps">
            <w:drawing>
              <wp:inline distT="0" distB="0" distL="0" distR="0">
                <wp:extent cx="573151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3.4 Stakeholder Analysis</w:t>
      </w:r>
    </w:p>
    <w:p>
      <w:pPr>
        <w:pStyle w:val="Heading3"/>
        <w:rPr/>
      </w:pPr>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beside its money. OPG carries about 78% of Darlington on its balance sheet (our calculation), repaid through rates the Ontario Energy Board approves, while public and First Nations finance lowers the cost of capital. That model needs a publicly owned utility with a regulated rate base; Liddell’s private owner would need Commonwealth ownership or underwriting (Section 3.5.1), with taxpayers carrying the cost risk,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w:t>
      </w:r>
    </w:p>
    <w:p>
      <w:pPr>
        <w:pStyle w:val="CaptionedFigure"/>
        <w:rPr/>
      </w:pPr>
      <w:r>
        <w:rPr/>
        <w:drawing>
          <wp:inline distT="0" distB="0" distL="0" distR="0">
            <wp:extent cx="5441315" cy="3894455"/>
            <wp:effectExtent l="0" t="0" r="0" b="0"/>
            <wp:docPr id="20"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in C1</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delivery; oversee qualification and a fallback mix</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ratepayers through Ontario Energy Board-approved rates (Ontario Power Generation, 2025b)</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safety case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rights-respecting engagement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C$0.97 bn (4.6%) (Canada Infrastructure Bank, 2022); equity, C$3.0 bn (14.4%) (Canada Growth Fund and Building Ontario Fund,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and suppliers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customers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cost</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bl>
    <w:p>
      <w:pPr>
        <w:pStyle w:val="normal1"/>
        <w:rPr/>
      </w:pPr>
      <w:r>
        <w:rPr/>
        <mc:AlternateContent>
          <mc:Choice Requires="wps">
            <w:drawing>
              <wp:inline distT="0" distB="0" distL="0" distR="0">
                <wp:extent cx="635"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r>
        <w:rPr/>
        <w:t>3.4.2 Social licence</w:t>
      </w:r>
    </w:p>
    <w:p>
      <w:pPr>
        <w:pStyle w:val="FirstParagraph"/>
        <w:rPr/>
      </w:pPr>
      <w:r>
        <w:rPr/>
        <w:t>The same reactor has a social licence at Darlington and none at Liddell. Safety data do not explain the difference; consent, benefit and trust do (Table T8).</w:t>
      </w:r>
    </w:p>
    <w:p>
      <w:pPr>
        <w:pStyle w:val="BodyText"/>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Two of the seven told the CNSC in 2023–24 that their concerns had not been addressed (Mississaugas of Scugog Island First Nation, 2023; Curve Lake First Nation, 2024), so ownership is not universal consent.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rPr/>
      </w:pPr>
      <w:r>
        <w:rPr/>
        <w:t>C1 changes no land use, emissions or waste at the site, so it raises no new consent issue there; its social value is indirect, as a lower-carbon build that OPG can report to its First Nations and public equity partners (our inference). A socially sustainable pilot would disclose clay source locations and routes early, open supply to Indigenous and local firms where suitable, and report environmental data plainly. Waste stewardship is unchanged: the NWMO repository near Ignace entered regulatory assessment in January 2026 and is not operating (Nuclear Waste Management Organization, 2026). For Liddell, low-regret steps can precede any repeal: a producer-funded waste body and a two-key test in which both the host community and the Traditional Owners must agree, then a priced hosting agreement, First Nations equity with a loan guarantee and a skills plan coordinated with AUKUS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(Markandya and Wilkinson, 2007)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keeps acceptance low (Slovic, 1987)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Duty to consult met; C$700 m loan converting to equity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no process. Kimba ballot 61.6% yes, Barngarla excluded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trades</w:t>
            </w:r>
          </w:p>
        </w:tc>
      </w:tr>
    </w:tbl>
    <w:p>
      <w:pPr>
        <w:pStyle w:val="normal1"/>
        <w:rPr/>
      </w:pPr>
      <w:r>
        <w:rPr/>
        <mc:AlternateContent>
          <mc:Choice Requires="wps">
            <w:drawing>
              <wp:inline distT="0" distB="0" distL="0" distR="0">
                <wp:extent cx="635"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3.5 Market Analysis and Economic Feasibility</w:t>
      </w:r>
    </w:p>
    <w:p>
      <w:pPr>
        <w:pStyle w:val="Heading3"/>
        <w:rPr/>
      </w:pPr>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BodyText"/>
        <w:rPr/>
      </w:pPr>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though GenCost’s current edition bases its SMR capital cost on Darlington (Graham and Hayward, 2026), so the agreement is not independent. A NuScale-size overrun would give C$317/MWh.</w:t>
      </w:r>
    </w:p>
    <w:p>
      <w:pPr>
        <w:pStyle w:val="BodyText"/>
        <w:rPr/>
      </w:pPr>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Canada Growth Fund (up to C$2 bn) and Building Ontario Fund (up to C$1 bn) supply equity, and the C$715 m of First Nations loan guarantees is credit support, not extra spending (Government of Canada, 2026). The second equity tranche is released for Units 2–4 “once project milestones are met” (Canada Growth Fund and Building Ontario Fund, 2025), which is C1’s main financial lever.</w:t>
      </w:r>
    </w:p>
    <w:p>
      <w:pPr>
        <w:pStyle w:val="BodyText"/>
        <w:rPr/>
      </w:pPr>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First plants are financed by states and rate bases: the US Department of Energy’s US$800 m went to two designs, one the BWRX-300 (US Department of Energy, 2025), out of about 70 worldwide (International Atomic Energy Agency, 2024), and China’s State Council approves batches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a premium on a unit’s 20,000 m³ of eligible concrete (40% of 50,000 m³) is sensitivity, not a quote, since no supplier price has been obtained. Qualification adds to the abatement cost: a C$1 m programme (assumed) adds about C$152/t, and one day of delay costs C$1.8–2.9 m, more than C1’s whole carbon value. Responses are compared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normal1"/>
        <w:rPr/>
      </w:pPr>
      <w:r>
        <w:rPr/>
        <mc:AlternateContent>
          <mc:Choice Requires="wps">
            <w:drawing>
              <wp:inline distT="0" distB="0" distL="0" distR="0">
                <wp:extent cx="635"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BodyText"/>
        <w:rPr/>
      </w:pPr>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so its risk is geopolitical (Appendix B2).</w:t>
      </w:r>
    </w:p>
    <w:p>
      <w:pPr>
        <w:pStyle w:val="BodyText"/>
        <w:rPr/>
      </w:pPr>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so an Australian SMR would import enrichment and fabrication by law (EPBC s 140A; ARPANS s 10) and conversion (Parliamentary Library, 2024).</w:t>
      </w:r>
    </w:p>
    <w:p>
      <w:pPr>
        <w:pStyle w:val="BodyText"/>
        <w:rPr/>
      </w:pPr>
      <w:r>
        <w:rPr/>
        <w:t>C1 does not reduce fuel risk, and fuel independence needs conversion, enrichment, fabrication, forged components and skilled labour, not uranium deposits alone. Contracts with allied enrichers, as OPG uses, cut a buyer’s exposure but not concentration (Section 3.6.2). C1 adds a small supply risk of its own: LC³ needs a suitable calcined-clay source and blending capacity (Scrivener et al., 2018), and a single qualified supplier would be a risk. One Western option is laser enrichment from Australia’s Silex Systems, commercialised in the US by Global Laser Enrichment (51% Silex, 49% Cameco, OPG’s uranium supplier) (Silex Systems Limited, 2025;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normal1"/>
        <w:rPr/>
      </w:pPr>
      <w:r>
        <w:rPr/>
        <mc:AlternateContent>
          <mc:Choice Requires="wps">
            <w:drawing>
              <wp:inline distT="0" distB="0" distL="0" distR="0">
                <wp:extent cx="635"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3.6 Government Regulations Review</w:t>
      </w:r>
    </w:p>
    <w:p>
      <w:pPr>
        <w:pStyle w:val="Heading3"/>
        <w:rPr/>
      </w:pPr>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rPr/>
      </w:pPr>
      <w:r>
        <w:rPr/>
        <w:t>Federal repeal fails in the Senate while Labor and the Greens oppose, so the Coalition’s pledge to “repeal all legislative prohibitions” (Liberal Party of Australia, 2026) cannot pass unless one changes position. Repeal alone would not suffice: ARPANSA licenses only Commonwealth-controlled bodies (ARPANS Act s 13), so a private SMR at Liddell would remain an offence under NSW s 8. Only a Commonwealth-owned operator might fit the s 8(3) exemption that covers ANSTO (our inference).</w:t>
      </w:r>
    </w:p>
    <w:p>
      <w:pPr>
        <w:pStyle w:val="BodyText"/>
        <w:rPr/>
      </w:pPr>
      <w:r>
        <w:rPr/>
        <w:t>The construction licence (April 2025) covers one unit, and OPG applied in March 2026 to operate Unit 1 (Canadian Nuclear Safety Commission [CNSC], 2026a; 2026b). Units 2–4 need a further authorisation, with C1 reviewed inside it. Concrete in a non-safety auxiliary structure meets ordinary construction requirements, but infill in a safety-significant structure may alter the licensed design basis and needs a fuller demonstration; REGDOC-2.5.2 classifies structures by risk (CNSC, 2023a). The cement standard already allows calcined-clay blends with up to 15% limestone (CSA Group, 2023; Hooton, 2023). The BWRX-300 containment is steel-plate composite, so the infill is governed by GE-Hitachi’s topical report NEDO-33926,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rPr/>
      </w:pPr>
      <w:r>
        <w:rPr/>
        <w:t>The non-safety pilot needs no nuclear qualification; infill qualification must start in 2027, with slag (S1) as the fallback (Section 3.6.2). At Liddell the barrier precedes any materials choice, and LC³ solves none of them.</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(Appendix B1.2; Parliament of Australia, 2026)</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NSW has no nuclear regulator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or a new regulator (Appendix B3)</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established (CNSC, 2026a)</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approval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lapses 28 November 2026; Parliament of New South Wales, 2026) or Constitution s 109 override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(Newcastle Herald, 2024a)</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normal1"/>
        <w:rPr/>
      </w:pPr>
      <w:r>
        <w:rPr/>
        <mc:AlternateContent>
          <mc:Choice Requires="wps">
            <w:drawing>
              <wp:inline distT="0" distB="0" distL="0" distR="0">
                <wp:extent cx="635"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outcome if not met</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non-safety concrete first</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next procurement round (2027)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Each component’s safety function defined, binder traced; if not, revert to the approved mix</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tranche 2 (around 2028)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EPDs on a comparable product boundary, transport modelled; if not, no quantified saving claim</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safety-class works</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if not met, a further trial or rejection</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BodyText"/>
        <w:rPr/>
      </w:pPr>
      <w:r>
        <w:rPr/>
        <w:t>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and life-cycle assessment in federal procurement (Treasury Board of Canada Secretariat, 2022), but it binds federal departments, and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pPr>
        <w:pStyle w:val="normal1"/>
        <w:rPr/>
      </w:pPr>
      <w:r>
        <w:rPr/>
        <mc:AlternateContent>
          <mc:Choice Requires="wps">
            <w:drawing>
              <wp:inline distT="0" distB="0" distL="0" distR="0">
                <wp:extent cx="57315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3.7 Triple-bottom-line evaluation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r>
        <w:rPr/>
        <w:t>3.7.1 Triple bottom line</w:t>
      </w:r>
    </w:p>
    <w:p>
      <w:pPr>
        <w:pStyle w:val="FirstParagraph"/>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Unit 1 avoids 1.0–6.8 Mt to 2050.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less than one day of delay (C$1.8–2.9 m).</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underwriting (our inference, Section 3.5.1).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C1 adds no consent issue.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p>
        </w:tc>
      </w:tr>
    </w:tbl>
    <w:p>
      <w:pPr>
        <w:pStyle w:val="Heading3"/>
        <w:rPr/>
      </w:pPr>
      <w:r>
        <w:rPr/>
        <w:t>3.7.2 Multi-criteria analysis</w:t>
      </w:r>
    </w:p>
    <w:p>
      <w:pPr>
        <w:pStyle w:val="FirstParagraph"/>
        <w:rPr/>
      </w:pPr>
      <w:r>
        <w:rPr/>
        <w:t>Method in Section 2; working in Appendix B7 (scores: B8.3, B3).</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w:t>
      </w:r>
    </w:p>
    <w:p>
      <w:pPr>
        <w:pStyle w:val="BodyText"/>
        <w:rPr/>
      </w:pPr>
      <w:r>
        <w:rPr/>
        <w:t>SMR + C1 and SMR are indistinguishable. At 2,200 t per unit (BWRX-300 Ostrołęka sp. z o.o., 2023; Pillai et al., 2019), C1 moves the weighted score by under 0.005 point. At Liddell, an 18.5-day slip would forgo CO₂e equal to 15 times the saving (Appendix B7.5). The status quo’s second place over the SMR is a scaling artefact: it scores full marks on cost, supply and legal feasibility because it changes nothing.</w:t>
      </w:r>
    </w:p>
    <w:p>
      <w:pPr>
        <w:pStyle w:val="Heading3"/>
        <w:rPr/>
      </w:pPr>
      <w:r>
        <w:rPr/>
        <w:t>3.7.3 Verdict and limits</w:t>
      </w:r>
    </w:p>
    <w:p>
      <w:pPr>
        <w:pStyle w:val="FirstParagraph"/>
        <w:rPr/>
      </w:pPr>
      <w:r>
        <w:rPr/>
        <w:t>C1 is justified as a controlled innovation within a credible nuclear construction programme, not as an argument that all SMRs should be built. Pilot LC³ in eligible non-safety works first; use steel-composite infill only if qualified on Unit 1 mock-ups, otherwise the slag blend. Qualification must start in 2027 for the 2028 Units 2–4 decision (Section 3.6.2).</w:t>
      </w:r>
    </w:p>
    <w:p>
      <w:pPr>
        <w:pStyle w:val="BodyText"/>
        <w:rPr/>
      </w:pPr>
      <w:r>
        <w:rPr/>
        <w:t>An SMR at Liddell would need its cost gap closed, first power well before 2040, and the legal and consent barriers removed (Appendix B3, route C). We would keep SMRs under review against Darlington’s outturn cost.</w:t>
      </w:r>
    </w:p>
    <w:p>
      <w:pPr>
        <w:pStyle w:val="BodyText"/>
        <w:rPr/>
      </w:pPr>
      <w:r>
        <w:rPr/>
        <w:t>The social, legal and supply scores and all four weight sets are our judgement; only “renewables first” is robust to the scaling. Costs are GenCost’s (Graham, Hayward and Foster, 2024); the renewables supply score uses solar PV alone (International Energy Agency, 2022).</w:t>
      </w:r>
    </w:p>
    <w:p>
      <w:pPr>
        <w:pStyle w:val="normal1"/>
        <w:rPr/>
      </w:pPr>
      <w:r>
        <w:rPr/>
        <mc:AlternateContent>
          <mc:Choice Requires="wps">
            <w:drawing>
              <wp:inline distT="0" distB="0" distL="0" distR="0">
                <wp:extent cx="57315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heat data found; M50 strength 56.7 against 60.0 MPa (Pillai et al., 2019)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heat and shrinkage; qualification under NEDO-33926 before approval expected in 2028 (American Nuclear Society, 2026)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(Canadian Nuclear Safety Commission, 2023b)</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(our inference)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application was accepted in August 2025 (Silex Systems Limited,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(Krall, Macfarlane and Ewing, 2022; contested); Synroc is pre-commissioning (ANSTO, n.d.)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w:t>
            </w:r>
          </w:p>
        </w:tc>
      </w:tr>
    </w:tbl>
    <w:p>
      <w:pPr>
        <w:pStyle w:val="Heading1"/>
        <w:rPr/>
      </w:pPr>
      <w:r>
        <w:rPr/>
        <w:t>4 Conclusion</w:t>
      </w:r>
    </w:p>
    <w:p>
      <w:pPr>
        <w:pStyle w:val="FirstParagraph"/>
        <w:rPr/>
      </w:pPr>
      <w:r>
        <w:rPr/>
        <w:t>Pilot LC³ in eligible non-safety works first; use it in the infill only if qualified on Unit 1 mock-ups and adding no delay to Darlington Units 2–4. For Australia, law, cost and timing bar an SMR at Liddell before about 2040; firmed renewables rank first.</w:t>
      </w:r>
    </w:p>
    <w:p>
      <w:pPr>
        <w:pStyle w:val="BodyText"/>
        <w:rPr/>
      </w:pPr>
      <w:r>
        <w:rPr/>
        <w:t>Our answers to the four research questions are as follows.</w:t>
      </w:r>
    </w:p>
    <w:p>
      <w:pPr>
        <w:pStyle w:val="Compact"/>
        <w:numPr>
          <w:ilvl w:val="0"/>
          <w:numId w:val="17"/>
        </w:numPr>
        <w:rPr/>
      </w:pPr>
      <w:r>
        <w:rPr>
          <w:i/>
          <w:iCs/>
        </w:rPr>
        <w:t>Life cycle (Section 3.2).</w:t>
      </w:r>
      <w:r>
        <w:rPr/>
        <w:t xml:space="preserve"> One BWRX-300 emits about 4 g CO₂e/kWh, mostly from the fuel front end; conversion heat is the largest uncertainty.</w:t>
      </w:r>
    </w:p>
    <w:p>
      <w:pPr>
        <w:pStyle w:val="Compact"/>
        <w:numPr>
          <w:ilvl w:val="0"/>
          <w:numId w:val="18"/>
        </w:numPr>
        <w:rPr/>
      </w:pPr>
      <w:r>
        <w:rPr>
          <w:i/>
          <w:iCs/>
        </w:rPr>
        <w:t>C1 (Sections 3.2–3.3).</w:t>
      </w:r>
      <w:r>
        <w:rPr/>
        <w:t xml:space="preserve"> It saves 2,200 t per unit (1,100–3,300; Section 3.1.4), about 0.36% of the life cycle; a delay of 11.6–18.5 days cancels it (1.7–1.8 days on the marginal grid factor).</w:t>
      </w:r>
    </w:p>
    <w:p>
      <w:pPr>
        <w:pStyle w:val="Compact"/>
        <w:numPr>
          <w:ilvl w:val="0"/>
          <w:numId w:val="19"/>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20"/>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r>
        <w:rPr/>
        <w:t>Schedule: a month’s slip to Units 2–4 costs 29–175 times C1’s carbon value (Section 3.3). Fuel front end: a measured conversion-heat value would narrow the headline most (Section 3.2). Whole-plant steel: up to 3,714 t per unit, if feasible (Section 3.8). Concrete (C1): low-risk, but moves the life cycle by about 0.36%.</w:t>
      </w:r>
    </w:p>
    <w:p>
      <w:pPr>
        <w:pStyle w:val="BodyText"/>
        <w:rPr/>
      </w:pPr>
      <w:r>
        <w:rPr/>
        <w:t>A screening LCA, not critically reviewed; MCDA weights are our judgement; legislation excludes the 2025 EPBC reforms.</w:t>
      </w:r>
    </w:p>
    <w:p>
      <w:pPr>
        <w:pStyle w:val="normal1"/>
        <w:rPr/>
      </w:pPr>
      <w:r>
        <w:rPr/>
        <mc:AlternateContent>
          <mc:Choice Requires="wps">
            <w:drawing>
              <wp:inline distT="0" distB="0" distL="0" distR="0">
                <wp:extent cx="57315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1"/>
        <w:rPr/>
      </w:pPr>
      <w:r>
        <w:rPr/>
      </w:r>
      <w:r>
        <w:br w:type="page"/>
      </w:r>
    </w:p>
    <w:p>
      <w:pPr>
        <w:pStyle w:val="Heading1"/>
        <w:spacing w:before="0" w:after="120"/>
        <w:rPr/>
      </w:pPr>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Heading4"/>
        <w:rPr/>
      </w:pPr>
      <w:r>
        <w:rPr/>
        <w:t>Legislation</w:t>
      </w:r>
    </w:p>
    <w:p>
      <w:pPr>
        <w:pStyle w:val="FirstParagraph"/>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p>
    <w:p>
      <w:pPr>
        <w:pStyle w:val="Heading4"/>
        <w:rPr/>
      </w:pPr>
      <w:r>
        <w:rPr/>
        <w:t>Cases</w:t>
      </w:r>
    </w:p>
    <w:p>
      <w:pPr>
        <w:pStyle w:val="FirstParagraph"/>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p>
    <w:p>
      <w:pPr>
        <w:pStyle w:val="Heading1"/>
        <w:rPr/>
      </w:pPr>
      <w:r>
        <w:rPr/>
        <w:t>Declaration of generative AI use</w:t>
      </w:r>
    </w:p>
    <w:p>
      <w:pPr>
        <w:pStyle w:val="FirstParagraph"/>
        <w:rPr/>
      </w:pPr>
      <w:r>
        <w:rPr>
          <w:rStyle w:val="TeamNote"/>
        </w:rPr>
        <w:t>TEAM: agree the AI-use declaration wording and add it here.</w:t>
      </w:r>
    </w:p>
    <w:p>
      <w:pPr>
        <w:pStyle w:val="normal1"/>
        <w:rPr/>
      </w:pPr>
      <w:r>
        <w:rPr/>
      </w:r>
      <w:r>
        <w:br w:type="page"/>
      </w:r>
    </w:p>
    <w:p>
      <w:pPr>
        <w:pStyle w:val="Heading1"/>
        <w:spacing w:before="0" w:after="120"/>
        <w:rPr/>
      </w:pPr>
      <w:r>
        <w:rPr/>
        <w:t>Appendices</w:t>
      </w:r>
    </w:p>
    <w:p>
      <w:pPr>
        <w:pStyle w:val="Heading2"/>
        <w:rPr/>
      </w:pPr>
      <w:r>
        <w:rPr/>
        <w:t>Appendix A. LCA inventory and calculations</w:t>
      </w:r>
    </w:p>
    <w:p>
      <w:pPr>
        <w:pStyle w:val="FirstParagraph"/>
        <w:rPr/>
      </w:pPr>
      <w:r>
        <w:rPr/>
        <w:t>All calculations are reproducible from the Python scripts and parameter files in the team repository (03_LCA_Calculations).</w:t>
      </w:r>
    </w:p>
    <w:p>
      <w:pPr>
        <w:pStyle w:val="BodyText"/>
        <w:rPr/>
      </w:pPr>
      <w:r>
        <w:rPr/>
        <w:t>This is a screening LCA (ISO 14040/44 principles). Ostrołęka and Pillai values are used as reported; other inputs are assumptions or placeholders.</w:t>
      </w:r>
    </w:p>
    <w:p>
      <w:pPr>
        <w:pStyle w:val="Heading4"/>
        <w:rPr/>
      </w:pPr>
      <w:r>
        <w:rPr/>
        <w:t>A1 Reproducing the results</w:t>
      </w:r>
    </w:p>
    <w:p>
      <w:pPr>
        <w:pStyle w:val="FirstParagraph"/>
        <w:rPr/>
      </w:pPr>
      <w:r>
        <w:rPr/>
        <w:t xml:space="preserve">Edit </w:t>
      </w:r>
      <w:r>
        <w:rPr>
          <w:rStyle w:val="VerbatimChar"/>
        </w:rPr>
        <w:t>parameters_lca.yaml</w:t>
      </w:r>
      <w:r>
        <w:rPr/>
        <w:t xml:space="preserve"> (68 parameters) and re-run </w:t>
      </w:r>
      <w:r>
        <w:rPr>
          <w:rStyle w:val="VerbatimChar"/>
        </w:rPr>
        <w:t>lca_baseline.py</w:t>
      </w:r>
      <w:r>
        <w:rPr/>
        <w:t xml:space="preserve">, </w:t>
      </w:r>
      <w:r>
        <w:rPr>
          <w:rStyle w:val="VerbatimChar"/>
        </w:rPr>
        <w:t>lca_scenarios.py</w:t>
      </w:r>
      <w:r>
        <w:rPr/>
        <w:t xml:space="preserve"> and </w:t>
      </w:r>
      <w:r>
        <w:rPr>
          <w:rStyle w:val="VerbatimChar"/>
        </w:rPr>
        <w:t>lca_uncertainty.py</w:t>
      </w:r>
      <w:r>
        <w:rPr/>
        <w:t xml:space="preserve"> (</w:t>
      </w:r>
      <w:r>
        <w:rPr>
          <w:rStyle w:val="VerbatimChar"/>
        </w:rPr>
        <w:t>python3 -I 03_LCA_Calculations/scripts/&lt;name&gt;</w:t>
      </w:r>
      <w:r>
        <w:rPr/>
        <w:t xml:space="preserve">). Outputs are in </w:t>
      </w:r>
      <w:r>
        <w:rPr>
          <w:rStyle w:val="VerbatimChar"/>
        </w:rPr>
        <w:t>03_LCA_Calculations/results/</w:t>
      </w:r>
      <w:r>
        <w:rPr/>
        <w:t>.</w:t>
      </w:r>
    </w:p>
    <w:p>
      <w:pPr>
        <w:pStyle w:val="Heading4"/>
        <w:rPr/>
      </w:pPr>
      <w:r>
        <w:rPr/>
        <w:t>A2 Functional unit</w:t>
      </w:r>
    </w:p>
    <w:p>
      <w:pPr>
        <w:pStyle w:val="Compact"/>
        <w:numPr>
          <w:ilvl w:val="0"/>
          <w:numId w:val="21"/>
        </w:numPr>
        <w:rPr/>
      </w:pPr>
      <w:r>
        <w:rPr/>
        <w:t>Annual output = 300 MWe × 8,760 h × 0.90 = 2,365,200 MWh/yr.</w:t>
      </w:r>
    </w:p>
    <w:p>
      <w:pPr>
        <w:pStyle w:val="Compact"/>
        <w:numPr>
          <w:ilvl w:val="0"/>
          <w:numId w:val="22"/>
        </w:numPr>
        <w:rPr/>
      </w:pPr>
      <w:r>
        <w:rPr/>
        <w:t xml:space="preserve">Lifetime output E = 2,365,200 × 60 years = </w:t>
      </w:r>
      <w:r>
        <w:rPr>
          <w:b/>
          <w:bCs/>
        </w:rPr>
        <w:t>1.419 × 10⁸ MWh</w:t>
      </w:r>
      <w:r>
        <w:rPr/>
        <w:t>.</w:t>
      </w:r>
    </w:p>
    <w:p>
      <w:pPr>
        <w:pStyle w:val="Compact"/>
        <w:numPr>
          <w:ilvl w:val="0"/>
          <w:numId w:val="23"/>
        </w:numPr>
        <w:rPr/>
      </w:pPr>
      <w:r>
        <w:rPr/>
        <w:t xml:space="preserve">Net efficiency = 300 / 870 MWt = </w:t>
      </w:r>
      <w:r>
        <w:rPr>
          <w:b/>
          <w:bCs/>
        </w:rPr>
        <w:t>0.345</w:t>
      </w:r>
      <w:r>
        <w:rPr/>
        <w:t xml:space="preserve"> (Sun and Kurosaki, 2025, unrefereed preprint).</w:t>
      </w:r>
    </w:p>
    <w:p>
      <w:pPr>
        <w:pStyle w:val="Compact"/>
        <w:numPr>
          <w:ilvl w:val="0"/>
          <w:numId w:val="24"/>
        </w:numPr>
        <w:rPr/>
      </w:pPr>
      <w:r>
        <w:rPr/>
        <w:t>Inputs: 300 MWe (GE Vernova Hitachi Nuclear Energy, n.d.; 315 in Ontario Power Generation, 2025b); capacity factor 0.90 (placeholder); life 60 years (Canadian Nuclear Safety Commission, 2024).</w:t>
      </w:r>
    </w:p>
    <w:p>
      <w:pPr>
        <w:pStyle w:val="Heading4"/>
        <w:rPr/>
      </w:pPr>
      <w:r>
        <w:rPr/>
        <w:t>A3 Material quantities per unit</w:t>
      </w:r>
    </w:p>
    <w:p>
      <w:pPr>
        <w:pStyle w:val="Compact"/>
        <w:numPr>
          <w:ilvl w:val="0"/>
          <w:numId w:val="25"/>
        </w:numPr>
        <w:rPr/>
      </w:pPr>
      <w:r>
        <w:rPr/>
        <w:t xml:space="preserve">Main case (BWRX-300 Ostrołęka sp. z o.o., 2023, as reported): </w:t>
      </w:r>
      <w:r>
        <w:rPr>
          <w:b/>
          <w:bCs/>
        </w:rPr>
        <w:t>50,000 m³ concrete, 14,000 t steel</w:t>
      </w:r>
      <w:r>
        <w:rPr/>
        <w:t>, a Polish-design proxy rather than Darlington data.</w:t>
      </w:r>
    </w:p>
    <w:p>
      <w:pPr>
        <w:pStyle w:val="Compact"/>
        <w:numPr>
          <w:ilvl w:val="0"/>
          <w:numId w:val="26"/>
        </w:numPr>
        <w:rPr/>
      </w:pPr>
      <w:r>
        <w:rPr/>
        <w:t>Rebar = 0.15 t/m³ × 50,000 = 7,500 t (assumption); plate and equipment steel = 14,000 − 7,500 = 6,500 t.</w:t>
      </w:r>
    </w:p>
    <w:p>
      <w:pPr>
        <w:pStyle w:val="Compact"/>
        <w:numPr>
          <w:ilvl w:val="0"/>
          <w:numId w:val="27"/>
        </w:numPr>
        <w:rPr/>
      </w:pPr>
      <w:r>
        <w:rPr/>
        <w:t xml:space="preserve">C1-eligible concrete = 0.40 × 50,000 = </w:t>
      </w:r>
      <w:r>
        <w:rPr>
          <w:b/>
          <w:bCs/>
        </w:rPr>
        <w:t>20,000 m³</w:t>
      </w:r>
      <w:r>
        <w:rPr/>
        <w:t xml:space="preserve"> (10,000 and 30,000 at 20% and 60%; a scenario, not data).</w:t>
      </w:r>
    </w:p>
    <w:p>
      <w:pPr>
        <w:pStyle w:val="Compact"/>
        <w:numPr>
          <w:ilvl w:val="0"/>
          <w:numId w:val="28"/>
        </w:numPr>
        <w:rPr/>
      </w:pPr>
      <w:r>
        <w:rPr/>
        <w:t>Cross-check (Peterson, Zhao and Petroski, 2005; ESBWR 69 m³/MWe, 33 t/MWe): 20,700 m³ and 9,900 t.</w:t>
      </w:r>
    </w:p>
    <w:p>
      <w:pPr>
        <w:pStyle w:val="Heading4"/>
        <w:rPr/>
      </w:pPr>
      <w:r>
        <w:rPr/>
        <w:t>A4 Construction inventory</w:t>
      </w:r>
    </w:p>
    <w:p>
      <w:pPr>
        <w:pStyle w:val="FirstParagraph"/>
        <w:rPr/>
      </w:pPr>
      <w:r>
        <w:rPr/>
        <w:t xml:space="preserve">Construction emits </w:t>
      </w:r>
      <w:r>
        <w:rPr>
          <w:b/>
          <w:bCs/>
        </w:rPr>
        <w:t>57,600 t CO₂e per unit</w:t>
      </w:r>
      <w:r>
        <w:rPr/>
        <w:t xml:space="preserve"> (mode case, 0.41 g/kWh).</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 × factor</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(all)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 380 kg/m³</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 0.97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 × 1.73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km concrete, 500 km steel, 0.10 kg/t-km</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above</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bl>
    <w:p>
      <w:pPr>
        <w:pStyle w:val="BodyText"/>
        <w:rPr/>
      </w:pPr>
      <w:r>
        <w:rPr/>
        <w:t>Spreadsheet corrections: site is Clarington, not Ottawa; 4,127.29 m³ is forebay concrete plus rebar, not a bored volume; rebar uses an electric-arc-furnace factor.</w:t>
      </w:r>
    </w:p>
    <w:p>
      <w:pPr>
        <w:pStyle w:val="Heading4"/>
        <w:rPr/>
      </w:pPr>
      <w:r>
        <w:rPr/>
        <w:t>A5 Emission factors</w:t>
      </w:r>
    </w:p>
    <w:p>
      <w:pPr>
        <w:pStyle w:val="FirstParagraph"/>
        <w:rPr/>
      </w:pPr>
      <w:r>
        <w:rPr/>
        <w:t xml:space="preserve">Climate change, GWP100; cradle-to-gate for materials. Source: </w:t>
      </w:r>
      <w:r>
        <w:rPr>
          <w:rStyle w:val="VerbatimChar"/>
        </w:rPr>
        <w:t>parameters_lca.yaml</w:t>
      </w:r>
      <w:r>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(330–420) kg CO₂e/m³</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(cut 28.9%)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t CO₂e/t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(1.22–2.50) t CO₂e/t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(24–81) kg CO₂e/kg U₃O₈</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enrichment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(heat); 50 kWh/SWU</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Ontario; USA</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 0.373 kg CO₂e/kWh</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US EPA (2024)</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as reported</w:t>
            </w:r>
          </w:p>
        </w:tc>
      </w:tr>
    </w:tbl>
    <w:p>
      <w:pPr>
        <w:pStyle w:val="BodyText"/>
        <w:rPr/>
      </w:pPr>
      <w:r>
        <w:rPr/>
        <w:t>LC³ cut: 1 − 270/380 = 28.9%.</w:t>
      </w:r>
    </w:p>
    <w:p>
      <w:pPr>
        <w:pStyle w:val="Heading4"/>
        <w:rPr/>
      </w:pPr>
      <w:r>
        <w:rPr/>
        <w:t>A6 Concrete and the C1 scenarios</w:t>
      </w:r>
    </w:p>
    <w:p>
      <w:pPr>
        <w:pStyle w:val="Compact"/>
        <w:numPr>
          <w:ilvl w:val="0"/>
          <w:numId w:val="29"/>
        </w:numPr>
        <w:rPr/>
      </w:pPr>
      <w:r>
        <w:rPr>
          <w:b/>
          <w:bCs/>
        </w:rPr>
        <w:t>LC³ (C1):</w:t>
      </w:r>
      <w:r>
        <w:rPr/>
        <w:t xml:space="preserve"> saving = 20,000 m³ × (380 − 270) / 1,000 = </w:t>
      </w:r>
      <w:r>
        <w:rPr>
          <w:b/>
          <w:bCs/>
        </w:rPr>
        <w:t>2,200 t per unit</w:t>
      </w:r>
      <w:r>
        <w:rPr/>
        <w:t xml:space="preserve"> (1,100 at 20%; 3,300 at 60%); 2,200 / 406,462 = 0.54% of the mode-case life cycle.</w:t>
      </w:r>
    </w:p>
    <w:p>
      <w:pPr>
        <w:pStyle w:val="Compact"/>
        <w:numPr>
          <w:ilvl w:val="0"/>
          <w:numId w:val="30"/>
        </w:numPr>
        <w:rPr/>
      </w:pPr>
      <w:r>
        <w:rPr>
          <w:b/>
          <w:bCs/>
        </w:rPr>
        <w:t>Slag fallback:</w:t>
      </w:r>
      <w:r>
        <w:rPr/>
        <w:t xml:space="preserve"> 20,000 × 0.114 = 2,288 t.</w:t>
      </w:r>
    </w:p>
    <w:p>
      <w:pPr>
        <w:pStyle w:val="Compact"/>
        <w:numPr>
          <w:ilvl w:val="0"/>
          <w:numId w:val="31"/>
        </w:numPr>
        <w:rPr/>
      </w:pPr>
      <w:r>
        <w:rPr>
          <w:b/>
          <w:bCs/>
        </w:rPr>
        <w:t>Clinker avoided:</w:t>
      </w:r>
      <w:r>
        <w:rPr/>
        <w:t xml:space="preserve"> 20,000 × 350 kg/m³ × (0.92 − 0.50) / 1,000 = 2,940 t (indicative).</w:t>
      </w:r>
    </w:p>
    <w:p>
      <w:pPr>
        <w:pStyle w:val="Compact"/>
        <w:numPr>
          <w:ilvl w:val="0"/>
          <w:numId w:val="32"/>
        </w:numPr>
        <w:rPr/>
      </w:pPr>
      <w:r>
        <w:rPr>
          <w:b/>
          <w:bCs/>
        </w:rPr>
        <w:t>Units 2–4:</w:t>
      </w:r>
      <w:r>
        <w:rPr/>
        <w:t xml:space="preserve"> 3 × per unit = 6,600 t.</w:t>
      </w:r>
    </w:p>
    <w:p>
      <w:pPr>
        <w:pStyle w:val="Compact"/>
        <w:numPr>
          <w:ilvl w:val="0"/>
          <w:numId w:val="33"/>
        </w:numPr>
        <w:rPr/>
      </w:pPr>
      <w:r>
        <w:rPr/>
        <w:t>Monte Carlo median for LC³ at 40%: 2,217 t per unit (1,375–3,294).</w:t>
      </w:r>
    </w:p>
    <w:p>
      <w:pPr>
        <w:pStyle w:val="Heading4"/>
        <w:rPr/>
      </w:pPr>
      <w:r>
        <w:rPr/>
        <w:t>A7 Steel, transport and construction total</w:t>
      </w:r>
    </w:p>
    <w:p>
      <w:pPr>
        <w:pStyle w:val="Compact"/>
        <w:numPr>
          <w:ilvl w:val="0"/>
          <w:numId w:val="34"/>
        </w:numPr>
        <w:rPr/>
      </w:pPr>
      <w:r>
        <w:rPr/>
        <w:t xml:space="preserve">Concrete 19,000 t + steel 18,520 t (7,275 + 11,245) + transport 880 t + uplift 0.5 × 38,400 = 19,200 t = </w:t>
      </w:r>
      <w:r>
        <w:rPr>
          <w:b/>
          <w:bCs/>
        </w:rPr>
        <w:t>57,600 t</w:t>
      </w:r>
      <w:r>
        <w:rPr/>
        <w:t>.</w:t>
      </w:r>
    </w:p>
    <w:p>
      <w:pPr>
        <w:pStyle w:val="Compact"/>
        <w:numPr>
          <w:ilvl w:val="0"/>
          <w:numId w:val="35"/>
        </w:numPr>
        <w:rPr/>
      </w:pPr>
      <w:r>
        <w:rPr/>
        <w:t xml:space="preserve">Per kWh: 57,600 / 1.419 × 10⁸ MWh = </w:t>
      </w:r>
      <w:r>
        <w:rPr>
          <w:b/>
          <w:bCs/>
        </w:rPr>
        <w:t>0.406 g/kWh</w:t>
      </w:r>
      <w:r>
        <w:rPr/>
        <w:t>.</w:t>
      </w:r>
    </w:p>
    <w:p>
      <w:pPr>
        <w:pStyle w:val="Compact"/>
        <w:numPr>
          <w:ilvl w:val="0"/>
          <w:numId w:val="36"/>
        </w:numPr>
        <w:rPr/>
      </w:pPr>
      <w:r>
        <w:rPr/>
        <w:t>Steel sensitivity (not part of C1): target-structure steel only 566 t per unit; all steel at best-practice factors 3,915 t; world-average steel −12,655 t (adds emissions).</w:t>
      </w:r>
    </w:p>
    <w:p>
      <w:pPr>
        <w:pStyle w:val="Heading4"/>
        <w:rPr/>
      </w:pPr>
      <w:r>
        <w:rPr/>
        <w:t>A8 Fuel cycle and life-cycle total</w:t>
      </w:r>
    </w:p>
    <w:p>
      <w:pPr>
        <w:pStyle w:val="FirstParagraph"/>
        <w:rPr/>
      </w:pPr>
      <w:r>
        <w:rPr/>
        <w:t xml:space="preserve">Inputs: burnup 45 GWd/t and 3.8% U-235 (placeholders); tails 0.25%; feed 0.711%. - Electricity per kg enriched U = 45 × 24,000 × 0.345 = 372,414 kWh → </w:t>
      </w:r>
      <w:r>
        <w:rPr>
          <w:b/>
          <w:bCs/>
        </w:rPr>
        <w:t>2.685 g enriched U per MWh</w:t>
      </w:r>
      <w:r>
        <w:rPr/>
        <w:t xml:space="preserve">. - Feed factor = (3.8 − 0.25) / (0.711 − 0.25) = </w:t>
      </w:r>
      <w:r>
        <w:rPr>
          <w:b/>
          <w:bCs/>
        </w:rPr>
        <w:t>7.70</w:t>
      </w:r>
      <w:r>
        <w:rPr/>
        <w:t xml:space="preserve">; natural U = 20.68 g/MWh. - Separative work = 5.42 SWU/kg → 0.0146 SWU/MWh. - Four units need about </w:t>
      </w:r>
      <w:r>
        <w:rPr>
          <w:b/>
          <w:bCs/>
        </w:rPr>
        <w:t>196 t natural U and 138 tSWU a year</w:t>
      </w:r>
      <w:r>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(mode case)</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(all)</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bl>
    <w:p>
      <w:pPr>
        <w:pStyle w:val="BodyText"/>
        <w:rPr/>
      </w:pPr>
      <w:r>
        <w:rPr/>
        <w:t>Total 406,462 t CO₂e per unit. Fuel front end 1.458 g/kWh (50.9%).</w:t>
      </w:r>
    </w:p>
    <w:p>
      <w:pPr>
        <w:pStyle w:val="Heading4"/>
        <w:rPr/>
      </w:pPr>
      <w:r>
        <w:rPr/>
        <w:t>A9 Granta EduPack Eco Audit</w:t>
      </w:r>
    </w:p>
    <w:p>
      <w:pPr>
        <w:pStyle w:val="FirstParagraph"/>
        <w:rPr/>
      </w:pPr>
      <w:r>
        <w:rPr/>
        <w:t>A Granta EduPack Eco Audit cross-check was planned but not completed; the screening model above is the basis of all results.</w:t>
      </w:r>
    </w:p>
    <w:p>
      <w:pPr>
        <w:pStyle w:val="Heading2"/>
        <w:rPr/>
      </w:pPr>
      <w:r>
        <w:rPr/>
        <w:t>Appendix B. Policy, economics and supply calculations</w:t>
      </w:r>
    </w:p>
    <w:p>
      <w:pPr>
        <w:pStyle w:val="FirstParagraph"/>
        <w:rPr/>
      </w:pPr>
      <w:r>
        <w:rPr/>
        <w:t xml:space="preserve">Each subsection gives the formula, key inputs and result. Scripts are in </w:t>
      </w:r>
      <w:r>
        <w:rPr>
          <w:rStyle w:val="VerbatimChar"/>
        </w:rPr>
        <w:t>03_LCA_Calculations/scripts/</w:t>
      </w:r>
      <w:r>
        <w:rPr/>
        <w:t xml:space="preserve"> (</w:t>
      </w:r>
      <w:r>
        <w:rPr>
          <w:rStyle w:val="VerbatimChar"/>
        </w:rPr>
        <w:t>law_timelines.py</w:t>
      </w:r>
      <w:r>
        <w:rPr/>
        <w:t xml:space="preserve">, </w:t>
      </w:r>
      <w:r>
        <w:rPr>
          <w:rStyle w:val="VerbatimChar"/>
        </w:rPr>
        <w:t>hhi.py</w:t>
      </w:r>
      <w:r>
        <w:rPr/>
        <w:t xml:space="preserve">, </w:t>
      </w:r>
      <w:r>
        <w:rPr>
          <w:rStyle w:val="VerbatimChar"/>
        </w:rPr>
        <w:t>displacement.py</w:t>
      </w:r>
      <w:r>
        <w:rPr/>
        <w:t xml:space="preserve">, </w:t>
      </w:r>
      <w:r>
        <w:rPr>
          <w:rStyle w:val="VerbatimChar"/>
        </w:rPr>
        <w:t>schedule_value.py</w:t>
      </w:r>
      <w:r>
        <w:rPr/>
        <w:t xml:space="preserve">, </w:t>
      </w:r>
      <w:r>
        <w:rPr>
          <w:rStyle w:val="VerbatimChar"/>
        </w:rPr>
        <w:t>same_money.py</w:t>
      </w:r>
      <w:r>
        <w:rPr/>
        <w:t xml:space="preserve">, </w:t>
      </w:r>
      <w:r>
        <w:rPr>
          <w:rStyle w:val="VerbatimChar"/>
        </w:rPr>
        <w:t>mcda.py</w:t>
      </w:r>
      <w:r>
        <w:rPr/>
        <w:t xml:space="preserve">, </w:t>
      </w:r>
      <w:r>
        <w:rPr>
          <w:rStyle w:val="VerbatimChar"/>
        </w:rPr>
        <w:t>social_licence.py</w:t>
      </w:r>
      <w:r>
        <w:rPr/>
        <w:t>). Scores marked “judgement” are our own, not sourced.</w:t>
      </w:r>
    </w:p>
    <w:p>
      <w:pPr>
        <w:pStyle w:val="Heading4"/>
        <w:rPr/>
      </w:pPr>
      <w:r>
        <w:rPr/>
        <w:t>B1 Legal and political pathway</w:t>
      </w:r>
    </w:p>
    <w:p>
      <w:pPr>
        <w:pStyle w:val="FirstParagraph"/>
        <w:rPr/>
      </w:pPr>
      <w:r>
        <w:rPr/>
        <w:t xml:space="preserve">Three laws bar an SMR at Liddell: </w:t>
      </w:r>
      <w:r>
        <w:rPr>
          <w:i/>
          <w:iCs/>
        </w:rPr>
        <w:t>EPBC Act 1999</w:t>
      </w:r>
      <w:r>
        <w:rPr/>
        <w:t xml:space="preserve"> (Cth) s 140A; </w:t>
      </w:r>
      <w:r>
        <w:rPr>
          <w:i/>
          <w:iCs/>
        </w:rPr>
        <w:t>ARPANS Act 1998</w:t>
      </w:r>
      <w:r>
        <w:rPr/>
        <w:t xml:space="preserve"> (Cth) s 10(2); </w:t>
      </w:r>
      <w:r>
        <w:rPr>
          <w:i/>
          <w:iCs/>
        </w:rPr>
        <w:t>Uranium Mining and Nuclear Facilities (Prohibitions) Act 1986</w:t>
      </w:r>
      <w:r>
        <w:rPr/>
        <w:t xml:space="preserve"> (NSW) s 8. Each has a different veto holder (Commonwealth Parliament, NSW Parliament), plus the site owner AGL.</w:t>
      </w:r>
    </w:p>
    <w:p>
      <w:pPr>
        <w:pStyle w:val="BodyText"/>
        <w:rPr/>
      </w:pPr>
      <w:r>
        <w:rPr/>
        <w:t xml:space="preserve">Senate arithmetic (Parliament of Australia, 2026; 76 seats): - Majority = ⌊76/2⌋ + 1 = </w:t>
      </w:r>
      <w:r>
        <w:rPr>
          <w:b/>
          <w:bCs/>
        </w:rPr>
        <w:t>39</w:t>
      </w:r>
      <w:r>
        <w:rPr/>
        <w:t xml:space="preserve">. - Largest pro-repeal bloc = Coalition 27 + One Nation 4 + Babet 1 = 32 (the last two are assumptions); shortfall = 39 − 32 = </w:t>
      </w:r>
      <w:r>
        <w:rPr>
          <w:b/>
          <w:bCs/>
        </w:rPr>
        <w:t>7</w:t>
      </w:r>
      <w:r>
        <w:rPr/>
        <w:t>. - Adding every other crossbencher gives 36–37, still short. Labor 30 + Greens 10 = 40 blocks.</w:t>
      </w:r>
    </w:p>
    <w:p>
      <w:pPr>
        <w:pStyle w:val="BodyText"/>
        <w:rPr/>
      </w:pPr>
      <w:r>
        <w:rPr/>
        <w:t>NSW repeal bill: introduced 19 November 2025, passed the Legislative Council 6 May 2026, stalled in the Assembly, lapses 28 November 2026.</w:t>
      </w:r>
    </w:p>
    <w:p>
      <w:pPr>
        <w:pStyle w:val="BodyText"/>
        <w:rPr/>
      </w:pPr>
      <w:r>
        <w:rPr/>
        <w:t xml:space="preserve">Darlington licensing (Canadian Nuclear Safety Commission, 2021; 2025; 2026a; 2026b): application 31 October 2022 to licence to construct 4 April 2025 = 886 days ÷ 30.44 = </w:t>
      </w:r>
      <w:r>
        <w:rPr>
          <w:b/>
          <w:bCs/>
        </w:rPr>
        <w:t>29.1 months</w:t>
      </w:r>
      <w:r>
        <w:rPr/>
        <w:t xml:space="preserve">; environmental assessment start (May 2007) to licence = </w:t>
      </w:r>
      <w:r>
        <w:rPr>
          <w:b/>
          <w:bCs/>
        </w:rPr>
        <w:t>17.9 years</w:t>
      </w:r>
      <w:r>
        <w:rPr/>
        <w:t>.</w:t>
      </w:r>
    </w:p>
    <w:p>
      <w:pPr>
        <w:pStyle w:val="Heading4"/>
        <w:rPr/>
      </w:pPr>
      <w:r>
        <w:rPr/>
        <w:t>B2 Supply concentration (HHI)</w:t>
      </w:r>
    </w:p>
    <w:p>
      <w:pPr>
        <w:pStyle w:val="FirstParagraph"/>
        <w:rPr/>
      </w:pPr>
      <w:r>
        <w:rPr/>
        <w:t xml:space="preserve">Formula: share s = 100 × q / Σq; HHI = Σ s²; N_eq = 10,000 / HHI. Enrichment worked example (World Nuclear Association, 2025): Rosatom 29,133 / 68,077 = 42.79%, squared 1,831; sum with Urenco 646, CNNC 410, Orano 121 and Other 0.3 = </w:t>
      </w:r>
      <w:r>
        <w:rPr>
          <w:b/>
          <w:bCs/>
        </w:rPr>
        <w:t>3,009</w:t>
      </w:r>
      <w:r>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(base year)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by country (2024; World Nuclear Association, 2026)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by company (World Nuclear Association, 2024)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by company (2025)</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w:t>
            </w:r>
          </w:p>
        </w:tc>
      </w:tr>
    </w:tbl>
    <w:p>
      <w:pPr>
        <w:pStyle w:val="BodyText"/>
        <w:rPr/>
      </w:pPr>
      <w:r>
        <w:rPr/>
        <w:t>Thresholds (US Department of Justice and Federal Trade Commission, 2023; 2010): above 1,800 is highly concentrated (2023); 1,500–2,500 moderate and above 2,500 high (2010). Mining by company, from the top three firms only, is 851–1,384 (midpoint 1,118), below 1,800.</w:t>
      </w:r>
    </w:p>
    <w:p>
      <w:pPr>
        <w:pStyle w:val="BodyText"/>
        <w:rPr/>
      </w:pPr>
      <w:r>
        <w:rPr/>
        <w:t xml:space="preserve">Darlington demand (four units; burnup 45 GWd/t, 3.8% enrichment, assumed): 195.6 t natural U and 137.7 tSWU a year, which is </w:t>
      </w:r>
      <w:r>
        <w:rPr>
          <w:b/>
          <w:bCs/>
        </w:rPr>
        <w:t>3.2% of Urenco USA’s 4,300 tSWU</w:t>
      </w:r>
      <w:r>
        <w:rPr/>
        <w:t xml:space="preserve"> and 0.20% of world capacity (68,077). The project is too small to move the HHI.</w:t>
      </w:r>
    </w:p>
    <w:p>
      <w:pPr>
        <w:pStyle w:val="Heading4"/>
        <w:rPr/>
      </w:pPr>
      <w:r>
        <w:rPr/>
        <w:t>B3 Routes to a licensable SMR in Australia</w:t>
      </w:r>
    </w:p>
    <w:p>
      <w:pPr>
        <w:pStyle w:val="FirstParagraph"/>
        <w:rPr/>
      </w:pPr>
      <w:r>
        <w:rPr/>
        <w:t>Three routes scored 1 (poor) to 3 (good) on four objectives (judgement; hand calculation).</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Veto points</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Regulator readiness</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Durability</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 licence</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Total (of 12)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Commonwealth-owned plant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 Federal law overriding states</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Cooperative state repeal</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r>
    </w:tbl>
    <w:p>
      <w:pPr>
        <w:pStyle w:val="BodyText"/>
        <w:rPr/>
      </w:pPr>
      <w:r>
        <w:rPr/>
        <w:t>Weight test (one objective doubled): regulator readiness × 2 gives A 9, B 7, C 9; durability × 2 gives A 7, B 6, C 11. Route B ranks last throughout. C1 levers (enforceability, speed, low risk; of 9): OPG specification 8, equity milestone 8, Ontario shareholder direction 7.</w:t>
      </w:r>
    </w:p>
    <w:p>
      <w:pPr>
        <w:pStyle w:val="Heading4"/>
        <w:rPr/>
      </w:pPr>
      <w:r>
        <w:rPr/>
        <w:t>B4 Displacement</w:t>
      </w:r>
    </w:p>
    <w:p>
      <w:pPr>
        <w:pStyle w:val="FirstParagraph"/>
        <w:rPr/>
      </w:pPr>
      <w:r>
        <w:rPr/>
        <w:t xml:space="preserve">Formulae: E = 300 MW × 8,760 h × 0.90 = 2,365,200 MWh/yr; avoided in year y = E × (EF_grid − EF_SMR) / 10⁶ t, with EF_SMR = 4.2 g/kWh (our Monte Carlo median). - Static NSW grid (640 g/kWh; Department of Climate Change, Energy, the Environment and Water, 2025): 2,365,200,000 × (640 − 4.2) / 10⁶ = </w:t>
      </w:r>
      <w:r>
        <w:rPr>
          <w:b/>
          <w:bCs/>
        </w:rPr>
        <w:t>1.50 Mt a year</w:t>
      </w:r>
      <w:r>
        <w:rPr/>
        <w:t xml:space="preserve">. - Static Ontario average 2024 (73.8 g/kWh; The Atmospheric Fund, 2025): 0.165 Mt a year; marginal (343 g/kWh): 0.80 Mt. - Cumulative to 2050: Darlington Unit 1 from 2030 = </w:t>
      </w:r>
      <w:r>
        <w:rPr>
          <w:b/>
          <w:bCs/>
        </w:rPr>
        <w:t>1.01–6.80 Mt</w:t>
      </w:r>
      <w:r>
        <w:rPr/>
        <w:t xml:space="preserve">; Liddell from 2040 = </w:t>
      </w:r>
      <w:r>
        <w:rPr>
          <w:b/>
          <w:bCs/>
        </w:rPr>
        <w:t>0.67–3.85 Mt</w:t>
      </w:r>
      <w:r>
        <w:rPr/>
        <w:t xml:space="preserve"> (Step Change proxy to slow transition); frozen NEM = 16.54 Mt. - Liddell example: 2,365,200,000 × (30 − 4.2) / 10⁶ = 61,022 t a year; × 11 years = 671 kt.</w:t>
      </w:r>
    </w:p>
    <w:p>
      <w:pPr>
        <w:pStyle w:val="BodyText"/>
        <w:rPr/>
      </w:pPr>
      <w:r>
        <w:rPr/>
        <w:t>Grid trajectory, start year and post-coal floor dominate; the SMR’s own life-cycle value moves the result by a few per cent.</w:t>
      </w:r>
    </w:p>
    <w:p>
      <w:pPr>
        <w:pStyle w:val="Heading4"/>
        <w:rPr/>
      </w:pPr>
      <w:r>
        <w:rPr/>
        <w:t>B5 Value of schedule</w:t>
      </w:r>
    </w:p>
    <w:p>
      <w:pPr>
        <w:pStyle w:val="FirstParagraph"/>
        <w:rPr/>
      </w:pPr>
      <w:r>
        <w:rPr/>
        <w:t xml:space="preserve">Formulae: daily output D = E / 365 = 6,480,000 kWh; gross loss per day = D × (EF_grid − EF_SMR) / 10⁶; break-even days = saving / loss per day. - Ontario average (2035 factor 33.4 g/kWh): 189 t a day, so C1’s 2,200 t is cancelled by </w:t>
      </w:r>
      <w:r>
        <w:rPr>
          <w:b/>
          <w:bCs/>
        </w:rPr>
        <w:t>11.6 days</w:t>
      </w:r>
      <w:r>
        <w:rPr/>
        <w:t xml:space="preserve"> (net basis 18.5). - Ontario marginal declining: 1,296 t a day, </w:t>
      </w:r>
      <w:r>
        <w:rPr>
          <w:b/>
          <w:bCs/>
        </w:rPr>
        <w:t>1.7 days</w:t>
      </w:r>
      <w:r>
        <w:rPr/>
        <w:t xml:space="preserve">. - Units 2–4 saving (6,600 t) against delay to one unit: 34.9 days (average), 5.1 days (marginal). - Carbon value of C1, Units 2–4: 6,600 t × C$95/t = C$0.63 m (C$0.76 m at C$115; Environment and Climate Change Canada, 2026). - One-month slip of Units 2–4: deferred output 591,300 MWh × C$149 = C$88 m (Ontario Power Generation, 2026b); carrying cost on C$13.2 bn at 3–10% = C$33–110 m. Ratio to C1’s carbon value: </w:t>
      </w:r>
      <w:r>
        <w:rPr>
          <w:b/>
          <w:bCs/>
        </w:rPr>
        <w:t>29–175 times</w:t>
      </w:r>
      <w:r>
        <w:rPr/>
        <w:t>.</w:t>
      </w:r>
    </w:p>
    <w:p>
      <w:pPr>
        <w:pStyle w:val="Heading4"/>
        <w:rPr/>
      </w:pPr>
      <w:r>
        <w:rPr/>
        <w:t>B6 Same money</w:t>
      </w:r>
    </w:p>
    <w:p>
      <w:pPr>
        <w:pStyle w:val="FirstParagraph"/>
        <w:rPr/>
      </w:pPr>
      <w:r>
        <w:rPr/>
        <w:t xml:space="preserve">Formulae: CRF = r(1 + r)ⁿ / ((1 + r)ⁿ − 1) = 0.0806 (7%, 30 years); energy ratio = SMR LCOE / renewables LCOE. - Inputs (Graham, Hayward and Foster, 2024, as reported): SMR A$306/MWh (230–382), firmed renewables A$107/MWh (89–125), 2030; Darlington C$20.9 bn (Government of Ontario, 2025) at A$1.119 per C$. - Energy ratio = 306 / 107 = </w:t>
      </w:r>
      <w:r>
        <w:rPr>
          <w:b/>
          <w:bCs/>
        </w:rPr>
        <w:t>2.9×</w:t>
      </w:r>
      <w:r>
        <w:rPr/>
        <w:t xml:space="preserve">; the same annual spend (A$0.72 bn) buys 6.8 TWh against 2.37 TWh. - Capital only: C$5.225 bn × 1.119 × 0.0806 = A$471 m a year ÷ 2,365,200 MWh = </w:t>
      </w:r>
      <w:r>
        <w:rPr>
          <w:b/>
          <w:bCs/>
        </w:rPr>
        <w:t>A$199/MWh</w:t>
      </w:r>
      <w:r>
        <w:rPr/>
        <w:t>, buying 1.9× the energy. - CO₂e avoided to 2050, renewables ÷ SMR, Liddell from 2040: 5.7× (frozen grid), 10.9× (slow transition), 26.0× (Step Change); range across cases tested 4.9–26.0×. - Ontario average grid: SMR wins (−0.4×), because the grid falls below the renewables’ assumed 30 g/kWh.</w:t>
      </w:r>
    </w:p>
    <w:p>
      <w:pPr>
        <w:pStyle w:val="Heading4"/>
        <w:rPr/>
      </w:pPr>
      <w:r>
        <w:rPr/>
        <w:t>B7 Multi-criteria analysis</w:t>
      </w:r>
    </w:p>
    <w:p>
      <w:pPr>
        <w:pStyle w:val="FirstParagraph"/>
        <w:rPr/>
      </w:pPr>
      <w:r>
        <w:rPr/>
        <w:t>Method (Dodgson et al., 2009): min–max normalisation s = (x − worst) / (best − worst); total T = 100 × Σ w_c s_c. Seven criteria: life-cycle CO₂e, CO₂e avoided per dollar, cost, first-power year, supply HHI, social licence, legal feasibility (last two judgement).</w:t>
      </w:r>
    </w:p>
    <w:p>
      <w:pPr>
        <w:pStyle w:val="BodyText"/>
        <w:rPr/>
      </w:pPr>
      <w:r>
        <w:rPr/>
        <w:t xml:space="preserve">Worked example (SMR, equal weights): 0.99998 + 0.0921 + 0.0001 + 0.4545 + 0.5298 + 0 + 0 = 2.0766; T = 100 × 2.0766 / 7 = </w:t>
      </w:r>
      <w:r>
        <w:rPr>
          <w:b/>
          <w:bCs/>
        </w:rPr>
        <w:t>29.7</w:t>
      </w:r>
      <w:r>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r>
    </w:tbl>
    <w:p>
      <w:pPr>
        <w:pStyle w:val="BodyText"/>
        <w:rPr/>
      </w:pPr>
      <w:r>
        <w:rPr/>
        <w:t>Robustness: ±50% weight tests change first place in 2 of 56 cases (both in W2); under 20,000 random weight sets renewables rank first in 85.4%. C1 changes the SMR’s life cycle from 4.200 to 4.1845 g/kWh (2,200 / 1.419 × 10¹¹ kWh = 0.0155 g/kWh), under 0.005 point of score.</w:t>
      </w:r>
    </w:p>
    <w:p>
      <w:pPr>
        <w:pStyle w:val="Heading4"/>
        <w:rPr/>
      </w:pPr>
      <w:r>
        <w:rPr/>
        <w:t>B8 Social licence and stakeholder working</w:t>
      </w:r>
    </w:p>
    <w:p>
      <w:pPr>
        <w:pStyle w:val="Compact"/>
        <w:numPr>
          <w:ilvl w:val="0"/>
          <w:numId w:val="37"/>
        </w:numPr>
        <w:rPr/>
      </w:pPr>
      <w:r>
        <w:rPr>
          <w:b/>
          <w:bCs/>
        </w:rPr>
        <w:t>Deaths avoided:</w:t>
      </w:r>
      <w:r>
        <w:rPr/>
        <w:t xml:space="preserve"> output 2.365 TWh a year × (death rate displaced − nuclear’s 0.03 per TWh; Ritchie, 2020; Markandya and Wilkinson, 2007). Black coal (24.62): 2.365 × 24.59 = </w:t>
      </w:r>
      <w:r>
        <w:rPr>
          <w:b/>
          <w:bCs/>
        </w:rPr>
        <w:t>58.2 a year</w:t>
      </w:r>
      <w:r>
        <w:rPr/>
        <w:t xml:space="preserve"> (upper bound); gas (2.82): </w:t>
      </w:r>
      <w:r>
        <w:rPr>
          <w:b/>
          <w:bCs/>
        </w:rPr>
        <w:t>6.6 a year</w:t>
      </w:r>
      <w:r>
        <w:rPr/>
        <w:t>.</w:t>
      </w:r>
    </w:p>
    <w:p>
      <w:pPr>
        <w:pStyle w:val="Compact"/>
        <w:numPr>
          <w:ilvl w:val="0"/>
          <w:numId w:val="38"/>
        </w:numPr>
        <w:rPr/>
      </w:pPr>
      <w:r>
        <w:rPr>
          <w:b/>
          <w:bCs/>
        </w:rPr>
        <w:t>Power-weighted stance</w:t>
      </w:r>
      <w:r>
        <w:rPr/>
        <w:t xml:space="preserve"> = Σ(power × stance) / Σ(power). Darlington: 46 / 43 = </w:t>
      </w:r>
      <w:r>
        <w:rPr>
          <w:b/>
          <w:bCs/>
        </w:rPr>
        <w:t>+1.07</w:t>
      </w:r>
      <w:r>
        <w:rPr/>
        <w:t xml:space="preserve">; Liddell: −37 / 36 = </w:t>
      </w:r>
      <w:r>
        <w:rPr>
          <w:b/>
          <w:bCs/>
        </w:rPr>
        <w:t>−1.03</w:t>
      </w:r>
      <w:r>
        <w:rPr/>
        <w:t xml:space="preserve"> (scores are judgement).</w:t>
      </w:r>
    </w:p>
    <w:p>
      <w:pPr>
        <w:pStyle w:val="Compact"/>
        <w:numPr>
          <w:ilvl w:val="0"/>
          <w:numId w:val="39"/>
        </w:numPr>
        <w:rPr/>
      </w:pPr>
      <w:r>
        <w:rPr>
          <w:b/>
          <w:bCs/>
        </w:rPr>
        <w:t>Siting routes</w:t>
      </w:r>
      <w:r>
        <w:rPr/>
        <w:t xml:space="preserve"> (scored 1–3 on five criteria, judgement): Commonwealth-led 7; volunteer host 11; with First Nations equity 11; no SMR (firmed renewables) 14 of 15.</w:t>
      </w:r>
    </w:p>
    <w:p>
      <w:pPr>
        <w:pStyle w:val="Compact"/>
        <w:numPr>
          <w:ilvl w:val="0"/>
          <w:numId w:val="40"/>
        </w:numPr>
        <w:rPr/>
      </w:pPr>
      <w:r>
        <w:rPr>
          <w:b/>
          <w:bCs/>
        </w:rPr>
        <w:t>Financing</w:t>
      </w:r>
      <w:r>
        <w:rPr/>
        <w:t xml:space="preserve"> of C$20.9 bn (Government of Ontario, 2025): Canada Growth Fund 2.00 (9.6%), Building Ontario Fund 1.00 (4.8%), Canada Infrastructure Bank 0.97 (4.6%), Williams Treaties First Nations 0.70 (3.3%); remainder 16.23 (77.7%) from OPG’s balance sheet, a subtraction rather than a reported figure.</w:t>
      </w:r>
    </w:p>
    <w:p>
      <w:pPr>
        <w:pStyle w:val="Heading2"/>
        <w:rPr/>
      </w:pPr>
      <w:r>
        <w:rPr/>
        <w:t>Appendix C. Sensitivity analysis</w:t>
      </w:r>
    </w:p>
    <w:p>
      <w:pPr>
        <w:pStyle w:val="Heading4"/>
        <w:rPr/>
      </w:pPr>
      <w:r>
        <w:rPr/>
        <w:t>C1 Set-up</w:t>
      </w:r>
    </w:p>
    <w:p>
      <w:pPr>
        <w:pStyle w:val="Compact"/>
        <w:numPr>
          <w:ilvl w:val="0"/>
          <w:numId w:val="41"/>
        </w:numPr>
        <w:rPr/>
      </w:pPr>
      <w:r>
        <w:rPr>
          <w:b/>
          <w:bCs/>
        </w:rPr>
        <w:t>Tornado:</w:t>
      </w:r>
      <w:r>
        <w:rPr/>
        <w:t xml:space="preserve"> each of 45 ranged inputs set to its low and high value, others at central. Ranges are in </w:t>
      </w:r>
      <w:r>
        <w:rPr>
          <w:rStyle w:val="VerbatimChar"/>
        </w:rPr>
        <w:t>parameters_lca.yaml</w:t>
      </w:r>
      <w:r>
        <w:rPr/>
        <w:t>.</w:t>
      </w:r>
    </w:p>
    <w:p>
      <w:pPr>
        <w:pStyle w:val="Compact"/>
        <w:numPr>
          <w:ilvl w:val="0"/>
          <w:numId w:val="42"/>
        </w:numPr>
        <w:rPr/>
      </w:pPr>
      <w:r>
        <w:rPr>
          <w:b/>
          <w:bCs/>
        </w:rPr>
        <w:t>Monte Carlo:</w:t>
      </w:r>
      <w:r>
        <w:rPr/>
        <w:t xml:space="preserve"> 20,000 draws, seed 20261021, inputs independent and triangular (net output uniform 300–315 MWe). Twenty-nine inputs affect the main case.</w:t>
      </w:r>
    </w:p>
    <w:p>
      <w:pPr>
        <w:pStyle w:val="Compact"/>
        <w:numPr>
          <w:ilvl w:val="0"/>
          <w:numId w:val="43"/>
        </w:numPr>
        <w:rPr/>
      </w:pPr>
      <w:r>
        <w:rPr/>
        <w:t xml:space="preserve">Reproduce: </w:t>
      </w:r>
      <w:r>
        <w:rPr>
          <w:rStyle w:val="VerbatimChar"/>
        </w:rPr>
        <w:t>python3 -I 03_LCA_Calculations/scripts/lca_uncertainty.py</w:t>
      </w:r>
      <w:r>
        <w:rPr/>
        <w:t>.</w:t>
      </w:r>
    </w:p>
    <w:p>
      <w:pPr>
        <w:pStyle w:val="Heading4"/>
        <w:rPr/>
      </w:pPr>
      <w:r>
        <w:rPr/>
        <w:t>C2 Ranged inputs and tornado results</w:t>
      </w:r>
    </w:p>
    <w:p>
      <w:pPr>
        <w:pStyle w:val="FirstParagraph"/>
        <w:rPr/>
      </w:pPr>
      <w:r>
        <w:rPr/>
        <w:t>Swing in life-cycle intensity (g CO₂e/kWh), ranked (Parker, McNaughton and Sparrow, 2016; Gibon and Hahn Menacho, 2023; EDF R&amp;D, 2024):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(low / central / high)</w:t>
            </w:r>
          </w:p>
        </w:tc>
        <w:tc>
          <w:tcPr>
            <w:tcW w:w="395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Swing</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(26 / 26 / 665 kWh/kg U)</w:t>
            </w:r>
          </w:p>
        </w:tc>
        <w:tc>
          <w:tcPr>
            <w:tcW w:w="395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2.669</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(24 / 42 / 81 kg CO₂e/kg U₃O₈)</w:t>
            </w:r>
          </w:p>
        </w:tc>
        <w:tc>
          <w:tcPr>
            <w:tcW w:w="395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1.390</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(0.28 / 0.56 / 1.11 g/kWh)</w:t>
            </w:r>
          </w:p>
        </w:tc>
        <w:tc>
          <w:tcPr>
            <w:tcW w:w="395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0.830</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(35 / 45 / 55 GWd/t)</w:t>
            </w:r>
          </w:p>
        </w:tc>
        <w:tc>
          <w:tcPr>
            <w:tcW w:w="395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0.682</w:t>
            </w:r>
          </w:p>
        </w:tc>
      </w:tr>
      <w:tr>
        <w:trPr/>
        <w:tc>
          <w:tcPr>
            <w:tcW w:w="396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(3.4 / 3.8 / 4.95%)</w:t>
            </w:r>
          </w:p>
        </w:tc>
        <w:tc>
          <w:tcPr>
            <w:tcW w:w="395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0.663</w:t>
            </w:r>
          </w:p>
        </w:tc>
      </w:tr>
    </w:tbl>
    <w:p>
      <w:pPr>
        <w:pStyle w:val="BodyText"/>
        <w:rPr/>
      </w:pPr>
      <w:r>
        <w:rPr/>
        <w:t>Plant steel moves the total by 0.105 and plant concrete by 0.057. C1’s saving (2,200 t) moves with eligible share (1,100–3,300 t), LC³ cut (1,672–2,964 t), plant concrete (1,760–2,640 t) and OPC factor (1,911–2,432 t).</w:t>
      </w:r>
    </w:p>
    <w:p>
      <w:pPr>
        <w:pStyle w:val="Heading4"/>
        <w:rPr/>
      </w:pPr>
      <w:r>
        <w:rPr/>
        <w:t>C3 What the tornado shows</w:t>
      </w:r>
    </w:p>
    <w:p>
      <w:pPr>
        <w:pStyle w:val="FirstParagraph"/>
        <w:rPr/>
      </w:pPr>
      <w:r>
        <w:rPr/>
        <w:t>Fuel-cycle inputs dominate; construction inputs are minor. Expected stage means (Monte Carlo) total 4.487 g/kWh: mining 1.261, conversion 1.105, back end 0.651, O&amp;M 0.390, enrichment 0.355, construction 0.515.</w:t>
      </w:r>
    </w:p>
    <w:p>
      <w:pPr>
        <w:pStyle w:val="Heading4"/>
        <w:rPr/>
      </w:pPr>
      <w:r>
        <w:rPr/>
        <w:t>C4 Monte Carlo results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(g/kWh)</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per unit (t)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bl>
    <w:p>
      <w:pPr>
        <w:pStyle w:val="BodyText"/>
        <w:rPr/>
      </w:pPr>
      <w:r>
        <w:rPr/>
        <w:t>LC³ beats slag in 55% of draws.</w:t>
      </w:r>
    </w:p>
    <w:p>
      <w:pPr>
        <w:pStyle w:val="Heading4"/>
        <w:rPr/>
      </w:pPr>
      <w:r>
        <w:rPr/>
        <w:t>C5 Why the median (4.40) sits above the mode case (2.86)</w:t>
      </w:r>
    </w:p>
    <w:p>
      <w:pPr>
        <w:pStyle w:val="FirstParagraph"/>
        <w:rPr/>
      </w:pPr>
      <w:r>
        <w:rPr/>
        <w:t xml:space="preserve">Skewed upper tails, mainly conversion heat: triangular mean (26 + 26 + 665) / 3 ≈ 239 kWh/kg U, nine times the mode, adds +0.98 of the +1.62 g/kWh gap. With conversion heat fixed at 26 the median is 3.51; log-uniform 26–665 gives 4.11. The reported range of medians is </w:t>
      </w:r>
      <w:r>
        <w:rPr>
          <w:b/>
          <w:bCs/>
        </w:rPr>
        <w:t>3.51–4.40 g CO₂e/kWh</w:t>
      </w:r>
      <w:r>
        <w:rPr/>
        <w:t>.</w:t>
      </w:r>
    </w:p>
    <w:p>
      <w:pPr>
        <w:pStyle w:val="Heading4"/>
        <w:rPr/>
      </w:pPr>
      <w:r>
        <w:rPr/>
        <w:t>C6 Limitations</w:t>
      </w:r>
    </w:p>
    <w:p>
      <w:pPr>
        <w:pStyle w:val="FirstParagraph"/>
        <w:rPr/>
      </w:pPr>
      <w:r>
        <w:rPr/>
        <w:t>Inputs are drawn independently; some ranges (±20%, eligible share, LC³ cut, EDF transfer ranges) are assumptions; triangular shapes are conventions; the Ostrołęka and Pillai tables were not opened; model boundary and cut-offs are not sampled.</w:t>
      </w:r>
    </w:p>
    <w:p>
      <w:pPr>
        <w:pStyle w:val="Heading4"/>
        <w:rPr/>
      </w:pPr>
      <w:r>
        <w:rPr/>
        <w:t>C7 Benchmarks</w:t>
      </w:r>
    </w:p>
    <w:p>
      <w:pPr>
        <w:pStyle w:val="FirstParagraph"/>
        <w:rPr/>
      </w:pPr>
      <w:r>
        <w:rPr/>
        <w:t>Our median 4.40 (3.24–6.05) g/kWh against UNECE (2021) 5.1–6.4, EDF R&amp;D (2024) 3.7 (2.9–4.6), Gibon and Hahn Menacho (2023) 6.1, Warner and Heath (2012) median 12, and coal 751–1,095 g/kWh. Differences arise mainly from high-grade ore, centrifuge enrichment and fuel-inventory cut-offs.</w:t>
      </w:r>
    </w:p>
    <w:p>
      <w:pPr>
        <w:pStyle w:val="Heading2"/>
        <w:rPr/>
      </w:pPr>
      <w:r>
        <w:rPr/>
        <w:t>Appendix E. Search log</w:t>
      </w:r>
    </w:p>
    <w:p>
      <w:pPr>
        <w:pStyle w:val="Heading4"/>
        <w:rPr/>
      </w:pPr>
      <w:r>
        <w:rPr/>
        <w:t>E1 Method and access</w:t>
      </w:r>
    </w:p>
    <w:p>
      <w:pPr>
        <w:pStyle w:val="FirstParagraph"/>
        <w:rPr/>
      </w:pPr>
      <w:r>
        <w:rPr/>
        <w:t>Searches on 25 October 2026 covered (i) BWRX-300 passive safety and civil design, (ii) steel-plate composite (DP-SC) modules and (iii) limestone calcined clay cement (LC³). Google Patents, Espacenet, Lens, USPTO and Google Scholar could not be reached, so each string was run through a general web search (9–10 links each) and patents were identified from search summaries. Patent pages were not opened; details are indicative only.</w:t>
      </w:r>
    </w:p>
    <w:p>
      <w:pPr>
        <w:pStyle w:val="Heading4"/>
        <w:rPr/>
      </w:pPr>
      <w:r>
        <w:rPr/>
        <w:t>E2 Search strings and results</w:t>
      </w:r>
    </w:p>
    <w:p>
      <w:pPr>
        <w:pStyle w:val="FirstParagraph"/>
        <w:rPr/>
      </w:pPr>
      <w:r>
        <w:rPr/>
        <w:t xml:space="preserve">Twelve strings were run (area (i): 5; (ii): 3; (iii): 4), for example “GE-Hitachi patent isolation condenser small modular boiling water reactor”, “patent steel-plate composite modular wall nuclear” and “patent limestone calcined clay cement LC3”. Area (i) found isolation-condenser and underground-shaft families; area (ii) found </w:t>
      </w:r>
      <w:r>
        <w:rPr>
          <w:b/>
          <w:bCs/>
        </w:rPr>
        <w:t>no</w:t>
      </w:r>
      <w:r>
        <w:rPr/>
        <w:t xml:space="preserve"> DP-SC patent (gap: search “diaphragm plate”, GE-Hitachi, when the host is reachable); area (iii) found clay-processing and admixture patents.</w:t>
      </w:r>
    </w:p>
    <w:p>
      <w:pPr>
        <w:pStyle w:val="Heading4"/>
        <w:rPr/>
      </w:pPr>
      <w:r>
        <w:rPr/>
        <w:t>E3 Patents kept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(passive cooling)</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Condenser pool make-up</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Calcined-clay clinker substitute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low-temperature clay</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composition</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workability</w:t>
            </w:r>
          </w:p>
        </w:tc>
      </w:tr>
    </w:tbl>
    <w:p>
      <w:pPr>
        <w:pStyle w:val="BodyText"/>
        <w:rPr/>
      </w:pPr>
      <w:r>
        <w:rPr/>
        <w:t>LC³ itself appears in no core composition patent in these results; patenting is around clay processing and workability admixtures. No freedom-to-operate search was done.</w:t>
      </w:r>
    </w:p>
    <w:p>
      <w:pPr>
        <w:pStyle w:val="Heading4"/>
        <w:rPr/>
      </w:pPr>
      <w:r>
        <w:rPr/>
        <w:t>E4 Literature searches</w:t>
      </w:r>
    </w:p>
    <w:p>
      <w:pPr>
        <w:pStyle w:val="FirstParagraph"/>
        <w:spacing w:before="180" w:after="180"/>
        <w:rPr/>
      </w:pPr>
      <w:r>
        <w:rPr/>
        <w:t>Eleven web-search substitutes for Google Scholar (L1–L11) covered radiation in concrete, activated-concrete clearance, LC³ chloride, rheology and heat of hydration (no LC³-specific study found), steel residuals, reactor-vessel embrittlement, steel-route intensity, waste forms and projects. Sources kept are in the reference list.</w:t>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52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62">
          <wp:simplePos x="0" y="0"/>
          <wp:positionH relativeFrom="margin">
            <wp:posOffset>4845050</wp:posOffset>
          </wp:positionH>
          <wp:positionV relativeFrom="margin">
            <wp:posOffset>-457200</wp:posOffset>
          </wp:positionV>
          <wp:extent cx="887730" cy="318135"/>
          <wp:effectExtent l="0" t="0" r="0" b="0"/>
          <wp:wrapNone/>
          <wp:docPr id="37"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114">
          <wp:simplePos x="0" y="0"/>
          <wp:positionH relativeFrom="page">
            <wp:posOffset>752475</wp:posOffset>
          </wp:positionH>
          <wp:positionV relativeFrom="page">
            <wp:posOffset>314325</wp:posOffset>
          </wp:positionV>
          <wp:extent cx="1401445" cy="595630"/>
          <wp:effectExtent l="0" t="0" r="0" b="0"/>
          <wp:wrapNone/>
          <wp:docPr id="38"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9">
          <wp:simplePos x="0" y="0"/>
          <wp:positionH relativeFrom="page">
            <wp:posOffset>752475</wp:posOffset>
          </wp:positionH>
          <wp:positionV relativeFrom="page">
            <wp:posOffset>9858375</wp:posOffset>
          </wp:positionV>
          <wp:extent cx="1401445" cy="595630"/>
          <wp:effectExtent l="0" t="0" r="0" b="0"/>
          <wp:wrapNone/>
          <wp:docPr id="3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0"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0">
          <wp:simplePos x="0" y="0"/>
          <wp:positionH relativeFrom="margin">
            <wp:posOffset>4845050</wp:posOffset>
          </wp:positionH>
          <wp:positionV relativeFrom="margin">
            <wp:posOffset>9086850</wp:posOffset>
          </wp:positionV>
          <wp:extent cx="887730" cy="318135"/>
          <wp:effectExtent l="0" t="0" r="0" b="0"/>
          <wp:wrapSquare wrapText="bothSides"/>
          <wp:docPr id="4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9"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
  </w:num>
  <w:num w:numId="14">
    <w:abstractNumId w:val="1"/>
  </w:num>
  <w:num w:numId="15">
    <w:abstractNumId w:val="1"/>
  </w:num>
  <w:num w:numId="16">
    <w:abstractNumId w:val="4"/>
    <w:lvlOverride w:ilvl="0">
      <w:startOverride w:val="1"/>
    </w:lvlOverride>
  </w:num>
  <w:num w:numId="17">
    <w:abstractNumId w:val="4"/>
    <w:lvlOverride w:ilvl="0">
      <w:startOverride w:val="1"/>
    </w:lvlOverride>
  </w:num>
  <w:num w:numId="18">
    <w:abstractNumId w:val="4"/>
  </w:num>
  <w:num w:numId="19">
    <w:abstractNumId w:val="4"/>
  </w:num>
  <w:num w:numId="20">
    <w:abstractNumId w:val="4"/>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TeamNote1" w:customStyle="1">
    <w:name w:val="TeamNote"/>
    <w:basedOn w:val="BodyTextChar"/>
    <w:qFormat/>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OC1">
    <w:name w:val="TOC 1"/>
    <w:basedOn w:val="normal1"/>
    <w:next w:val="normal1"/>
    <w:uiPriority w:val="39"/>
    <w:unhideWhenUsed/>
    <w:pPr>
      <w:tabs>
        <w:tab w:val="clear" w:pos="720"/>
        <w:tab w:val="right" w:pos="9026" w:leader="dot"/>
      </w:tabs>
      <w:spacing w:lineRule="auto" w:line="240" w:before="60" w:after="60"/>
      <w:ind w:left="0"/>
    </w:pPr>
    <w:rPr>
      <w:rFonts w:ascii="Arial" w:hAnsi="Arial" w:cs="Arial"/>
      <w:b/>
      <w:bCs/>
      <w:sz w:val="22"/>
      <w:szCs w:val="22"/>
    </w:rPr>
  </w:style>
  <w:style w:type="paragraph" w:styleId="TOC2">
    <w:name w:val="TOC 2"/>
    <w:basedOn w:val="normal1"/>
    <w:next w:val="normal1"/>
    <w:uiPriority w:val="39"/>
    <w:unhideWhenUsed/>
    <w:pPr>
      <w:tabs>
        <w:tab w:val="clear" w:pos="720"/>
        <w:tab w:val="right" w:pos="9026" w:leader="dot"/>
      </w:tabs>
      <w:spacing w:lineRule="auto" w:line="240" w:before="60" w:after="60"/>
      <w:ind w:left="720"/>
    </w:pPr>
    <w:rPr>
      <w:rFonts w:ascii="Arial" w:hAnsi="Arial" w:cs="Arial"/>
      <w:sz w:val="22"/>
      <w:szCs w:val="22"/>
    </w:rPr>
  </w:style>
  <w:style w:type="paragraph" w:styleId="TOC3">
    <w:name w:val="TOC 3"/>
    <w:basedOn w:val="normal1"/>
    <w:next w:val="normal1"/>
    <w:uiPriority w:val="39"/>
    <w:unhideWhenUsed/>
    <w:pPr>
      <w:tabs>
        <w:tab w:val="clear" w:pos="720"/>
        <w:tab w:val="right" w:pos="9026" w:leader="dot"/>
      </w:tabs>
      <w:spacing w:lineRule="auto" w:line="240" w:before="60" w:after="60"/>
      <w:ind w:left="1440"/>
    </w:pPr>
    <w:rPr>
      <w:rFonts w:ascii="Arial" w:hAnsi="Arial" w:cs="Arial"/>
      <w:sz w:val="22"/>
      <w:szCs w:val="22"/>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595959" w:sz="8" w:space="0"/>
        <w:bottom w:val="single" w:color="595959" w:sz="8" w:space="0"/>
        <w:insideH w:val="single" w:color="D0D7DE" w:sz="4"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
</Relationships>
</file>

<file path=word/_rels/header3.xml.rels><?xml version="1.0" encoding="UTF-8"?>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53</Pages>
  <Words>15342</Words>
  <Characters>90061</Characters>
  <CharactersWithSpaces>103980</CharactersWithSpaces>
  <Paragraphs>992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2026-10-25T12:24:26Z</dcterms:created>
  <dc:creator/>
  <dc:description/>
  <dc:language>en-US</dc:language>
  <cp:lastModifiedBy/>
  <dcterms:modified xsi:type="dcterms:W3CDTF">2026-10-25T12:24:30Z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