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9.png" ContentType="image/png"/>
  <Override PartName="/word/media/rId33.png" ContentType="image/png"/>
  <Override PartName="/word/media/rId38.png" ContentType="image/png"/>
  <Override PartName="/word/media/rId41.png" ContentType="image/png"/>
  <Override PartName="/word/media/rId45.png" ContentType="image/png"/>
  <Override PartName="/word/media/rId51.png" ContentType="image/png"/>
  <Override PartName="/word/media/rId55.png" ContentType="image/png"/>
  <Override PartName="/word/media/rId64.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where</w:t>
      </w:r>
      <w:r>
        <w:t xml:space="preserve"> </w:t>
      </w:r>
      <w:r>
        <w:t xml:space="preserve">they</w:t>
      </w:r>
      <w:r>
        <w:t xml:space="preserve"> </w:t>
      </w:r>
      <w:r>
        <w:t xml:space="preserve">cut</w:t>
      </w:r>
      <w:r>
        <w:t xml:space="preserve"> </w:t>
      </w:r>
      <w:r>
        <w:t xml:space="preserve">the</w:t>
      </w:r>
      <w:r>
        <w:t xml:space="preserve"> </w:t>
      </w:r>
      <w:r>
        <w:t xml:space="preserve">most</w:t>
      </w:r>
      <w:r>
        <w:t xml:space="preserve"> </w:t>
      </w:r>
      <w:r>
        <w:t xml:space="preserve">carbon,</w:t>
      </w:r>
      <w:r>
        <w:t xml:space="preserve"> </w:t>
      </w:r>
      <w:r>
        <w:t xml:space="preserve">what</w:t>
      </w:r>
      <w:r>
        <w:t xml:space="preserve"> </w:t>
      </w:r>
      <w:r>
        <w:t xml:space="preserve">holds</w:t>
      </w:r>
      <w:r>
        <w:t xml:space="preserve"> </w:t>
      </w:r>
      <w:r>
        <w:t xml:space="preserve">them</w:t>
      </w:r>
      <w:r>
        <w:t xml:space="preserve"> </w:t>
      </w:r>
      <w:r>
        <w:t xml:space="preserve">back,</w:t>
      </w:r>
      <w:r>
        <w:t xml:space="preserve"> </w:t>
      </w:r>
      <w:r>
        <w:t xml:space="preserve">and</w:t>
      </w:r>
      <w:r>
        <w:t xml:space="preserve"> </w:t>
      </w:r>
      <w:r>
        <w:t xml:space="preserve">a</w:t>
      </w:r>
      <w:r>
        <w:t xml:space="preserve"> </w:t>
      </w:r>
      <w:r>
        <w:t xml:space="preserve">low-clinker</w:t>
      </w:r>
      <w:r>
        <w:t xml:space="preserve"> </w:t>
      </w:r>
      <w:r>
        <w:t xml:space="preserve">concrete</w:t>
      </w:r>
      <w:r>
        <w:t xml:space="preserve"> </w:t>
      </w:r>
      <w:r>
        <w:t xml:space="preserve">initiative</w:t>
      </w:r>
      <w:r>
        <w:t xml:space="preserve"> </w:t>
      </w:r>
      <w:r>
        <w:t xml:space="preserve">for</w:t>
      </w:r>
      <w:r>
        <w:t xml:space="preserve"> </w:t>
      </w:r>
      <w:r>
        <w:t xml:space="preserve">Darlington</w:t>
      </w:r>
    </w:p>
    <w:p>
      <w:pPr>
        <w:pStyle w:val="Subtitle"/>
      </w:pPr>
      <w:r>
        <w:t xml:space="preserve">MTE4593</w:t>
      </w:r>
      <w:r>
        <w:t xml:space="preserve"> </w:t>
      </w:r>
      <w:r>
        <w:t xml:space="preserve">Materials</w:t>
      </w:r>
      <w:r>
        <w:t xml:space="preserve"> </w:t>
      </w:r>
      <w:r>
        <w:t xml:space="preserve">and</w:t>
      </w:r>
      <w:r>
        <w:t xml:space="preserve"> </w:t>
      </w:r>
      <w:r>
        <w:t xml:space="preserve">Sustainability,</w:t>
      </w:r>
      <w:r>
        <w:t xml:space="preserve"> </w:t>
      </w:r>
      <w:r>
        <w:t xml:space="preserve">Assignment</w:t>
      </w:r>
      <w:r>
        <w:t xml:space="preserve"> </w:t>
      </w:r>
      <w:r>
        <w:t xml:space="preserve">2</w:t>
      </w:r>
      <w:r>
        <w:t xml:space="preserve"> </w:t>
      </w:r>
      <w:r>
        <w:t xml:space="preserve">(Group</w:t>
      </w:r>
      <w:r>
        <w:t xml:space="preserve"> </w:t>
      </w:r>
      <w:r>
        <w:t xml:space="preserve">9)</w:t>
      </w:r>
    </w:p>
    <w:p>
      <w:pPr>
        <w:pStyle w:val="Author"/>
      </w:pPr>
      <w:r>
        <w:t xml:space="preserve">Victor</w:t>
      </w:r>
      <w:r>
        <w:t xml:space="preserve"> </w:t>
      </w:r>
      <w:r>
        <w:t xml:space="preserve">Clarke</w:t>
      </w:r>
      <w:r>
        <w:t xml:space="preserve"> </w:t>
      </w:r>
      <w:r>
        <w:t xml:space="preserve">[TODO:</w:t>
      </w:r>
      <w:r>
        <w:t xml:space="preserve"> </w:t>
      </w:r>
      <w:r>
        <w:t xml:space="preserve">student</w:t>
      </w:r>
      <w:r>
        <w:t xml:space="preserve"> </w:t>
      </w:r>
      <w:r>
        <w:t xml:space="preserve">ID]</w:t>
      </w:r>
    </w:p>
    <w:p>
      <w:pPr>
        <w:pStyle w:val="Author"/>
      </w:pPr>
      <w:r>
        <w:t xml:space="preserve">Leroy</w:t>
      </w:r>
      <w:r>
        <w:t xml:space="preserve"> </w:t>
      </w:r>
      <w:r>
        <w:t xml:space="preserve">Louis</w:t>
      </w:r>
      <w:r>
        <w:t xml:space="preserve"> </w:t>
      </w:r>
      <w:r>
        <w:t xml:space="preserve">Jean</w:t>
      </w:r>
      <w:r>
        <w:t xml:space="preserve"> </w:t>
      </w:r>
      <w:r>
        <w:t xml:space="preserve">(33880212)</w:t>
      </w:r>
    </w:p>
    <w:p>
      <w:pPr>
        <w:pStyle w:val="Author"/>
      </w:pPr>
      <w:r>
        <w:t xml:space="preserve">Sam</w:t>
      </w:r>
      <w:r>
        <w:t xml:space="preserve"> </w:t>
      </w:r>
      <w:r>
        <w:t xml:space="preserve">[TODO:</w:t>
      </w:r>
      <w:r>
        <w:t xml:space="preserve"> </w:t>
      </w:r>
      <w:r>
        <w:t xml:space="preserve">surname]</w:t>
      </w:r>
      <w:r>
        <w:t xml:space="preserve"> </w:t>
      </w:r>
      <w:r>
        <w:t xml:space="preserve">[TODO:</w:t>
      </w:r>
      <w:r>
        <w:t xml:space="preserve"> </w:t>
      </w:r>
      <w:r>
        <w:t xml:space="preserve">student</w:t>
      </w:r>
      <w:r>
        <w:t xml:space="preserve"> </w:t>
      </w:r>
      <w:r>
        <w:t xml:space="preserve">ID]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 Granta EduPack Eco Audit cross-check was planned but not completed.</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7" w:name="the-technology-and-the-initiative"/>
    <w:p>
      <w:pPr>
        <w:pStyle w:val="Heading2"/>
      </w:pPr>
      <w:r>
        <w:t xml:space="preserve">4 The technology and the initiative</w:t>
      </w:r>
    </w:p>
    <w:bookmarkStart w:id="24" w:name="technology-projects-and-patents"/>
    <w:p>
      <w:pPr>
        <w:pStyle w:val="Heading3"/>
      </w:pPr>
      <w:r>
        <w:t xml:space="preserve">4.1 Technology, projects and patents</w:t>
      </w:r>
    </w:p>
    <w:p>
      <w:pPr>
        <w:pStyle w:val="FirstParagraph"/>
      </w:pPr>
      <w:r>
        <w:rPr>
          <w:bCs/>
          <w:b/>
        </w:rPr>
        <w:t xml:space="preserve">No light-water SMR is yet reported operating on land; the BWRX-300 is the Western design closest to doing so, and China’s ACP100 (Linglong One) was still in commissioning, with no criticality reported, in May 2026.</w:t>
      </w:r>
      <w:r>
        <w:t xml:space="preserve"> </w:t>
      </w:r>
      <w:r>
        <w:t xml:space="preserve">Table T2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T2.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rPr>
          <w:bCs/>
          <w:b/>
        </w:rPr>
        <w:t xml:space="preserve">Cost, not licensing, stopped NuScale.</w:t>
      </w:r>
      <w:r>
        <w:t xml:space="preserve"> </w:t>
      </w:r>
      <w:r>
        <w:t xml:space="preserve">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BodyText"/>
      </w:pPr>
      <w:r>
        <w:rPr>
          <w:bCs/>
          <w:b/>
        </w:rPr>
        <w:t xml:space="preserve">Patents.</w:t>
      </w:r>
      <w:r>
        <w:t xml:space="preserve"> </w:t>
      </w: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rPr>
          <w:bCs/>
          <w:b/>
        </w:rPr>
        <w:t xml:space="preserve">Australia’s earliest date is about 2040.</w:t>
      </w:r>
      <w:r>
        <w:t xml:space="preserve"> </w:t>
      </w:r>
      <w:r>
        <w:t xml:space="preserve">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(§8.1), assumed by 2029, and build a licensing regime, assumed to take three years: 2029 + 3 + 8 gives about 2040, matching first power at Liddell (§7).</w:t>
      </w:r>
    </w:p>
    <w:bookmarkEnd w:id="24"/>
    <w:bookmarkStart w:id="25" w:name="the-bwrx-300-at-darlington"/>
    <w:p>
      <w:pPr>
        <w:pStyle w:val="Heading3"/>
      </w:pPr>
      <w:r>
        <w:t xml:space="preserve">4.2 The BWRX-300 at Darlington</w:t>
      </w:r>
    </w:p>
    <w:p>
      <w:pPr>
        <w:pStyle w:val="FirstParagraph"/>
      </w:pPr>
      <w:r>
        <w:rPr>
          <w:bCs/>
          <w:b/>
        </w:rPr>
        <w:t xml:space="preserve">The BWRX-300’s composite building is what C1 targets.</w:t>
      </w:r>
      <w:r>
        <w:t xml:space="preserve"> </w:t>
      </w:r>
      <w:r>
        <w:t xml:space="preserve">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rPr>
          <w:bCs/>
          <w:b/>
        </w:rPr>
        <w:t xml:space="preserve">The vendor’s concrete claim is hard to reconcile with Ostrołęka.</w:t>
      </w:r>
      <w:r>
        <w:t xml:space="preserve"> </w:t>
      </w:r>
      <w:r>
        <w:t xml:space="preserve">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(§4.3).</w:t>
      </w:r>
    </w:p>
    <w:bookmarkEnd w:id="25"/>
    <w:bookmarkStart w:id="26" w:name="X90098c7b12d1bfce5617586e418e3203c93a876"/>
    <w:p>
      <w:pPr>
        <w:pStyle w:val="Heading3"/>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is set by schedule, not by the concrete: under three weeks of delay to a unit cancels its saving (§7.1), so C1 is a qualification programme timed to Unit 1 mock-ups rather than a binder swap. Third, its lever is financial: the Units 2–4 equity tranche can carry the condition (§8.6).</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6"/>
    <w:bookmarkEnd w:id="27"/>
    <w:bookmarkStart w:id="28" w:name="materials-from-extraction-to-end-of-life"/>
    <w:p>
      <w:pPr>
        <w:pStyle w:val="Heading2"/>
      </w:pPr>
      <w:r>
        <w:t xml:space="preserve">5 Materials from extraction to end-of-life</w:t>
      </w:r>
    </w:p>
    <w:p>
      <w:pPr>
        <w:pStyle w:val="FirstParagraph"/>
      </w:pPr>
      <w:r>
        <w:rPr>
          <w:bCs/>
          <w:b/>
        </w:rPr>
        <w:t xml:space="preserve">For C1, the binder’s carbon arises in the kiln, but its risks arise in the pour and at decommissioning.</w:t>
      </w:r>
      <w:r>
        <w:t xml:space="preserve"> </w:t>
      </w:r>
      <w:r>
        <w:t xml:space="preserve">Stages follow §6’s boundary; operation, decommissioning and waste use published per-kWh values (§6.1).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(§10)</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p>
      <w:pPr>
        <w:pStyle w:val="BodyText"/>
      </w:pPr>
      <w:r>
        <w:rPr>
          <w:bCs/>
          <w:b/>
        </w:rPr>
        <w:t xml:space="preserve">Steel.</w:t>
      </w:r>
      <w:r>
        <w:t xml:space="preserve"> </w:t>
      </w: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p>
      <w:pPr>
        <w:pStyle w:val="BodyText"/>
      </w:pPr>
      <w:r>
        <w:rPr>
          <w:bCs/>
          <w:b/>
        </w:rPr>
        <w:t xml:space="preserve">End of life.</w:t>
      </w:r>
      <w:r>
        <w:t xml:space="preserve"> </w:t>
      </w: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(§10).</w:t>
      </w:r>
    </w:p>
    <w:bookmarkEnd w:id="28"/>
    <w:bookmarkStart w:id="49" w:name="life-cycle-assessment-and-eco-audit"/>
    <w:p>
      <w:pPr>
        <w:pStyle w:val="Heading2"/>
      </w:pPr>
      <w:r>
        <w:t xml:space="preserve">6 Life-cycle assessment and eco-audit</w:t>
      </w:r>
    </w:p>
    <w:p>
      <w:pPr>
        <w:pStyle w:val="FirstParagraph"/>
      </w:pPr>
      <w:r>
        <w:t xml:space="preserve">One BWRX-300 at Darlington emits an estimated</w:t>
      </w:r>
      <w:r>
        <w:t xml:space="preserve"> </w:t>
      </w:r>
      <w:r>
        <w:rPr>
          <w:bCs/>
          <w:b/>
        </w:rPr>
        <w:t xml:space="preserve">4.4 g CO₂e per kWh (Monte Carlo median; 90% interval 3.2–6.1; 3.5 if conversion heat takes its central published value)</w:t>
      </w:r>
      <w:r>
        <w:t xml:space="preserve">, below UNECE’s 5.1–6.4 g/kWh for nuclear power. The fuel front end contributes 62% and construction 11.5%. The initiative, C1 (§4.3), puts limestone calcined clay cement (LC³) in 20–60% of the concrete. It saves</w:t>
      </w:r>
      <w:r>
        <w:t xml:space="preserve"> </w:t>
      </w:r>
      <w:r>
        <w:rPr>
          <w:bCs/>
          <w:b/>
        </w:rPr>
        <w:t xml:space="preserve">2,200 t CO₂e per unit (1,100–3,300 t), about 0.36% of the life cycle</w:t>
      </w:r>
      <w:r>
        <w:t xml:space="preserve">: real but small, so worth adopting only if schedule-neutral (§6.3).</w:t>
      </w:r>
    </w:p>
    <w:bookmarkStart w:id="32"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numPr>
          <w:ilvl w:val="0"/>
          <w:numId w:val="1001"/>
        </w:numPr>
        <w:pStyle w:val="Compact"/>
      </w:pPr>
      <w:r>
        <w:rPr>
          <w:bCs/>
          <w:b/>
        </w:rPr>
        <w:t xml:space="preserve">Functional unit:</w:t>
      </w:r>
      <w:r>
        <w:t xml:space="preserve"> </w:t>
      </w:r>
      <w:r>
        <w:t xml:space="preserve">1 MWh of net electricity at the grid connection (g CO₂e/kWh equals kg CO₂e/MWh); transmission is outside. One unit delivers 300 MWe × 8,760 h × 0.90 × 60 years =</w:t>
      </w:r>
      <w:r>
        <w:t xml:space="preserve"> </w:t>
      </w:r>
      <w:r>
        <w:rPr>
          <w:bCs/>
          <w:b/>
        </w:rPr>
        <w:t xml:space="preserve">1.419 × 10⁸ MWh</w:t>
      </w:r>
      <w:r>
        <w:t xml:space="preserve"> </w:t>
      </w:r>
      <w:r>
        <w:t xml:space="preserve">(Appendix A2).</w:t>
      </w:r>
    </w:p>
    <w:p>
      <w:pPr>
        <w:numPr>
          <w:ilvl w:val="0"/>
          <w:numId w:val="1001"/>
        </w:numPr>
        <w:pStyle w:val="Compact"/>
      </w:pPr>
      <w:r>
        <w:rPr>
          <w:bCs/>
          <w:b/>
        </w:rPr>
        <w:t xml:space="preserve">Boundary (Figure F1):</w:t>
      </w:r>
      <w:r>
        <w:t xml:space="preserve"> </w:t>
      </w:r>
      <w:r>
        <w:t xml:space="preserve">cradle to grave. Construction materials and the fuel front end (mining and milling, conversion, enrichment, fabrication) are modelled from published factors; operation and maintenance (O&amp;M), decommissioning and the back end are per-kWh values from EDF’s French-fleet study (EDF R&amp;D, 2024).</w:t>
      </w:r>
    </w:p>
    <w:p>
      <w:pPr>
        <w:numPr>
          <w:ilvl w:val="0"/>
          <w:numId w:val="1001"/>
        </w:numPr>
        <w:pStyle w:val="Compact"/>
      </w:pPr>
      <w:r>
        <w:rPr>
          <w:bCs/>
          <w:b/>
        </w:rPr>
        <w:t xml:space="preserve">Baseline (S0):</w:t>
      </w:r>
      <w:r>
        <w:t xml:space="preserve"> </w:t>
      </w:r>
      <w:r>
        <w:t xml:space="preserve">the concrete OPG would pour anyway, at 380 kg CO₂e/m³ (Pillai et al., 2019, as reported; Indian M50 mixes). We have not seen OPG’s mix or any cement-type limit in the specification (GE-Hitachi Nuclear Energy, 2024).</w:t>
      </w:r>
    </w:p>
    <w:p>
      <w:pPr>
        <w:numPr>
          <w:ilvl w:val="0"/>
          <w:numId w:val="1001"/>
        </w:numPr>
        <w:pStyle w:val="Compact"/>
      </w:pPr>
      <w:r>
        <w:rPr>
          <w:bCs/>
          <w:b/>
        </w:rPr>
        <w:t xml:space="preserve">Cut-offs:</w:t>
      </w:r>
      <w:r>
        <w:t xml:space="preserve"> </w:t>
      </w:r>
      <w:r>
        <w:t xml:space="preserve">fuel cladding and hardware, conversion chemicals, upstream gas, fuel-plant capital goods and recycling credits; each biases the result low (§6.5). Impact category: climate change, GWP100.</w:t>
      </w:r>
    </w:p>
    <w:p>
      <w:pPr>
        <w:pStyle w:val="FirstParagraph"/>
      </w:pPr>
      <w:r>
        <w:rPr>
          <w:bCs/>
          <w:b/>
        </w:rPr>
        <w:t xml:space="preserve">Method and inventory.</w:t>
      </w:r>
      <w:r>
        <w:t xml:space="preserve"> </w:t>
      </w:r>
      <w:r>
        <w:t xml:space="preserve">A reproducible Python model multiplies quantities by published emission factors (Appendices A and C). Plant quantities come from the Ostrołęka project information sheet (BWRX-300 Ostrołęka sp. z o.o., 2023, as reported in the project information sheet):</w:t>
      </w:r>
      <w:r>
        <w:t xml:space="preserve"> </w:t>
      </w:r>
      <w:r>
        <w:rPr>
          <w:bCs/>
          <w:b/>
        </w:rPr>
        <w:t xml:space="preserve">50,000 m³ of concrete and 14,000 t of steel per unit</w:t>
      </w:r>
      <w:r>
        <w:t xml:space="preserve">.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w:t>
      </w:r>
      <w:r>
        <w:t xml:space="preserve"> </w:t>
      </w:r>
      <w:r>
        <w:rPr>
          <w:bCs/>
          <w:b/>
        </w:rPr>
        <w:t xml:space="preserve">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30" name="Picture"/>
            <a:graphic>
              <a:graphicData uri="http://schemas.openxmlformats.org/drawingml/2006/picture">
                <pic:pic>
                  <pic:nvPicPr>
                    <pic:cNvPr descr="/home/user/MTE4593-Group-Assignment/03_LCA_Calculations/results/F1_system_boundary.png" id="31" name="Picture"/>
                    <pic:cNvPicPr>
                      <a:picLocks noChangeArrowheads="1" noChangeAspect="1"/>
                    </pic:cNvPicPr>
                  </pic:nvPicPr>
                  <pic:blipFill>
                    <a:blip r:embed="rId29"/>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32"/>
    <w:bookmarkStart w:id="36" w:name="baseline-and-hotspots"/>
    <w:p>
      <w:pPr>
        <w:pStyle w:val="Heading3"/>
      </w:pPr>
      <w:r>
        <w:t xml:space="preserve">6.2 Baseline and hotspots</w:t>
      </w:r>
    </w:p>
    <w:p>
      <w:pPr>
        <w:pStyle w:val="FirstParagraph"/>
      </w:pPr>
      <w:r>
        <w:rPr>
          <w:bCs/>
          <w:b/>
        </w:rPr>
        <w:t xml:space="preserve">One unit emits 4.40 g/kWh (median; 90% interval 3.24–6.05).</w:t>
      </w:r>
      <w:r>
        <w:t xml:space="preserve"> </w:t>
      </w:r>
      <w:r>
        <w:t xml:space="preserve">With every input at its most likely value (the</w:t>
      </w:r>
      <w:r>
        <w:t xml:space="preserve"> </w:t>
      </w:r>
      <w:r>
        <w:t xml:space="preserve">“</w:t>
      </w:r>
      <w:r>
        <w:t xml:space="preserve">mode case</w:t>
      </w:r>
      <w:r>
        <w:t xml:space="preserve">”</w:t>
      </w:r>
      <w:r>
        <w:t xml:space="preserve">) it is 2.86; §6.4 explains the gap. On the expected basis (Figure F2):</w:t>
      </w:r>
    </w:p>
    <w:p>
      <w:pPr>
        <w:numPr>
          <w:ilvl w:val="0"/>
          <w:numId w:val="1002"/>
        </w:numPr>
        <w:pStyle w:val="Compact"/>
      </w:pPr>
      <w:r>
        <w:rPr>
          <w:bCs/>
          <w:b/>
        </w:rPr>
        <w:t xml:space="preserve">Mining and milling: 1.26 g/kWh (28%),</w:t>
      </w:r>
      <w:r>
        <w:t xml:space="preserve"> </w:t>
      </w:r>
      <w:r>
        <w:t xml:space="preserve">low because Saskatchewan ores are high-grade (Parker, McNaughton and Sparrow, 2016).</w:t>
      </w:r>
    </w:p>
    <w:p>
      <w:pPr>
        <w:numPr>
          <w:ilvl w:val="0"/>
          <w:numId w:val="1002"/>
        </w:numPr>
        <w:pStyle w:val="Compact"/>
      </w:pPr>
      <w:r>
        <w:rPr>
          <w:bCs/>
          <w:b/>
        </w:rPr>
        <w:t xml:space="preserve">Conversion: 1.10 g/kWh (25%),</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w:t>
      </w:r>
    </w:p>
    <w:p>
      <w:pPr>
        <w:numPr>
          <w:ilvl w:val="0"/>
          <w:numId w:val="1002"/>
        </w:numPr>
        <w:pStyle w:val="Compact"/>
      </w:pPr>
      <w:r>
        <w:rPr>
          <w:bCs/>
          <w:b/>
        </w:rPr>
        <w:t xml:space="preserve">Back end: 0.65 g/kWh (15%),</w:t>
      </w:r>
      <w:r>
        <w:t xml:space="preserve"> </w:t>
      </w:r>
      <w:r>
        <w:t xml:space="preserve">transferred from France, which reprocesses; Canada plans direct disposal (Nuclear Waste Management Organization, 2024a), so this may be high.</w:t>
      </w:r>
    </w:p>
    <w:p>
      <w:pPr>
        <w:pStyle w:val="FirstParagraph"/>
      </w:pPr>
      <w:r>
        <w:t xml:space="preserve">The back end and decommissioning add 18%, O&amp;M 9% and</w:t>
      </w:r>
      <w:r>
        <w:t xml:space="preserve"> </w:t>
      </w:r>
      <w:r>
        <w:rPr>
          <w:bCs/>
          <w:b/>
        </w:rPr>
        <w:t xml:space="preserve">construction 11.5%</w:t>
      </w:r>
      <w:r>
        <w:t xml:space="preserve"> </w:t>
      </w:r>
      <w:r>
        <w:t xml:space="preserve">(0.52 g/kWh; 7.2–17.8% across draws). The C1-eligible concrete is only 1.9% of the mode-case total, so</w:t>
      </w:r>
      <w:r>
        <w:t xml:space="preserve"> </w:t>
      </w:r>
      <w:r>
        <w:rPr>
          <w:bCs/>
          <w:b/>
        </w:rPr>
        <w:t xml:space="preserve">C1 acts on about one-fiftieth of the footprint</w:t>
      </w:r>
      <w:r>
        <w:t xml:space="preserve">.</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34" name="Picture"/>
            <a:graphic>
              <a:graphicData uri="http://schemas.openxmlformats.org/drawingml/2006/picture">
                <pic:pic>
                  <pic:nvPicPr>
                    <pic:cNvPr descr="/home/user/MTE4593-Group-Assignment/03_LCA_Calculations/results/F2_stage_breakdown.png" id="35" name="Picture"/>
                    <pic:cNvPicPr>
                      <a:picLocks noChangeArrowheads="1" noChangeAspect="1"/>
                    </pic:cNvPicPr>
                  </pic:nvPicPr>
                  <pic:blipFill>
                    <a:blip r:embed="rId33"/>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36"/>
    <w:bookmarkStart w:id="37" w:name="the-initiative-against-the-baseline"/>
    <w:p>
      <w:pPr>
        <w:pStyle w:val="Heading3"/>
      </w:pPr>
      <w:r>
        <w:t xml:space="preserve">6.3 The initiative against the baseline</w:t>
      </w:r>
    </w:p>
    <w:p>
      <w:pPr>
        <w:pStyle w:val="FirstParagraph"/>
      </w:pPr>
      <w:r>
        <w:rPr>
          <w:bCs/>
          <w:b/>
        </w:rPr>
        <w:t xml:space="preserve">C1 is low-clinker concrete: LC³ on eligible non-safety works first and on the steel-composite infill only if qualified, a slag blend as the fallback, specified only if schedule-neutral (§4.3).</w:t>
      </w:r>
      <w:r>
        <w:t xml:space="preserve"> </w:t>
      </w:r>
      <w:r>
        <w:t xml:space="preserve">Pillai et al. (2019, as reported) give 380 kg CO₂e/m³ for ordinary concrete and 270 for LC³, a cut of 110 kg/m³ (28.9%). The eligible share is our scenario, not data, and drives the result. At 20, 40 and 60% of 50,000 m³, C1 saves</w:t>
      </w:r>
      <w:r>
        <w:t xml:space="preserve"> </w:t>
      </w:r>
      <w:r>
        <w:rPr>
          <w:bCs/>
          <w:b/>
        </w:rPr>
        <w:t xml:space="preserve">1,100, 2,200 and 3,300 t per unit, or 0.18, 0.36 and 0.54% of its life cycle</w:t>
      </w:r>
      <w:r>
        <w:t xml:space="preserve"> </w:t>
      </w:r>
      <w:r>
        <w:t xml:space="preserve">(Table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Four findings follow, each with a consequence for the initiative.</w:t>
      </w:r>
      <w:r>
        <w:t xml:space="preserve"> </w:t>
      </w:r>
      <w:r>
        <w:t xml:space="preserve">1.</w:t>
      </w:r>
      <w:r>
        <w:t xml:space="preserve"> </w:t>
      </w:r>
      <w:r>
        <w:rPr>
          <w:bCs/>
          <w:b/>
        </w:rPr>
        <w:t xml:space="preserve">The saving is small at plant scale.</w:t>
      </w:r>
      <w:r>
        <w:t xml:space="preserve"> </w:t>
      </w:r>
      <w:r>
        <w:t xml:space="preserve">It is about 0.016 g/kWh, so C1 does not change the plant’s climate case. It still exceeds the swing from the LC³ cut (1,672–2,964 t), the largest input other than eligibility. Its economic value is in §8.2.</w:t>
      </w:r>
      <w:r>
        <w:t xml:space="preserve"> </w:t>
      </w:r>
      <w:r>
        <w:t xml:space="preserve">2.</w:t>
      </w:r>
      <w:r>
        <w:t xml:space="preserve"> </w:t>
      </w:r>
      <w:r>
        <w:rPr>
          <w:bCs/>
          <w:b/>
        </w:rPr>
        <w:t xml:space="preserve">Slag is about as good as LC³, so the carbon case is for low-clinker concrete, not LC³ in particular.</w:t>
      </w:r>
      <w:r>
        <w:t xml:space="preserve"> </w:t>
      </w:r>
      <w:r>
        <w:t xml:space="preserve">LC³ beats slag in only 55% of draws (median difference +54 t; 90% interval −588 to +766). If OPG’s baseline already contains slag, LC³’s gain is about −90 t, within noise. The specification should accept whichever binder qualifies first (§8.1).3.</w:t>
      </w:r>
      <w:r>
        <w:t xml:space="preserve"> </w:t>
      </w:r>
      <w:r>
        <w:rPr>
          <w:bCs/>
          <w:b/>
        </w:rPr>
        <w:t xml:space="preserve">Lower-carbon steel is the larger lever but is not part of C1.</w:t>
      </w:r>
      <w:r>
        <w:t xml:space="preserve"> </w:t>
      </w:r>
      <w:r>
        <w:t xml:space="preserve">Steel in the structures C1 targets saves only 566 t per unit (Appendix A7). All 14,000 t at best-practice electric-arc-furnace factors would save up to 3,915 t (1.8 times LC³), but this is an upper bound, not shown feasible for forgings and nuclear-grade plate. It is the next lever (§10).</w:t>
      </w:r>
      <w:r>
        <w:t xml:space="preserve"> </w:t>
      </w:r>
      <w:r>
        <w:t xml:space="preserve">4.</w:t>
      </w:r>
      <w:r>
        <w:t xml:space="preserve"> </w:t>
      </w:r>
      <w:r>
        <w:rPr>
          <w:bCs/>
          <w:b/>
        </w:rPr>
        <w:t xml:space="preserve">Schedule dominates.</w:t>
      </w:r>
      <w:r>
        <w:t xml:space="preserve"> </w:t>
      </w:r>
      <w:r>
        <w:t xml:space="preserve">A delay of</w:t>
      </w:r>
      <w:r>
        <w:t xml:space="preserve"> </w:t>
      </w:r>
      <w:r>
        <w:rPr>
          <w:bCs/>
          <w:b/>
        </w:rPr>
        <w:t xml:space="preserve">11.6–18.5 days</w:t>
      </w:r>
      <w:r>
        <w:t xml:space="preserve"> </w:t>
      </w:r>
      <w:r>
        <w:t xml:space="preserve">to one unit on Ontario’s average grid factor, or</w:t>
      </w:r>
      <w:r>
        <w:t xml:space="preserve"> </w:t>
      </w:r>
      <w:r>
        <w:rPr>
          <w:bCs/>
          <w:b/>
        </w:rPr>
        <w:t xml:space="preserve">1.7–1.8 days</w:t>
      </w:r>
      <w:r>
        <w:t xml:space="preserve"> </w:t>
      </w:r>
      <w:r>
        <w:t xml:space="preserve">on the marginal factor, cancels its saving (§7.1; Appendix B5). C1 is therefore specified only if schedule-neutral (§8.6).</w:t>
      </w:r>
    </w:p>
    <w:p>
      <w:pPr>
        <w:pStyle w:val="BodyText"/>
      </w:pPr>
      <w:r>
        <w:t xml:space="preserve">For the triple-bottom-line evaluation (§9), C1 is environmentally positive but marginal; feasibility hinges on qualification and schedule.</w:t>
      </w:r>
    </w:p>
    <w:bookmarkEnd w:id="37"/>
    <w:bookmarkStart w:id="44" w:name="uncertainty-tornado-and-monte-carlo"/>
    <w:p>
      <w:pPr>
        <w:pStyle w:val="Heading3"/>
      </w:pPr>
      <w:r>
        <w:t xml:space="preserve">6.4 Uncertainty: tornado and Monte Carlo</w:t>
      </w:r>
    </w:p>
    <w:p>
      <w:pPr>
        <w:pStyle w:val="FirstParagraph"/>
      </w:pPr>
      <w:r>
        <w:t xml:space="preserve">The tornado varies 45 inputs one at a time; the Monte Carlo varies them together, 20,000 times (Appendix C).</w:t>
      </w:r>
    </w:p>
    <w:p>
      <w:pPr>
        <w:pStyle w:val="BodyText"/>
      </w:pPr>
      <w:r>
        <w:rPr>
          <w:bCs/>
          <w:b/>
        </w:rPr>
        <w:t xml:space="preserve">The total depends on the fuel inputs, not the concrete (Figure F3).</w:t>
      </w:r>
      <w:r>
        <w:t xml:space="preserve"> </w:t>
      </w:r>
      <w:r>
        <w:t xml:space="preserve">The largest swings are conversion heat (2.86 → 5.53 g/kWh), the mining factor (2.43 → 3.82) and the back end (2.58 → 3.41). No concrete input moves the total by more than 0.06 g/kWh.</w:t>
      </w:r>
      <w:r>
        <w:t xml:space="preserve"> </w:t>
      </w:r>
      <w:r>
        <w:rPr>
          <w:bCs/>
          <w:b/>
        </w:rPr>
        <w:t xml:space="preserve">The saving depends on four inputs:</w:t>
      </w:r>
      <w:r>
        <w:t xml:space="preserve"> </w:t>
      </w:r>
      <w:r>
        <w:t xml:space="preserve">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39" name="Picture"/>
            <a:graphic>
              <a:graphicData uri="http://schemas.openxmlformats.org/drawingml/2006/picture">
                <pic:pic>
                  <pic:nvPicPr>
                    <pic:cNvPr descr="/home/user/MTE4593-Group-Assignment/03_LCA_Calculations/results/F3_tornado.png" id="40" name="Picture"/>
                    <pic:cNvPicPr>
                      <a:picLocks noChangeArrowheads="1" noChangeAspect="1"/>
                    </pic:cNvPicPr>
                  </pic:nvPicPr>
                  <pic:blipFill>
                    <a:blip r:embed="rId38"/>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rPr>
          <w:bCs/>
          <w:b/>
        </w:rPr>
        <w:t xml:space="preserve">Monte Carlo (Figure F4): why we report 4.4, not 2.9.</w:t>
      </w:r>
      <w:r>
        <w:t xml:space="preserve"> </w:t>
      </w:r>
      <w:r>
        <w:t xml:space="preserve">Several inputs can mostly only rise: conversion heat is most likely 26 kWh/kg U but could be 665, which alone adds about 1.0 g/kWh to the mean (Appendix C5). We therefore quote the median.</w:t>
      </w:r>
      <w:r>
        <w:t xml:space="preserve"> </w:t>
      </w:r>
      <w:r>
        <w:rPr>
          <w:bCs/>
          <w:b/>
        </w:rPr>
        <w:t xml:space="preserve">The headline depends on how conversion heat is distributed:</w:t>
      </w:r>
      <w:r>
        <w:t xml:space="preserve"> </w:t>
      </w:r>
      <w:r>
        <w:t xml:space="preserve">fixed at Gibon and Hahn Menacho’s (2023) central 26 kWh/kg U, the median is 3.51 g/kWh (2.80–4.39); log-uniform over 26–665, 4.11 (3.06–6.12). We quote the</w:t>
      </w:r>
      <w:r>
        <w:t xml:space="preserve"> </w:t>
      </w:r>
      <w:r>
        <w:rPr>
          <w:bCs/>
          <w:b/>
        </w:rPr>
        <w:t xml:space="preserve">range of medians, 3.51–4.40</w:t>
      </w:r>
      <w:r>
        <w:t xml:space="preserve">.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42" name="Picture"/>
            <a:graphic>
              <a:graphicData uri="http://schemas.openxmlformats.org/drawingml/2006/picture">
                <pic:pic>
                  <pic:nvPicPr>
                    <pic:cNvPr descr="/home/user/MTE4593-Group-Assignment/03_LCA_Calculations/results/F4_montecarlo.png" id="43" name="Picture"/>
                    <pic:cNvPicPr>
                      <a:picLocks noChangeArrowheads="1" noChangeAspect="1"/>
                    </pic:cNvPicPr>
                  </pic:nvPicPr>
                  <pic:blipFill>
                    <a:blip r:embed="rId41"/>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44"/>
    <w:bookmarkStart w:id="48" w:name="comparison-with-published-values"/>
    <w:p>
      <w:pPr>
        <w:pStyle w:val="Heading3"/>
      </w:pPr>
      <w:r>
        <w:t xml:space="preserve">6.5 Comparison with published values</w:t>
      </w:r>
    </w:p>
    <w:p>
      <w:pPr>
        <w:pStyle w:val="FirstParagraph"/>
      </w:pPr>
      <w:r>
        <w:rPr>
          <w:bCs/>
          <w:b/>
        </w:rPr>
        <w:t xml:space="preserve">Our median (3.5–4.4 across conversion-heat assumptions) is below UNECE’s 5.1–6.4 g/kWh (United Nations Economic Commission for Europe, 2021), though our 90% interval overlaps it, and sits at the low end of the wider literature for reasons we can identify (Figure F5).</w:t>
      </w:r>
      <w:r>
        <w:t xml:space="preserve"> </w:t>
      </w:r>
      <w:r>
        <w:t xml:space="preserve">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rPr>
          <w:bCs/>
          <w:b/>
        </w:rPr>
        <w:t xml:space="preserve">Three reasons explain most of the gap</w:t>
      </w:r>
      <w:r>
        <w:t xml:space="preserve"> </w:t>
      </w:r>
      <w:r>
        <w:t xml:space="preserve">(sizes in Appendix C7):</w:t>
      </w:r>
      <w:r>
        <w:t xml:space="preserve"> </w:t>
      </w:r>
      <w:r>
        <w:t xml:space="preserve">1.</w:t>
      </w:r>
      <w:r>
        <w:t xml:space="preserve"> </w:t>
      </w:r>
      <w:r>
        <w:rPr>
          <w:bCs/>
          <w:b/>
        </w:rPr>
        <w:t xml:space="preserve">Ore grade:</w:t>
      </w:r>
      <w:r>
        <w:t xml:space="preserve"> </w:t>
      </w:r>
      <w:r>
        <w:t xml:space="preserve">our mining is 1.0–1.3 g/kWh, against about 2.8 at global-average grades (Gibon and Hahn Menacho, 2023).</w:t>
      </w:r>
      <w:r>
        <w:t xml:space="preserve"> </w:t>
      </w:r>
      <w:r>
        <w:t xml:space="preserve">2.</w:t>
      </w:r>
      <w:r>
        <w:t xml:space="preserve"> </w:t>
      </w:r>
      <w:r>
        <w:rPr>
          <w:bCs/>
          <w:b/>
        </w:rPr>
        <w:t xml:space="preserve">Enrichment:</w:t>
      </w:r>
      <w:r>
        <w:t xml:space="preserve"> </w:t>
      </w:r>
      <w:r>
        <w:t xml:space="preserve">centrifuges at 50 kWh per separative work unit, against about 2,500 for the diffusion plants in older study sets.</w:t>
      </w:r>
      <w:r>
        <w:t xml:space="preserve"> </w:t>
      </w:r>
      <w:r>
        <w:t xml:space="preserve">3.</w:t>
      </w:r>
      <w:r>
        <w:t xml:space="preserve"> </w:t>
      </w:r>
      <w:r>
        <w:rPr>
          <w:bCs/>
          <w:b/>
        </w:rPr>
        <w:t xml:space="preserve">Cut-offs and long life:</w:t>
      </w:r>
      <w:r>
        <w:t xml:space="preserve"> </w:t>
      </w:r>
      <w:r>
        <w:t xml:space="preserve">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§6.3.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46" name="Picture"/>
            <a:graphic>
              <a:graphicData uri="http://schemas.openxmlformats.org/drawingml/2006/picture">
                <pic:pic>
                  <pic:nvPicPr>
                    <pic:cNvPr descr="/home/user/MTE4593-Group-Assignment/03_LCA_Calculations/results/F5_benchmarks.png" id="47" name="Picture"/>
                    <pic:cNvPicPr>
                      <a:picLocks noChangeArrowheads="1" noChangeAspect="1"/>
                    </pic:cNvPicPr>
                  </pic:nvPicPr>
                  <pic:blipFill>
                    <a:blip r:embed="rId45"/>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48"/>
    <w:bookmarkEnd w:id="49"/>
    <w:bookmarkStart w:id="59"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alone, 29–175 times the carbon value of C1’s whole saving, and defers about C$88 m of output.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50"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50"/>
    <w:bookmarkStart w:id="54"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(§1).</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2" name="Picture"/>
            <a:graphic>
              <a:graphicData uri="http://schemas.openxmlformats.org/drawingml/2006/picture">
                <pic:pic>
                  <pic:nvPicPr>
                    <pic:cNvPr descr="/home/user/MTE4593-Group-Assignment/03_LCA_Calculations/results/F6_displacement.png" id="53" name="Picture"/>
                    <pic:cNvPicPr>
                      <a:picLocks noChangeArrowheads="1" noChangeAspect="1"/>
                    </pic:cNvPicPr>
                  </pic:nvPicPr>
                  <pic:blipFill>
                    <a:blip r:embed="rId51"/>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4"/>
    <w:bookmarkStart w:id="58"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6" name="Picture"/>
            <a:graphic>
              <a:graphicData uri="http://schemas.openxmlformats.org/drawingml/2006/picture">
                <pic:pic>
                  <pic:nvPicPr>
                    <pic:cNvPr descr="/home/user/MTE4593-Group-Assignment/03_LCA_Calculations/results/F7_same_money.png" id="57" name="Picture"/>
                    <pic:cNvPicPr>
                      <a:picLocks noChangeArrowheads="1" noChangeAspect="1"/>
                    </pic:cNvPicPr>
                  </pic:nvPicPr>
                  <pic:blipFill>
                    <a:blip r:embed="rId55"/>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8"/>
    <w:bookmarkEnd w:id="59"/>
    <w:bookmarkStart w:id="69" w:name="Xabf1823ab98fa71e358698492c3b3ca10e02619"/>
    <w:p>
      <w:pPr>
        <w:pStyle w:val="Heading2"/>
      </w:pPr>
      <w:r>
        <w:t xml:space="preserve">8 Non-technical factors affecting translation to practice</w:t>
      </w:r>
    </w:p>
    <w:bookmarkStart w:id="60"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 At Liddell the barrier precedes any materials choice: none of these first-order barriers can be solved by changing Portland cement to LC³.</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(CNSC, 2026a)</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60"/>
    <w:bookmarkStart w:id="61"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T8).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T8). Darlington avoids this with a single Crown owner and a regulated rate base; public and First Nations finance covers about 22% of the budget (§8.5).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NuScale Power Corporation, 2026), but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No one captures the carbon value, because construction materials appear to sit outside Ontario’s industrial carbon pricing (our inference). Qualification sets the abatement cost: a C$1 m programme (assumed) adds about C$152/t, above the C$95–115/t price path, and one day of delay costs C$1.8–2.9 m, more than C1’s whole carbon value. Responses are compared and sequenced in §8.6 (Table T12).</w:t>
      </w:r>
    </w:p>
    <w:p>
      <w:pPr>
        <w:pStyle w:val="BodyText"/>
      </w:pPr>
      <w:r>
        <w:rPr>
          <w:iCs/>
          <w:i/>
        </w:rPr>
        <w:t xml:space="preserve">Table T8.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61"/>
    <w:bookmarkStart w:id="62"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T9).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Fuel independence also needs conversion, enrichment, fabrication, forged components and skilled labour, not uranium deposits alone. Patents identify proprietary designs but do not establish any royalty per unit of electricity, so patent counts alone give no royalty estimate. The HHI measures nominal capacity, not the contracts open to one buyer. Contracts with allied enrichers, as OPG uses, cut a buyer’s exposure but not concentration (§8.6). C1 adds a small supply risk of its own. LC³ needs a suitable calcined-clay source and blending capacity (Scrivener et al., 2018), and a single qualified supplier would be a risk even if its product footprint were favourable.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(§10).</w:t>
      </w:r>
    </w:p>
    <w:p>
      <w:pPr>
        <w:pStyle w:val="BodyText"/>
      </w:pPr>
      <w:r>
        <w:rPr>
          <w:iCs/>
          <w:i/>
        </w:rPr>
        <w:t xml:space="preserve">Table T9.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2"/>
    <w:bookmarkStart w:id="63"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T10).</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T10.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3"/>
    <w:bookmarkStart w:id="67"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T11).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8.1–8.4. Source: this study, Appendix B8.2." title="" id="65" name="Picture"/>
            <a:graphic>
              <a:graphicData uri="http://schemas.openxmlformats.org/drawingml/2006/picture">
                <pic:pic>
                  <pic:nvPicPr>
                    <pic:cNvPr descr="/home/user/MTE4593-Group-Assignment/03_LCA_Calculations/results/F8_stakeholder_map.png" id="66" name="Picture"/>
                    <pic:cNvPicPr>
                      <a:picLocks noChangeArrowheads="1" noChangeAspect="1"/>
                    </pic:cNvPicPr>
                  </pic:nvPicPr>
                  <pic:blipFill>
                    <a:blip r:embed="rId64"/>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T11. Who pays and who earns: the C$20.9 bn Darlington New Nuclear Project.</w:t>
      </w:r>
      <w:r>
        <w:t xml:space="preserve"> </w:t>
      </w:r>
      <w:r>
        <w:rPr>
          <w:iCs/>
          <w:i/>
        </w:rPr>
        <w:t xml:space="preserve">Source: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(Williams Treaties First Nations et al.,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7"/>
    <w:bookmarkStart w:id="68" w:name="implementation-pathway"/>
    <w:p>
      <w:pPr>
        <w:pStyle w:val="Heading3"/>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T12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T12. Levers for putting C1 into practice, compared.</w:t>
      </w:r>
      <w:r>
        <w:t xml:space="preserve"> </w:t>
      </w:r>
      <w:r>
        <w:rPr>
          <w:iCs/>
          <w:i/>
        </w:rPr>
        <w:t xml:space="preserve">Source: our evaluation from Treasury Board of Canada Secretariat (2022); Canada Growth Fund and Building Ontario Fund (2025). Scores are our judgement (Appendix B3.1).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w:t>
            </w:r>
          </w:p>
        </w:tc>
        <w:tc>
          <w:tcPr/>
          <w:p>
            <w:pPr>
              <w:pStyle w:val="Compact"/>
              <w:jc w:val="left"/>
            </w:pPr>
            <w:r>
              <w:t xml:space="preserve">Time</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w:t>
            </w:r>
          </w:p>
        </w:tc>
        <w:tc>
          <w:tcPr/>
          <w:p>
            <w:pPr>
              <w:pStyle w:val="Compact"/>
              <w:jc w:val="left"/>
            </w:pPr>
            <w:r>
              <w:t xml:space="preserve">With tranche 2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w:t>
            </w:r>
          </w:p>
        </w:tc>
        <w:tc>
          <w:tcPr/>
          <w:p>
            <w:pPr>
              <w:pStyle w:val="Compact"/>
              <w:jc w:val="left"/>
            </w:pPr>
            <w:r>
              <w:t xml:space="preserve">2027</w:t>
            </w:r>
          </w:p>
        </w:tc>
        <w:tc>
          <w:tcPr/>
          <w:p>
            <w:pPr>
              <w:pStyle w:val="Compact"/>
              <w:jc w:val="left"/>
            </w:pPr>
            <w:r>
              <w:t xml:space="preserve">Removes the main schedule risk</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8"/>
    <w:bookmarkEnd w:id="69"/>
    <w:bookmarkStart w:id="73"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0.36%, and no predefined weight set, input test or ±50% weight test puts an SMR first.</w:t>
      </w:r>
    </w:p>
    <w:bookmarkStart w:id="70" w:name="triple-bottom-line"/>
    <w:p>
      <w:pPr>
        <w:pStyle w:val="Heading3"/>
      </w:pPr>
      <w:r>
        <w:t xml:space="preserve">9.1 Triple bottom line</w:t>
      </w:r>
    </w:p>
    <w:p>
      <w:pPr>
        <w:pStyle w:val="FirstParagraph"/>
      </w:pPr>
      <w:r>
        <w:t xml:space="preserve">Table T13 applies the triple bottom line to C1 at Darlington and to the comparison at Liddell, each cell traced to its section.</w:t>
      </w:r>
    </w:p>
    <w:p>
      <w:pPr>
        <w:pStyle w:val="BodyText"/>
      </w:pPr>
      <w:r>
        <w:rPr>
          <w:iCs/>
          <w:i/>
        </w:rPr>
        <w:t xml:space="preserve">Table T13.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about 0.36%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A first unit would need Commonwealth ownership or underwriting (our inference, §8.2).</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§6–§8</w:t>
            </w:r>
          </w:p>
        </w:tc>
      </w:tr>
    </w:tbl>
    <w:bookmarkEnd w:id="70"/>
    <w:bookmarkStart w:id="71"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T14.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71"/>
    <w:bookmarkStart w:id="72" w:name="verdict-and-limits"/>
    <w:p>
      <w:pPr>
        <w:pStyle w:val="Heading3"/>
      </w:pPr>
      <w:r>
        <w:t xml:space="preserve">9.3 Verdict and limits</w:t>
      </w:r>
    </w:p>
    <w:p>
      <w:pPr>
        <w:pStyle w:val="FirstParagraph"/>
      </w:pPr>
      <w:r>
        <w:rPr>
          <w:bCs/>
          <w:b/>
        </w:rPr>
        <w:t xml:space="preserve">Darlington.</w:t>
      </w:r>
      <w:r>
        <w:t xml:space="preserve"> </w:t>
      </w:r>
      <w:r>
        <w:t xml:space="preserve">Pilot LC³ in eligible non-safety works first; use steel-composite infill only if qualified on Unit 1 mock-ups, otherwise specify the slag blend.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2"/>
    <w:bookmarkEnd w:id="73"/>
    <w:bookmarkStart w:id="74" w:name="future-material-properties-and-processes"/>
    <w:p>
      <w:pPr>
        <w:pStyle w:val="Heading2"/>
      </w:pPr>
      <w:r>
        <w:t xml:space="preserve">10 Future material properties and processes</w:t>
      </w:r>
    </w:p>
    <w:p>
      <w:pPr>
        <w:pStyle w:val="FirstParagraph"/>
      </w:pPr>
      <w:r>
        <w:rPr>
          <w:bCs/>
          <w:b/>
        </w:rPr>
        <w:t xml:space="preserve">C1 and the levers beyond it each depend on a property or process still to be proven (Table T15).</w:t>
      </w:r>
    </w:p>
    <w:p>
      <w:pPr>
        <w:pStyle w:val="BodyText"/>
      </w:pPr>
      <w:r>
        <w:rPr>
          <w:iCs/>
          <w:i/>
        </w:rPr>
        <w:t xml:space="preserve">Table T15.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2023b)</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(§8.3);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74"/>
    <w:bookmarkStart w:id="75"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§4.3), about 0.36%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Darlington Unit 1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Law (three bans), cost (C$149–198/MWh) and time (2040 at the earliest) decide; firmed renewables rank first under all four weight sets (80 against 30 with equal weights).</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29–175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0.36%.</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p>
      <w:r>
        <w:br w:type="page"/>
      </w:r>
    </w:p>
    <w:bookmarkEnd w:id="75"/>
    <w:bookmarkStart w:id="78"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[pdf] Table 14, p. 83. Available at: https://am.lrv.lt/media/viesa/saugykla/2024/2/oHCKCUp7Lrs.pdf</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2023a.</w:t>
      </w:r>
      <w:r>
        <w:t xml:space="preserve"> </w:t>
      </w:r>
      <w:r>
        <w:rPr>
          <w:iCs/>
          <w:i/>
        </w:rPr>
        <w:t xml:space="preserve">REGDOC-2.5.2, Design of Reactor Facilities: Nuclear Power Plants</w:t>
      </w:r>
      <w:r>
        <w:t xml:space="preserve">, Version 2.1. [online] Ottawa: Canadian Nuclear Safety Commission. Available at: https://www.cnsc-ccsn.gc.ca/eng/acts-and-regulations/regulatory-documents/published/html/regdoc2-5-2-v2-1/ [Accessed 25 October 2026].</w:t>
      </w:r>
    </w:p>
    <w:p>
      <w:pPr>
        <w:pStyle w:val="BodyText"/>
      </w:pPr>
      <w:r>
        <w:t xml:space="preserve">Canadian Nuclear Safety Commission, 2023b.</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CSA Group, 2026.</w:t>
      </w:r>
      <w:r>
        <w:t xml:space="preserve"> </w:t>
      </w:r>
      <w:r>
        <w:rPr>
          <w:iCs/>
          <w:i/>
        </w:rPr>
        <w:t xml:space="preserve">CSA N287.2, Material requirements for concrete containment structures for nuclear power plants</w:t>
      </w:r>
      <w:r>
        <w:t xml:space="preserve">. [online] Standard catalogue information. Toronto: CSA Group. Available at: https://webstore.ansi.org/standards/csa/csan2872026 [Accessed 25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Canada, 2026.</w:t>
      </w:r>
      <w:r>
        <w:t xml:space="preserve"> </w:t>
      </w:r>
      <w:r>
        <w:rPr>
          <w:iCs/>
          <w:i/>
        </w:rPr>
        <w:t xml:space="preserve">Darlington New Nuclear Project</w:t>
      </w:r>
      <w:r>
        <w:t xml:space="preserve">. [online] Ottawa: Major Projects Office, updated 8 July 2026. Available at: https://www.canada.ca/en/privy-council/major-projects-office/projects/national/darlington.html [Accessed 25 October 2026].</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2023.</w:t>
      </w:r>
      <w:r>
        <w:t xml:space="preserve"> </w:t>
      </w:r>
      <w:r>
        <w:rPr>
          <w:iCs/>
          <w:i/>
        </w:rPr>
        <w:t xml:space="preserve">What are small modular reactors (SMRs)?</w:t>
      </w:r>
      <w:r>
        <w:t xml:space="preserve"> </w:t>
      </w:r>
      <w:r>
        <w:t xml:space="preserve">[online] Vienna: International Atomic Energy Agency. Available at: https://www.iaea.org/newscenter/news/what-are-small-modular-reactors-smrs [Accessed 25 October 2026].</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2026.</w:t>
      </w:r>
      <w:r>
        <w:t xml:space="preserve"> </w:t>
      </w:r>
      <w:r>
        <w:rPr>
          <w:iCs/>
          <w:i/>
        </w:rPr>
        <w:t xml:space="preserve">Regulatory process: deep geological repository for Canada’s used nuclear fuel project</w:t>
      </w:r>
      <w:r>
        <w:t xml:space="preserve">. [online] Toronto: Nuclear Waste Management Organization. Available at: https://www.nwmo.ca/en/Regulatory-process [Accessed 25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76"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6"/>
    <w:bookmarkStart w:id="77"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77"/>
    <w:bookmarkEnd w:id="78"/>
    <w:bookmarkStart w:id="79"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79"/>
    <w:bookmarkStart w:id="146" w:name="appendices"/>
    <w:p>
      <w:pPr>
        <w:pStyle w:val="Heading1"/>
      </w:pPr>
      <w:r>
        <w:t xml:space="preserve">Appendices</w:t>
      </w:r>
    </w:p>
    <w:bookmarkStart w:id="89" w:name="Xddcc31d2d3503f687b8b233cd4a745104a63a5c"/>
    <w:p>
      <w:pPr>
        <w:pStyle w:val="Heading2"/>
      </w:pPr>
      <w:r>
        <w:t xml:space="preserve">Appendix A. LCA inventory and calculations</w:t>
      </w:r>
    </w:p>
    <w:p>
      <w:pPr>
        <w:pStyle w:val="FirstParagraph"/>
      </w:pPr>
      <w:r>
        <w:t xml:space="preserve">This appendix gives the full working behind §6.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bookmarkStart w:id="80"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To change a value,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(68 parameters, each with a value, range, distribution, source key and status).</w:t>
      </w:r>
    </w:p>
    <w:bookmarkEnd w:id="80"/>
    <w:bookmarkStart w:id="81" w:name="Xa2e77a4399fb77857bb3994dd1c371f451280a3"/>
    <w:p>
      <w:pPr>
        <w:pStyle w:val="Heading3"/>
      </w:pPr>
      <w:r>
        <w:t xml:space="preserve">A2. Functional unit, lifetime output and key assumptions</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3"/>
        </w:numPr>
        <w:pStyle w:val="Compact"/>
      </w:pPr>
      <w:r>
        <w:t xml:space="preserve">Annual output = P_net × 8,760 h × CF = 300 MWe × 8,760 × 0.90 = 2,365,200 MWh/yr.</w:t>
      </w:r>
    </w:p>
    <w:p>
      <w:pPr>
        <w:numPr>
          <w:ilvl w:val="0"/>
          <w:numId w:val="1003"/>
        </w:numPr>
        <w:pStyle w:val="Compact"/>
      </w:pPr>
      <w:r>
        <w:t xml:space="preserve">Lifetime output E = 2,365,200 × 60 =</w:t>
      </w:r>
      <w:r>
        <w:t xml:space="preserve"> </w:t>
      </w:r>
      <w:r>
        <w:rPr>
          <w:bCs/>
          <w:b/>
        </w:rPr>
        <w:t xml:space="preserve">1.419 × 10⁸ MWh</w:t>
      </w:r>
      <w:r>
        <w:t xml:space="preserve">.</w:t>
      </w:r>
    </w:p>
    <w:p>
      <w:pPr>
        <w:numPr>
          <w:ilvl w:val="0"/>
          <w:numId w:val="1003"/>
        </w:numPr>
        <w:pStyle w:val="Compact"/>
      </w:pPr>
      <w:r>
        <w:t xml:space="preserve">Net efficiency η = P_net / P_th = 300 / 870 =</w:t>
      </w:r>
      <w:r>
        <w:t xml:space="preserve"> </w:t>
      </w:r>
      <w:r>
        <w:rPr>
          <w:bCs/>
          <w:b/>
        </w:rPr>
        <w:t xml:space="preserve">0.345</w:t>
      </w:r>
      <w:r>
        <w:t xml:space="preserve"> </w:t>
      </w:r>
      <w:r>
        <w:t xml:space="preserve">(870 MWt from Sun and Kurosaki, 2025, an unrefereed preprint).</w:t>
      </w:r>
    </w:p>
    <w:p>
      <w:pPr>
        <w:numPr>
          <w:ilvl w:val="0"/>
          <w:numId w:val="1003"/>
        </w:numPr>
        <w:pStyle w:val="Compact"/>
      </w:pPr>
      <w:r>
        <w:t xml:space="preserve">Conversion to the functional unit: 1 t CO₂e spread over E is 7.05 × 10⁻⁶ g/kWh.</w:t>
      </w:r>
    </w:p>
    <w:p>
      <w:pPr>
        <w:pStyle w:val="FirstParagraph"/>
      </w:pPr>
      <w:r>
        <w:t xml:space="preserve">Inputs: P_net 300 MWe (GE Vernova Hitachi Nuclear Energy, n.d.), with 315 MWe net in OPG’s filing to the Ontario Energy Board (Ontario Power Generation, 2025b) as the upper bound; CF 0.90, a placeholder shared with §7; L 60 years (Canadian Nuclear Safety Commission, 2024; 65 years is reported elsewhere).</w:t>
      </w:r>
    </w:p>
    <w:p>
      <w:pPr>
        <w:pStyle w:val="BodyText"/>
      </w:pPr>
      <w:r>
        <w:rPr>
          <w:iCs/>
          <w:i/>
        </w:rPr>
        <w:t xml:space="preserve">Table A2a. Plant quantities and results per unit: main case and cross-check.</w:t>
      </w:r>
      <w:r>
        <w:t xml:space="preserve"> </w:t>
      </w:r>
      <w:r>
        <w:rPr>
          <w:iCs/>
          <w:i/>
        </w:rPr>
        <w:t xml:space="preserve">Source: this study; BWRX-300 Ostrołęka sp. z o.o. (2023), as reported in the project information sheet; Peterson, Zhao and Petroski (2005).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Main case (Ostrołęka)</w:t>
            </w:r>
          </w:p>
        </w:tc>
        <w:tc>
          <w:tcPr/>
          <w:p>
            <w:pPr>
              <w:pStyle w:val="Compact"/>
              <w:jc w:val="left"/>
            </w:pPr>
            <w:r>
              <w:t xml:space="preserve">Cross-check (bottom-up)</w:t>
            </w:r>
          </w:p>
        </w:tc>
      </w:tr>
      <w:tr>
        <w:tc>
          <w:tcPr/>
          <w:p>
            <w:pPr>
              <w:pStyle w:val="Compact"/>
              <w:jc w:val="left"/>
            </w:pPr>
            <w:r>
              <w:t xml:space="preserve">Concrete per unit</w:t>
            </w:r>
          </w:p>
        </w:tc>
        <w:tc>
          <w:tcPr/>
          <w:p>
            <w:pPr>
              <w:pStyle w:val="Compact"/>
              <w:jc w:val="left"/>
            </w:pPr>
            <w:r>
              <w:t xml:space="preserve">50,000 m³ (input range 40,000–60,000)</w:t>
            </w:r>
          </w:p>
        </w:tc>
        <w:tc>
          <w:tcPr/>
          <w:p>
            <w:pPr>
              <w:pStyle w:val="Compact"/>
              <w:jc w:val="left"/>
            </w:pPr>
            <w:r>
              <w:t xml:space="preserve">20,700 m³ (69 m³/MWe × 300 MWe)</w:t>
            </w:r>
          </w:p>
        </w:tc>
      </w:tr>
      <w:tr>
        <w:tc>
          <w:tcPr/>
          <w:p>
            <w:pPr>
              <w:pStyle w:val="Compact"/>
              <w:jc w:val="left"/>
            </w:pPr>
            <w:r>
              <w:t xml:space="preserve">Concrete per MWe</w:t>
            </w:r>
          </w:p>
        </w:tc>
        <w:tc>
          <w:tcPr/>
          <w:p>
            <w:pPr>
              <w:pStyle w:val="Compact"/>
              <w:jc w:val="left"/>
            </w:pPr>
            <w:r>
              <w:t xml:space="preserve">167 m³</w:t>
            </w:r>
          </w:p>
        </w:tc>
        <w:tc>
          <w:tcPr/>
          <w:p>
            <w:pPr>
              <w:pStyle w:val="Compact"/>
              <w:jc w:val="left"/>
            </w:pPr>
            <w:r>
              <w:t xml:space="preserve">69 m³</w:t>
            </w:r>
          </w:p>
        </w:tc>
      </w:tr>
      <w:tr>
        <w:tc>
          <w:tcPr/>
          <w:p>
            <w:pPr>
              <w:pStyle w:val="Compact"/>
              <w:jc w:val="left"/>
            </w:pPr>
            <w:r>
              <w:t xml:space="preserve">Steel per unit</w:t>
            </w:r>
          </w:p>
        </w:tc>
        <w:tc>
          <w:tcPr/>
          <w:p>
            <w:pPr>
              <w:pStyle w:val="Compact"/>
              <w:jc w:val="left"/>
            </w:pPr>
            <w:r>
              <w:t xml:space="preserve">14,000 t (11,200–16,800)</w:t>
            </w:r>
          </w:p>
        </w:tc>
        <w:tc>
          <w:tcPr/>
          <w:p>
            <w:pPr>
              <w:pStyle w:val="Compact"/>
              <w:jc w:val="left"/>
            </w:pPr>
            <w:r>
              <w:t xml:space="preserve">9,900 t (33 t/MWe × 300 MWe)</w:t>
            </w:r>
          </w:p>
        </w:tc>
      </w:tr>
      <w:tr>
        <w:tc>
          <w:tcPr/>
          <w:p>
            <w:pPr>
              <w:pStyle w:val="Compact"/>
              <w:jc w:val="left"/>
            </w:pPr>
            <w:r>
              <w:t xml:space="preserve">Rebar; plate, structural and equipment steel</w:t>
            </w:r>
          </w:p>
        </w:tc>
        <w:tc>
          <w:tcPr/>
          <w:p>
            <w:pPr>
              <w:pStyle w:val="Compact"/>
              <w:jc w:val="left"/>
            </w:pPr>
            <w:r>
              <w:t xml:space="preserve">7,500 t; 6,500 t</w:t>
            </w:r>
          </w:p>
        </w:tc>
        <w:tc>
          <w:tcPr/>
          <w:p>
            <w:pPr>
              <w:pStyle w:val="Compact"/>
              <w:jc w:val="left"/>
            </w:pPr>
            <w:r>
              <w:t xml:space="preserve">3,105 t; 6,795 t</w:t>
            </w:r>
          </w:p>
        </w:tc>
      </w:tr>
      <w:tr>
        <w:tc>
          <w:tcPr/>
          <w:p>
            <w:pPr>
              <w:pStyle w:val="Compact"/>
              <w:jc w:val="left"/>
            </w:pPr>
            <w:r>
              <w:t xml:space="preserve">C1-eligible concrete</w:t>
            </w:r>
          </w:p>
        </w:tc>
        <w:tc>
          <w:tcPr/>
          <w:p>
            <w:pPr>
              <w:pStyle w:val="Compact"/>
              <w:jc w:val="left"/>
            </w:pPr>
            <w:r>
              <w:t xml:space="preserve">20,000 m³ (40%; 10,000–30,000)</w:t>
            </w:r>
          </w:p>
        </w:tc>
        <w:tc>
          <w:tcPr/>
          <w:p>
            <w:pPr>
              <w:pStyle w:val="Compact"/>
              <w:jc w:val="left"/>
            </w:pPr>
            <w:r>
              <w:t xml:space="preserve">13,081 m³ (infill and forebay shaft)</w:t>
            </w:r>
          </w:p>
        </w:tc>
      </w:tr>
      <w:tr>
        <w:tc>
          <w:tcPr/>
          <w:p>
            <w:pPr>
              <w:pStyle w:val="Compact"/>
              <w:jc w:val="left"/>
            </w:pPr>
            <w:r>
              <w:t xml:space="preserve">Construction, mode case</w:t>
            </w:r>
          </w:p>
        </w:tc>
        <w:tc>
          <w:tcPr/>
          <w:p>
            <w:pPr>
              <w:pStyle w:val="Compact"/>
              <w:jc w:val="left"/>
            </w:pPr>
            <w:r>
              <w:t xml:space="preserve">57,600 t CO₂e (0.41 g/kWh)</w:t>
            </w:r>
          </w:p>
        </w:tc>
        <w:tc>
          <w:tcPr/>
          <w:p>
            <w:pPr>
              <w:pStyle w:val="Compact"/>
              <w:jc w:val="left"/>
            </w:pPr>
            <w:r>
              <w:t xml:space="preserve">34,381 t (0.24 g/kWh)</w:t>
            </w:r>
          </w:p>
        </w:tc>
      </w:tr>
      <w:tr>
        <w:tc>
          <w:tcPr/>
          <w:p>
            <w:pPr>
              <w:pStyle w:val="Compact"/>
              <w:jc w:val="left"/>
            </w:pPr>
            <w:r>
              <w:t xml:space="preserve">Life cycle: mode case; Monte Carlo median (90% interval)</w:t>
            </w:r>
          </w:p>
        </w:tc>
        <w:tc>
          <w:tcPr/>
          <w:p>
            <w:pPr>
              <w:pStyle w:val="Compact"/>
              <w:jc w:val="left"/>
            </w:pPr>
            <w:r>
              <w:t xml:space="preserve">2.86; 4.40 (3.24–6.05) g/kWh</w:t>
            </w:r>
          </w:p>
        </w:tc>
        <w:tc>
          <w:tcPr/>
          <w:p>
            <w:pPr>
              <w:pStyle w:val="Compact"/>
              <w:jc w:val="left"/>
            </w:pPr>
            <w:r>
              <w:t xml:space="preserve">2.70; 4.20 (3.05–5.86) g/kWh</w:t>
            </w:r>
          </w:p>
        </w:tc>
      </w:tr>
    </w:tbl>
    <w:p>
      <w:pPr>
        <w:pStyle w:val="BodyText"/>
      </w:pPr>
      <w:r>
        <w:rPr>
          <w:iCs/>
          <w:i/>
        </w:rPr>
        <w:t xml:space="preserve">Table A2b. Key assumptions for one BWRX-300 at Darlington (all 45 ranged inputs in Appendix C, Table C2).</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Ontario Power Generation (2025b); placeholder; Canadian Nuclear Safety Commission (2024)</w:t>
            </w:r>
          </w:p>
        </w:tc>
      </w:tr>
      <w:tr>
        <w:tc>
          <w:tcPr/>
          <w:p>
            <w:pPr>
              <w:pStyle w:val="Compact"/>
              <w:jc w:val="left"/>
            </w:pPr>
            <w:r>
              <w:t xml:space="preserve">Plant concrete; steel</w:t>
            </w:r>
          </w:p>
        </w:tc>
        <w:tc>
          <w:tcPr/>
          <w:p>
            <w:pPr>
              <w:pStyle w:val="Compact"/>
              <w:jc w:val="left"/>
            </w:pPr>
            <w:r>
              <w:t xml:space="preserve">50,000 m³ (40,000–60,000); 14,000 t (11,200–16,800)</w:t>
            </w:r>
          </w:p>
        </w:tc>
        <w:tc>
          <w:tcPr/>
          <w:p>
            <w:pPr>
              <w:pStyle w:val="Compact"/>
              <w:jc w:val="left"/>
            </w:pPr>
            <w:r>
              <w:t xml:space="preserve">BWRX-300 Ostrołęka sp. z o.o. (2023), as reported; ±20% is our assumption</w:t>
            </w:r>
          </w:p>
        </w:tc>
      </w:tr>
      <w:tr>
        <w:tc>
          <w:tcPr/>
          <w:p>
            <w:pPr>
              <w:pStyle w:val="Compact"/>
              <w:jc w:val="left"/>
            </w:pPr>
            <w:r>
              <w:t xml:space="preserve">Baseline concrete factor (S0)</w:t>
            </w:r>
          </w:p>
        </w:tc>
        <w:tc>
          <w:tcPr/>
          <w:p>
            <w:pPr>
              <w:pStyle w:val="Compact"/>
              <w:jc w:val="left"/>
            </w:pPr>
            <w:r>
              <w:t xml:space="preserve">380 kg CO₂e/m³ (330–420)</w:t>
            </w:r>
          </w:p>
        </w:tc>
        <w:tc>
          <w:tcPr/>
          <w:p>
            <w:pPr>
              <w:pStyle w:val="Compact"/>
              <w:jc w:val="left"/>
            </w:pPr>
            <w:r>
              <w:t xml:space="preserve">Pillai et al. (2019), as reported; range from Canadian Ready-Mixed Concrete Association (2022) Ontario values (334 and 417)</w:t>
            </w:r>
          </w:p>
        </w:tc>
      </w:tr>
      <w:tr>
        <w:tc>
          <w:tcPr/>
          <w:p>
            <w:pPr>
              <w:pStyle w:val="Compact"/>
              <w:jc w:val="left"/>
            </w:pPr>
            <w:r>
              <w:t xml:space="preserve">LC³ concrete factor; cut</w:t>
            </w:r>
          </w:p>
        </w:tc>
        <w:tc>
          <w:tcPr/>
          <w:p>
            <w:pPr>
              <w:pStyle w:val="Compact"/>
              <w:jc w:val="left"/>
            </w:pPr>
            <w:r>
              <w:t xml:space="preserve">270 kg CO₂e/m³; 28.9% (22–39%)</w:t>
            </w:r>
          </w:p>
        </w:tc>
        <w:tc>
          <w:tcPr/>
          <w:p>
            <w:pPr>
              <w:pStyle w:val="Compact"/>
              <w:jc w:val="left"/>
            </w:pPr>
            <w:r>
              <w:t xml:space="preserve">Pillai et al. (2019), as reported; range is our assumption</w:t>
            </w:r>
          </w:p>
        </w:tc>
      </w:tr>
      <w:tr>
        <w:tc>
          <w:tcPr/>
          <w:p>
            <w:pPr>
              <w:pStyle w:val="Compact"/>
              <w:jc w:val="left"/>
            </w:pPr>
            <w:r>
              <w:t xml:space="preserve">Eligible share for LC³</w:t>
            </w:r>
          </w:p>
        </w:tc>
        <w:tc>
          <w:tcPr/>
          <w:p>
            <w:pPr>
              <w:pStyle w:val="Compact"/>
              <w:jc w:val="left"/>
            </w:pPr>
            <w:r>
              <w:t xml:space="preserve">40% (20–60%)</w:t>
            </w:r>
          </w:p>
        </w:tc>
        <w:tc>
          <w:tcPr/>
          <w:p>
            <w:pPr>
              <w:pStyle w:val="Compact"/>
              <w:jc w:val="left"/>
            </w:pPr>
            <w:r>
              <w:t xml:space="preserve">Assumption: non-safety works first; DPSC infill only if qualified</w:t>
            </w:r>
          </w:p>
        </w:tc>
      </w:tr>
      <w:tr>
        <w:tc>
          <w:tcPr/>
          <w:p>
            <w:pPr>
              <w:pStyle w:val="Compact"/>
              <w:jc w:val="left"/>
            </w:pPr>
            <w:r>
              <w:t xml:space="preserve">Rebar; plate and equipment steel</w:t>
            </w:r>
          </w:p>
        </w:tc>
        <w:tc>
          <w:tcPr/>
          <w:p>
            <w:pPr>
              <w:pStyle w:val="Compact"/>
              <w:jc w:val="left"/>
            </w:pPr>
            <w:r>
              <w:t xml:space="preserve">0.97 (0.89–1.99); 1.73 (1.22–2.50) t CO₂e/t</w:t>
            </w:r>
          </w:p>
        </w:tc>
        <w:tc>
          <w:tcPr/>
          <w:p>
            <w:pPr>
              <w:pStyle w:val="Compact"/>
              <w:jc w:val="left"/>
            </w:pPr>
            <w:r>
              <w:t xml:space="preserve">Concrete Reinforcing Steel Institute (2017; a 2022 declaration supersedes it); American Institute of Steel Construction (2022), Buy Clean California limits as proxies</w:t>
            </w:r>
          </w:p>
        </w:tc>
      </w:tr>
      <w:tr>
        <w:tc>
          <w:tcPr/>
          <w:p>
            <w:pPr>
              <w:pStyle w:val="Compact"/>
              <w:jc w:val="left"/>
            </w:pPr>
            <w:r>
              <w:t xml:space="preserve">Other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Sun and Kurosaki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r>
        <w:tc>
          <w:tcPr/>
          <w:p>
            <w:pPr>
              <w:pStyle w:val="Compact"/>
              <w:jc w:val="left"/>
            </w:pPr>
            <w:r>
              <w:t xml:space="preserve">Cross-check and slag inputs</w:t>
            </w:r>
          </w:p>
        </w:tc>
        <w:tc>
          <w:tcPr/>
          <w:p>
            <w:pPr>
              <w:pStyle w:val="Compact"/>
              <w:jc w:val="left"/>
            </w:pPr>
            <w:r>
              <w:t xml:space="preserve">GU cement 854 kg CO₂e/t (796–898); slag cement 146.6 (93.4–146.6); binder 350 kg/m³</w:t>
            </w:r>
          </w:p>
        </w:tc>
        <w:tc>
          <w:tcPr/>
          <w:p>
            <w:pPr>
              <w:pStyle w:val="Compact"/>
              <w:jc w:val="left"/>
            </w:pPr>
            <w:r>
              <w:t xml:space="preserve">Cement Association of Canada (2022); Slag Cement Association (n.d.); assumption</w:t>
            </w:r>
          </w:p>
        </w:tc>
      </w:tr>
    </w:tbl>
    <w:bookmarkEnd w:id="81"/>
    <w:bookmarkStart w:id="82" w:name="a3.-material-quantities-per-unit"/>
    <w:p>
      <w:pPr>
        <w:pStyle w:val="Heading3"/>
      </w:pPr>
      <w:r>
        <w:t xml:space="preserve">A3. Material quantities per unit</w:t>
      </w:r>
    </w:p>
    <w:p>
      <w:pPr>
        <w:pStyle w:val="FirstParagraph"/>
      </w:pPr>
      <w:r>
        <w:rPr>
          <w:bCs/>
          <w:b/>
        </w:rPr>
        <w:t xml:space="preserve">Result.</w:t>
      </w:r>
      <w:r>
        <w:t xml:space="preserve"> </w:t>
      </w:r>
      <w:r>
        <w:t xml:space="preserve">The main case is 50,000 m³ of concrete and 14,000 t of steel per unit, with 20,000 m³ (40%) eligible for C1.</w:t>
      </w:r>
      <w:r>
        <w:t xml:space="preserve"> </w:t>
      </w:r>
      <w:r>
        <w:rPr>
          <w:bCs/>
          <w:b/>
        </w:rPr>
        <w:t xml:space="preserve">These come from a Polish design (Ostrołęka) and are a proxy, not measured Darlington quantities.</w:t>
      </w:r>
      <w:r>
        <w:t xml:space="preserve"> </w:t>
      </w:r>
      <w:r>
        <w:t xml:space="preserve">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numPr>
          <w:ilvl w:val="0"/>
          <w:numId w:val="1004"/>
        </w:numPr>
        <w:pStyle w:val="Compact"/>
      </w:pPr>
      <w:r>
        <w:t xml:space="preserve">Rebar = ρ × plant concrete = 0.15 t/m³ × 50,000 =</w:t>
      </w:r>
      <w:r>
        <w:t xml:space="preserve"> </w:t>
      </w:r>
      <w:r>
        <w:rPr>
          <w:bCs/>
          <w:b/>
        </w:rPr>
        <w:t xml:space="preserve">7,500 t</w:t>
      </w:r>
      <w:r>
        <w:t xml:space="preserve"> </w:t>
      </w:r>
      <w:r>
        <w:t xml:space="preserve">(assumption; range 0.10–0.25, the high value being the forebay’s observed 0.25). Plate, structural and equipment steel = 14,000 − 7,500 =</w:t>
      </w:r>
      <w:r>
        <w:t xml:space="preserve"> </w:t>
      </w:r>
      <w:r>
        <w:rPr>
          <w:bCs/>
          <w:b/>
        </w:rPr>
        <w:t xml:space="preserve">6,500 t</w:t>
      </w:r>
      <w:r>
        <w:t xml:space="preserve">. Rebar is capped at total steel, so plate never goes negative.</w:t>
      </w:r>
    </w:p>
    <w:p>
      <w:pPr>
        <w:numPr>
          <w:ilvl w:val="0"/>
          <w:numId w:val="1004"/>
        </w:numPr>
        <w:pStyle w:val="Compact"/>
      </w:pPr>
      <w:r>
        <w:t xml:space="preserve">C1-eligible concrete = eligible share × plant concrete = 0.40 × 50,000 =</w:t>
      </w:r>
      <w:r>
        <w:t xml:space="preserve"> </w:t>
      </w:r>
      <w:r>
        <w:rPr>
          <w:bCs/>
          <w:b/>
        </w:rPr>
        <w:t xml:space="preserve">20,000 m³</w:t>
      </w:r>
      <w:r>
        <w:t xml:space="preserve">; 10,000 and 30,000 m³ at 20% and 60%. The eligible share is a scenario, not data.</w:t>
      </w:r>
    </w:p>
    <w:p>
      <w:pPr>
        <w:numPr>
          <w:ilvl w:val="0"/>
          <w:numId w:val="1004"/>
        </w:numPr>
        <w:pStyle w:val="Compact"/>
      </w:pPr>
      <w:r>
        <w:t xml:space="preserve">The Monte Carlo 90% interval for plant concrete is 43,224–56,772 m³ (the input is triangular, 40,000–50,000–60,000 m³).</w:t>
      </w:r>
    </w:p>
    <w:p>
      <w:pPr>
        <w:pStyle w:val="FirstParagraph"/>
      </w:pPr>
      <w:r>
        <w:rPr>
          <w:bCs/>
          <w:b/>
        </w:rPr>
        <w:t xml:space="preserve">Cross-check (bottom-up).</w:t>
      </w:r>
      <w:r>
        <w:t xml:space="preserve"> </w:t>
      </w:r>
      <w:r>
        <w:t xml:space="preserve">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bookmarkEnd w:id="82"/>
    <w:bookmarkStart w:id="83" w:name="X19344571a4b16ef4e61846afd028c6c0d6b769c"/>
    <w:p>
      <w:pPr>
        <w:pStyle w:val="Heading3"/>
      </w:pPr>
      <w:r>
        <w:t xml:space="preserve">A4. Construction inventory and corrections to the team spreadsheet</w:t>
      </w:r>
    </w:p>
    <w:p>
      <w:pPr>
        <w:pStyle w:val="FirstParagraph"/>
      </w:pPr>
      <w:r>
        <w:rPr>
          <w:bCs/>
          <w:b/>
        </w:rPr>
        <w:t xml:space="preserve">Result.</w:t>
      </w:r>
      <w:r>
        <w:t xml:space="preserve"> </w:t>
      </w:r>
      <w:r>
        <w:t xml:space="preserve">Construction emits 57,600 t CO₂e per unit at the mode case (0.41 g/kWh); concrete and steel are about equal.</w:t>
      </w:r>
    </w:p>
    <w:p>
      <w:pPr>
        <w:pStyle w:val="BodyText"/>
      </w:pPr>
      <w:r>
        <w:rPr>
          <w:iCs/>
          <w:i/>
        </w:rPr>
        <w:t xml:space="preserve">Table A4. Construction inventory per unit (S0, mode case; production-stage factors).</w:t>
      </w:r>
      <w:r>
        <w:t xml:space="preserve"> </w:t>
      </w:r>
      <w:r>
        <w:rPr>
          <w:iCs/>
          <w:i/>
        </w:rPr>
        <w:t xml:space="preserve">Source:</w:t>
      </w:r>
      <w:r>
        <w:rPr>
          <w:iCs/>
          <w:i/>
        </w:rPr>
        <w:t xml:space="preserve"> </w:t>
      </w:r>
      <w:r>
        <w:rPr>
          <w:rStyle w:val="VerbatimChar"/>
          <w:iCs/>
          <w:i/>
        </w:rPr>
        <w:t xml:space="preserve">results/lca_baseline.md</w:t>
      </w:r>
      <w:r>
        <w:rPr>
          <w:iCs/>
          <w:i/>
        </w:rPr>
        <w:t xml:space="preserve">; factors as in A5.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C1-eligible concrete (40%)</w:t>
            </w:r>
          </w:p>
        </w:tc>
        <w:tc>
          <w:tcPr/>
          <w:p>
            <w:pPr>
              <w:pStyle w:val="Compact"/>
              <w:jc w:val="left"/>
            </w:pPr>
            <w:r>
              <w:t xml:space="preserve">20,000 m³</w:t>
            </w:r>
          </w:p>
        </w:tc>
        <w:tc>
          <w:tcPr/>
          <w:p>
            <w:pPr>
              <w:pStyle w:val="Compact"/>
              <w:jc w:val="left"/>
            </w:pPr>
            <w:r>
              <w:t xml:space="preserve">380 kg CO₂e/m³</w:t>
            </w:r>
          </w:p>
        </w:tc>
        <w:tc>
          <w:tcPr/>
          <w:p>
            <w:pPr>
              <w:pStyle w:val="Compact"/>
              <w:jc w:val="right"/>
            </w:pPr>
            <w:r>
              <w:t xml:space="preserve">7,600</w:t>
            </w:r>
          </w:p>
        </w:tc>
      </w:tr>
      <w:tr>
        <w:tc>
          <w:tcPr/>
          <w:p>
            <w:pPr>
              <w:pStyle w:val="Compact"/>
              <w:jc w:val="left"/>
            </w:pPr>
            <w:r>
              <w:t xml:space="preserve">Other plant concrete</w:t>
            </w:r>
          </w:p>
        </w:tc>
        <w:tc>
          <w:tcPr/>
          <w:p>
            <w:pPr>
              <w:pStyle w:val="Compact"/>
              <w:jc w:val="left"/>
            </w:pPr>
            <w:r>
              <w:t xml:space="preserve">30,000 m³</w:t>
            </w:r>
          </w:p>
        </w:tc>
        <w:tc>
          <w:tcPr/>
          <w:p>
            <w:pPr>
              <w:pStyle w:val="Compact"/>
              <w:jc w:val="left"/>
            </w:pPr>
            <w:r>
              <w:t xml:space="preserve">380 kg CO₂e/m³</w:t>
            </w:r>
          </w:p>
        </w:tc>
        <w:tc>
          <w:tcPr/>
          <w:p>
            <w:pPr>
              <w:pStyle w:val="Compact"/>
              <w:jc w:val="right"/>
            </w:pPr>
            <w:r>
              <w:t xml:space="preserve">11,400</w:t>
            </w:r>
          </w:p>
        </w:tc>
      </w:tr>
      <w:tr>
        <w:tc>
          <w:tcPr/>
          <w:p>
            <w:pPr>
              <w:pStyle w:val="Compact"/>
              <w:jc w:val="left"/>
            </w:pPr>
            <w:r>
              <w:t xml:space="preserve">Rebar</w:t>
            </w:r>
          </w:p>
        </w:tc>
        <w:tc>
          <w:tcPr/>
          <w:p>
            <w:pPr>
              <w:pStyle w:val="Compact"/>
              <w:jc w:val="left"/>
            </w:pPr>
            <w:r>
              <w:t xml:space="preserve">7,500 t</w:t>
            </w:r>
          </w:p>
        </w:tc>
        <w:tc>
          <w:tcPr/>
          <w:p>
            <w:pPr>
              <w:pStyle w:val="Compact"/>
              <w:jc w:val="left"/>
            </w:pPr>
            <w:r>
              <w:t xml:space="preserve">0.97 t CO₂e/t</w:t>
            </w:r>
          </w:p>
        </w:tc>
        <w:tc>
          <w:tcPr/>
          <w:p>
            <w:pPr>
              <w:pStyle w:val="Compact"/>
              <w:jc w:val="right"/>
            </w:pPr>
            <w:r>
              <w:t xml:space="preserve">7,275</w:t>
            </w:r>
          </w:p>
        </w:tc>
      </w:tr>
      <w:tr>
        <w:tc>
          <w:tcPr/>
          <w:p>
            <w:pPr>
              <w:pStyle w:val="Compact"/>
              <w:jc w:val="left"/>
            </w:pPr>
            <w:r>
              <w:t xml:space="preserve">Plate, structural and equipment steel</w:t>
            </w:r>
          </w:p>
        </w:tc>
        <w:tc>
          <w:tcPr/>
          <w:p>
            <w:pPr>
              <w:pStyle w:val="Compact"/>
              <w:jc w:val="left"/>
            </w:pPr>
            <w:r>
              <w:t xml:space="preserve">6,500 t</w:t>
            </w:r>
          </w:p>
        </w:tc>
        <w:tc>
          <w:tcPr/>
          <w:p>
            <w:pPr>
              <w:pStyle w:val="Compact"/>
              <w:jc w:val="left"/>
            </w:pPr>
            <w:r>
              <w:t xml:space="preserve">1.73 t CO₂e/t</w:t>
            </w:r>
          </w:p>
        </w:tc>
        <w:tc>
          <w:tcPr/>
          <w:p>
            <w:pPr>
              <w:pStyle w:val="Compact"/>
              <w:jc w:val="right"/>
            </w:pPr>
            <w:r>
              <w:t xml:space="preserve">11,245</w:t>
            </w:r>
          </w:p>
        </w:tc>
      </w:tr>
      <w:tr>
        <w:tc>
          <w:tcPr/>
          <w:p>
            <w:pPr>
              <w:pStyle w:val="Compact"/>
              <w:jc w:val="left"/>
            </w:pPr>
            <w:r>
              <w:t xml:space="preserve">Transport to site</w:t>
            </w:r>
          </w:p>
        </w:tc>
        <w:tc>
          <w:tcPr/>
          <w:p>
            <w:pPr>
              <w:pStyle w:val="Compact"/>
              <w:jc w:val="left"/>
            </w:pPr>
            <w:r>
              <w:t xml:space="preserve">concrete 15 km, steel 500 km</w:t>
            </w:r>
          </w:p>
        </w:tc>
        <w:tc>
          <w:tcPr/>
          <w:p>
            <w:pPr>
              <w:pStyle w:val="Compact"/>
              <w:jc w:val="left"/>
            </w:pPr>
            <w:r>
              <w:t xml:space="preserve">0.10 kg CO₂e/t-km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the above</w:t>
            </w:r>
          </w:p>
        </w:tc>
        <w:tc>
          <w:tcPr/>
          <w:p>
            <w:pPr>
              <w:pStyle w:val="Compact"/>
            </w:pPr>
          </w:p>
        </w:tc>
        <w:tc>
          <w:tcPr/>
          <w:p>
            <w:pPr>
              <w:pStyle w:val="Compact"/>
              <w:jc w:val="right"/>
            </w:pPr>
            <w:r>
              <w:t xml:space="preserve">19,200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57,600</w:t>
            </w:r>
          </w:p>
        </w:tc>
      </w:tr>
    </w:tbl>
    <w:p>
      <w:pPr>
        <w:pStyle w:val="BodyText"/>
      </w:pPr>
      <w:r>
        <w:t xml:space="preserve">Corrections made to the team spreadsheet (kept as</w:t>
      </w:r>
      <w:r>
        <w:t xml:space="preserve"> </w:t>
      </w:r>
      <w:r>
        <w:rPr>
          <w:rStyle w:val="VerbatimChar"/>
        </w:rPr>
        <w:t xml:space="preserve">Accounting_corrected.csv</w:t>
      </w:r>
      <w:r>
        <w:t xml:space="preserve">; the originals are untouched):</w:t>
      </w:r>
      <w:r>
        <w:t xml:space="preserve"> </w:t>
      </w:r>
      <w:r>
        <w:t xml:space="preserve">1.</w:t>
      </w:r>
      <w:r>
        <w:t xml:space="preserve"> </w:t>
      </w:r>
      <w:r>
        <w:rPr>
          <w:bCs/>
          <w:b/>
        </w:rPr>
        <w:t xml:space="preserve">Site.</w:t>
      </w:r>
      <w:r>
        <w:t xml:space="preserve"> </w:t>
      </w:r>
      <w:r>
        <w:t xml:space="preserve">The Darlington New Nuclear Project is in Clarington, Ontario, not Ottawa.</w:t>
      </w:r>
      <w:r>
        <w:t xml:space="preserve"> </w:t>
      </w:r>
      <w:r>
        <w:t xml:space="preserve">2.</w:t>
      </w:r>
      <w:r>
        <w:t xml:space="preserve"> </w:t>
      </w:r>
      <w:r>
        <w:rPr>
          <w:bCs/>
          <w:b/>
        </w:rPr>
        <w:t xml:space="preserve">Tunnel boring.</w:t>
      </w:r>
      <w:r>
        <w:t xml:space="preserve"> </w:t>
      </w:r>
      <w:r>
        <w:t xml:space="preserve">The 4,127.29 m³ in the assumptions file is the forebay concrete (4,000 m³) plus its rebar (127.39 m³), not a bored volume. Tunnel-boring energy sits in the construction uplift until data exist.</w:t>
      </w:r>
      <w:r>
        <w:t xml:space="preserve"> </w:t>
      </w:r>
      <w:r>
        <w:t xml:space="preserve">3.</w:t>
      </w:r>
      <w:r>
        <w:t xml:space="preserve"> </w:t>
      </w:r>
      <w:r>
        <w:rPr>
          <w:bCs/>
          <w:b/>
        </w:rPr>
        <w:t xml:space="preserve">Scope.</w:t>
      </w:r>
      <w:r>
        <w:t xml:space="preserve"> </w:t>
      </w:r>
      <w:r>
        <w:t xml:space="preserve">The forebay and basemat-module rows describe one milestone of one Unit 1 structure and are labelled partial; the whole-unit rows replace them.</w:t>
      </w:r>
      <w:r>
        <w:t xml:space="preserve"> </w:t>
      </w:r>
      <w:r>
        <w:t xml:space="preserve">4.</w:t>
      </w:r>
      <w:r>
        <w:t xml:space="preserve"> </w:t>
      </w:r>
      <w:r>
        <w:rPr>
          <w:bCs/>
          <w:b/>
        </w:rPr>
        <w:t xml:space="preserve">Rebar</w:t>
      </w:r>
      <w:r>
        <w:t xml:space="preserve"> </w:t>
      </w:r>
      <w:r>
        <w:t xml:space="preserve">uses a recycled-content (electric-arc furnace) factor, not virgin steel, and construction electricity is not assumed renewable.</w:t>
      </w:r>
    </w:p>
    <w:bookmarkEnd w:id="83"/>
    <w:bookmarkStart w:id="84"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pPr>
      <w:r>
        <w:rPr>
          <w:iCs/>
          <w:i/>
        </w:rPr>
        <w:t xml:space="preserve">Table A5.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Baseline concrete (OPC, M50)</w:t>
            </w:r>
          </w:p>
        </w:tc>
        <w:tc>
          <w:tcPr/>
          <w:p>
            <w:pPr>
              <w:pStyle w:val="Compact"/>
              <w:jc w:val="left"/>
            </w:pPr>
            <w:r>
              <w:t xml:space="preserve">380</w:t>
            </w:r>
          </w:p>
        </w:tc>
        <w:tc>
          <w:tcPr/>
          <w:p>
            <w:pPr>
              <w:pStyle w:val="Compact"/>
              <w:jc w:val="left"/>
            </w:pPr>
            <w:r>
              <w:t xml:space="preserve">330–420</w:t>
            </w:r>
          </w:p>
        </w:tc>
        <w:tc>
          <w:tcPr/>
          <w:p>
            <w:pPr>
              <w:pStyle w:val="Compact"/>
              <w:jc w:val="left"/>
            </w:pPr>
            <w:r>
              <w:t xml:space="preserve">kg CO₂e/m³</w:t>
            </w:r>
          </w:p>
        </w:tc>
        <w:tc>
          <w:tcPr/>
          <w:p>
            <w:pPr>
              <w:pStyle w:val="Compact"/>
              <w:jc w:val="left"/>
            </w:pPr>
            <w:r>
              <w:t xml:space="preserve">Pillai et al. (2019), as reported; range from Canadian Ready-Mixed Concrete Association (2022)</w:t>
            </w:r>
          </w:p>
        </w:tc>
      </w:tr>
      <w:tr>
        <w:tc>
          <w:tcPr/>
          <w:p>
            <w:pPr>
              <w:pStyle w:val="Compact"/>
              <w:jc w:val="left"/>
            </w:pPr>
            <w:r>
              <w:t xml:space="preserve">LC³ concrete</w:t>
            </w:r>
          </w:p>
        </w:tc>
        <w:tc>
          <w:tcPr/>
          <w:p>
            <w:pPr>
              <w:pStyle w:val="Compact"/>
              <w:jc w:val="left"/>
            </w:pPr>
            <w:r>
              <w:t xml:space="preserve">270</w:t>
            </w:r>
          </w:p>
        </w:tc>
        <w:tc>
          <w:tcPr/>
          <w:p>
            <w:pPr>
              <w:pStyle w:val="Compact"/>
              <w:jc w:val="left"/>
            </w:pPr>
            <w:r>
              <w:t xml:space="preserve">cut 28.9% (22–39%)</w:t>
            </w:r>
          </w:p>
        </w:tc>
        <w:tc>
          <w:tcPr/>
          <w:p>
            <w:pPr>
              <w:pStyle w:val="Compact"/>
              <w:jc w:val="left"/>
            </w:pPr>
            <w:r>
              <w:t xml:space="preserve">kg CO₂e/m³</w:t>
            </w:r>
          </w:p>
        </w:tc>
        <w:tc>
          <w:tcPr/>
          <w:p>
            <w:pPr>
              <w:pStyle w:val="Compact"/>
              <w:jc w:val="left"/>
            </w:pPr>
            <w:r>
              <w:t xml:space="preserve">Pillai et al. (2019), as reported; range assumed</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limit (a policy ceiling, not an industry average), used as a proxy; high assumed for forged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w:t>
            </w:r>
          </w:p>
        </w:tc>
        <w:tc>
          <w:tcPr/>
          <w:p>
            <w:pPr>
              <w:pStyle w:val="Compact"/>
              <w:jc w:val="left"/>
            </w:pPr>
            <w:r>
              <w:t xml:space="preserve">US EPA (2024); lows assumed</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cut off</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back end by difference; ranges assumed for transfer to one BWRX-300</w:t>
            </w:r>
          </w:p>
        </w:tc>
      </w:tr>
      <w:tr>
        <w:tc>
          <w:tcPr/>
          <w:p>
            <w:pPr>
              <w:pStyle w:val="Compact"/>
              <w:jc w:val="left"/>
            </w:pPr>
            <w:r>
              <w:rPr>
                <w:iCs/>
                <w:i/>
              </w:rPr>
              <w:t xml:space="preserve">Cross-check and slag only:</w:t>
            </w:r>
            <w:r>
              <w:t xml:space="preserve"> </w:t>
            </w:r>
            <w:r>
              <w:t xml:space="preserve">GU cement</w:t>
            </w:r>
          </w:p>
        </w:tc>
        <w:tc>
          <w:tcPr/>
          <w:p>
            <w:pPr>
              <w:pStyle w:val="Compact"/>
              <w:jc w:val="left"/>
            </w:pPr>
            <w:r>
              <w:t xml:space="preserve">854</w:t>
            </w:r>
          </w:p>
        </w:tc>
        <w:tc>
          <w:tcPr/>
          <w:p>
            <w:pPr>
              <w:pStyle w:val="Compact"/>
              <w:jc w:val="left"/>
            </w:pPr>
            <w:r>
              <w:t xml:space="preserve">796–898 (regional spread)</w:t>
            </w:r>
          </w:p>
        </w:tc>
        <w:tc>
          <w:tcPr/>
          <w:p>
            <w:pPr>
              <w:pStyle w:val="Compact"/>
              <w:jc w:val="left"/>
            </w:pPr>
            <w:r>
              <w:t xml:space="preserve">kg CO₂e/t</w:t>
            </w:r>
          </w:p>
        </w:tc>
        <w:tc>
          <w:tcPr/>
          <w:p>
            <w:pPr>
              <w:pStyle w:val="Compact"/>
              <w:jc w:val="left"/>
            </w:pPr>
            <w:r>
              <w:t xml:space="preserve">Cement Association of Canada (2022), Central region; St Marys Bowmanville declaration (NRMCA, 2021) to replace it</w:t>
            </w:r>
          </w:p>
        </w:tc>
      </w:tr>
      <w:tr>
        <w:tc>
          <w:tcPr/>
          <w:p>
            <w:pPr>
              <w:pStyle w:val="Compact"/>
              <w:jc w:val="left"/>
            </w:pPr>
            <w:r>
              <w:rPr>
                <w:iCs/>
                <w:i/>
              </w:rPr>
              <w:t xml:space="preserve">Cross-check and slag only:</w:t>
            </w:r>
            <w:r>
              <w:t xml:space="preserve"> </w:t>
            </w: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w:t>
            </w:r>
          </w:p>
        </w:tc>
      </w:tr>
      <w:tr>
        <w:tc>
          <w:tcPr/>
          <w:p>
            <w:pPr>
              <w:pStyle w:val="Compact"/>
              <w:jc w:val="left"/>
            </w:pPr>
            <w:r>
              <w:rPr>
                <w:iCs/>
                <w:i/>
              </w:rPr>
              <w:t xml:space="preserve">Cross-check only:</w:t>
            </w:r>
            <w:r>
              <w:t xml:space="preserve"> </w:t>
            </w:r>
            <w:r>
              <w:t xml:space="preserve">binder content (infill; other)</w:t>
            </w:r>
          </w:p>
        </w:tc>
        <w:tc>
          <w:tcPr/>
          <w:p>
            <w:pPr>
              <w:pStyle w:val="Compact"/>
              <w:jc w:val="left"/>
            </w:pPr>
            <w:r>
              <w:t xml:space="preserve">450; 350</w:t>
            </w:r>
          </w:p>
        </w:tc>
        <w:tc>
          <w:tcPr/>
          <w:p>
            <w:pPr>
              <w:pStyle w:val="Compact"/>
              <w:jc w:val="left"/>
            </w:pPr>
            <w:r>
              <w:t xml:space="preserve">400–550; 300–420</w:t>
            </w:r>
          </w:p>
        </w:tc>
        <w:tc>
          <w:tcPr/>
          <w:p>
            <w:pPr>
              <w:pStyle w:val="Compact"/>
              <w:jc w:val="left"/>
            </w:pPr>
            <w:r>
              <w:t xml:space="preserve">kg/m³</w:t>
            </w:r>
          </w:p>
        </w:tc>
        <w:tc>
          <w:tcPr/>
          <w:p>
            <w:pPr>
              <w:pStyle w:val="Compact"/>
              <w:jc w:val="left"/>
            </w:pPr>
            <w:r>
              <w:t xml:space="preserve">EFNARC (2005) for the SCC range; central and high assumed</w:t>
            </w:r>
          </w:p>
        </w:tc>
      </w:tr>
      <w:tr>
        <w:tc>
          <w:tcPr/>
          <w:p>
            <w:pPr>
              <w:pStyle w:val="Compact"/>
              <w:jc w:val="left"/>
            </w:pPr>
            <w:r>
              <w:rPr>
                <w:iCs/>
                <w:i/>
              </w:rPr>
              <w:t xml:space="preserve">Cross-check only:</w:t>
            </w:r>
            <w:r>
              <w:t xml:space="preserve"> </w:t>
            </w:r>
            <w:r>
              <w:t xml:space="preserve">clinker factor GU; LC³</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bl>
    <w:p>
      <w:pPr>
        <w:pStyle w:val="BodyText"/>
      </w:pPr>
      <w:r>
        <w:rPr>
          <w:bCs/>
          <w:b/>
        </w:rPr>
        <w:t xml:space="preserve">The LC³ cut.</w:t>
      </w:r>
      <w:r>
        <w:t xml:space="preserve"> </w:t>
      </w:r>
      <w:r>
        <w:t xml:space="preserve">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pPr>
      <w:r>
        <w:rPr>
          <w:bCs/>
          <w:b/>
        </w:rPr>
        <w:t xml:space="preserve">Check on the baseline factor.</w:t>
      </w:r>
      <w:r>
        <w:t xml:space="preserve"> </w:t>
      </w:r>
      <w:r>
        <w:t xml:space="preserve">380 kg CO₂e/m³ lies between the cross-check’s binder-level mixes (329 and 414) and between the Ontario industry baseline of 334 and the 417 benchmark mix (Canadian Ready-Mixed Concrete Association, 2022).</w:t>
      </w:r>
    </w:p>
    <w:bookmarkEnd w:id="84"/>
    <w:bookmarkStart w:id="85" w:name="a6.-concrete-and-the-c1-scenarios"/>
    <w:p>
      <w:pPr>
        <w:pStyle w:val="Heading3"/>
      </w:pPr>
      <w:r>
        <w:t xml:space="preserve">A6. Concrete and the C1 scenarios</w:t>
      </w:r>
    </w:p>
    <w:p>
      <w:pPr>
        <w:pStyle w:val="FirstParagraph"/>
      </w:pPr>
      <w:r>
        <w:rPr>
          <w:bCs/>
          <w:b/>
        </w:rPr>
        <w:t xml:space="preserve">Result.</w:t>
      </w:r>
      <w:r>
        <w:t xml:space="preserve"> </w:t>
      </w:r>
      <w:r>
        <w:t xml:space="preserve">LC³ on 40% of plant concrete saves 2,200 t CO₂e per unit (28.9% of that concrete’s emissions) and avoids about 2,940 t of clinker; a slag blend saves 2,288 t.</w:t>
      </w:r>
    </w:p>
    <w:p>
      <w:pPr>
        <w:pStyle w:val="BodyText"/>
      </w:pPr>
      <w:r>
        <w:rPr>
          <w:bCs/>
          <w:b/>
        </w:rPr>
        <w:t xml:space="preserve">Baseline S0</w:t>
      </w:r>
      <w:r>
        <w:t xml:space="preserve"> </w:t>
      </w:r>
      <w:r>
        <w:t xml:space="preserve">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numPr>
          <w:ilvl w:val="0"/>
          <w:numId w:val="1005"/>
        </w:numPr>
        <w:pStyle w:val="Compact"/>
      </w:pPr>
      <w:r>
        <w:rPr>
          <w:bCs/>
          <w:b/>
        </w:rPr>
        <w:t xml:space="preserve">LC³ (C1):</w:t>
      </w:r>
      <w:r>
        <w:t xml:space="preserve"> </w:t>
      </w:r>
      <w:r>
        <w:t xml:space="preserve">saving = V_eligible × (380 − 270) / 1,000 = 20,000 × 0.110 =</w:t>
      </w:r>
      <w:r>
        <w:t xml:space="preserve"> </w:t>
      </w:r>
      <w:r>
        <w:rPr>
          <w:bCs/>
          <w:b/>
        </w:rPr>
        <w:t xml:space="preserve">2,200 t</w:t>
      </w:r>
      <w:r>
        <w:t xml:space="preserve">; 10,000 m³ gives 1,100 t and 30,000 m³ gives 3,300 t. Share of the mode-case life cycle: 2,200 / 406,462 = 0.54%; the Monte Carlo median is lower (0.36%) because the total grows with the skewed inputs while the saving barely moves (§6.4).</w:t>
      </w:r>
    </w:p>
    <w:p>
      <w:pPr>
        <w:numPr>
          <w:ilvl w:val="0"/>
          <w:numId w:val="1005"/>
        </w:numPr>
        <w:pStyle w:val="Compact"/>
      </w:pPr>
      <w:r>
        <w:rPr>
          <w:bCs/>
          <w:b/>
        </w:rPr>
        <w:t xml:space="preserve">Slag (S1, fallback):</w:t>
      </w:r>
      <w:r>
        <w:t xml:space="preserve"> </w:t>
      </w:r>
      <w:r>
        <w:t xml:space="preserve">the model’s binder-level cut for 40% slag is 0.4 × (1 − 146.6/854) = 33.1% of binder emissions, which is 30.1% of the concrete’s (binder is 91% of a 350 kg/m³ mix’s emissions), applied to 380 kg/m³: 20,000 × 0.114 =</w:t>
      </w:r>
      <w:r>
        <w:t xml:space="preserve"> </w:t>
      </w:r>
      <w:r>
        <w:rPr>
          <w:bCs/>
          <w:b/>
        </w:rPr>
        <w:t xml:space="preserve">2,288 t</w:t>
      </w:r>
      <w:r>
        <w:t xml:space="preserve">.</w:t>
      </w:r>
    </w:p>
    <w:p>
      <w:pPr>
        <w:numPr>
          <w:ilvl w:val="0"/>
          <w:numId w:val="1005"/>
        </w:numPr>
        <w:pStyle w:val="Compact"/>
      </w:pPr>
      <w:r>
        <w:rPr>
          <w:bCs/>
          <w:b/>
        </w:rPr>
        <w:t xml:space="preserve">Clinker (indicative):</w:t>
      </w:r>
      <w:r>
        <w:t xml:space="preserve"> </w:t>
      </w:r>
      <w:r>
        <w:t xml:space="preserve">clinker avoided = V × b × (0.92 − 0.50) / 1,000 with b = 350 kg/m³: 20,000 × 0.147 =</w:t>
      </w:r>
      <w:r>
        <w:t xml:space="preserve"> </w:t>
      </w:r>
      <w:r>
        <w:rPr>
          <w:bCs/>
          <w:b/>
        </w:rPr>
        <w:t xml:space="preserve">2,940 t</w:t>
      </w:r>
      <w:r>
        <w:t xml:space="preserve">. Pillai’s binder content is not known to us, so this is indicative.</w:t>
      </w:r>
    </w:p>
    <w:p>
      <w:pPr>
        <w:numPr>
          <w:ilvl w:val="0"/>
          <w:numId w:val="1005"/>
        </w:numPr>
        <w:pStyle w:val="Compact"/>
      </w:pPr>
      <w:r>
        <w:rPr>
          <w:bCs/>
          <w:b/>
        </w:rPr>
        <w:t xml:space="preserve">Units 2–4</w:t>
      </w:r>
      <w:r>
        <w:t xml:space="preserve"> </w:t>
      </w:r>
      <w:r>
        <w:t xml:space="preserve">= 3 × per unit, because Unit 1’s basemat is placed. Whether Unit 1’s shaft-wall infill could still use LC³ is unknown.</w:t>
      </w:r>
    </w:p>
    <w:p>
      <w:pPr>
        <w:pStyle w:val="FirstParagraph"/>
      </w:pPr>
      <w:r>
        <w:rPr>
          <w:iCs/>
          <w:i/>
        </w:rPr>
        <w:t xml:space="preserve">Table A6. C1 scenario totals, mode case. Shares divide by the mode-case life-cycle total of the row’s own basis (main 406,462 t; cross-check 383,243 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w:t>
            </w:r>
          </w:p>
        </w:tc>
        <w:tc>
          <w:tcPr/>
          <w:p>
            <w:pPr>
              <w:pStyle w:val="Compact"/>
              <w:jc w:val="right"/>
            </w:pPr>
            <w:r>
              <w:t xml:space="preserve">g/kWh saved</w:t>
            </w:r>
          </w:p>
        </w:tc>
      </w:tr>
      <w:tr>
        <w:tc>
          <w:tcPr/>
          <w:p>
            <w:pPr>
              <w:pStyle w:val="Compact"/>
              <w:jc w:val="left"/>
            </w:pPr>
            <w:r>
              <w:t xml:space="preserve">LC³ on 20% of plant concrete</w:t>
            </w:r>
          </w:p>
        </w:tc>
        <w:tc>
          <w:tcPr/>
          <w:p>
            <w:pPr>
              <w:pStyle w:val="Compact"/>
              <w:jc w:val="right"/>
            </w:pPr>
            <w:r>
              <w:t xml:space="preserve">1,100</w:t>
            </w:r>
          </w:p>
        </w:tc>
        <w:tc>
          <w:tcPr/>
          <w:p>
            <w:pPr>
              <w:pStyle w:val="Compact"/>
              <w:jc w:val="right"/>
            </w:pPr>
            <w:r>
              <w:t xml:space="preserve">3,300</w:t>
            </w:r>
          </w:p>
        </w:tc>
        <w:tc>
          <w:tcPr/>
          <w:p>
            <w:pPr>
              <w:pStyle w:val="Compact"/>
              <w:jc w:val="right"/>
            </w:pPr>
            <w:r>
              <w:t xml:space="preserve">1,470 (4,410)</w:t>
            </w:r>
          </w:p>
        </w:tc>
        <w:tc>
          <w:tcPr/>
          <w:p>
            <w:pPr>
              <w:pStyle w:val="Compact"/>
              <w:jc w:val="right"/>
            </w:pPr>
            <w:r>
              <w:t xml:space="preserve">28.9</w:t>
            </w:r>
          </w:p>
        </w:tc>
        <w:tc>
          <w:tcPr/>
          <w:p>
            <w:pPr>
              <w:pStyle w:val="Compact"/>
              <w:jc w:val="right"/>
            </w:pPr>
            <w:r>
              <w:t xml:space="preserve">0.271</w:t>
            </w:r>
          </w:p>
        </w:tc>
        <w:tc>
          <w:tcPr/>
          <w:p>
            <w:pPr>
              <w:pStyle w:val="Compact"/>
              <w:jc w:val="right"/>
            </w:pPr>
            <w:r>
              <w:t xml:space="preserve">0.0078</w:t>
            </w:r>
          </w:p>
        </w:tc>
      </w:tr>
      <w:tr>
        <w:tc>
          <w:tcPr/>
          <w:p>
            <w:pPr>
              <w:pStyle w:val="Compact"/>
              <w:jc w:val="left"/>
            </w:pPr>
            <w:r>
              <w:rPr>
                <w:bCs/>
                <w:b/>
              </w:rPr>
              <w:t xml:space="preserve">LC³ on 40% (central)</w:t>
            </w:r>
          </w:p>
        </w:tc>
        <w:tc>
          <w:tcPr/>
          <w:p>
            <w:pPr>
              <w:pStyle w:val="Compact"/>
              <w:jc w:val="right"/>
            </w:pPr>
            <w:r>
              <w:rPr>
                <w:bCs/>
                <w:b/>
              </w:rPr>
              <w:t xml:space="preserve">2,200</w:t>
            </w:r>
          </w:p>
        </w:tc>
        <w:tc>
          <w:tcPr/>
          <w:p>
            <w:pPr>
              <w:pStyle w:val="Compact"/>
              <w:jc w:val="right"/>
            </w:pPr>
            <w:r>
              <w:rPr>
                <w:bCs/>
                <w:b/>
              </w:rPr>
              <w:t xml:space="preserve">6,600</w:t>
            </w:r>
          </w:p>
        </w:tc>
        <w:tc>
          <w:tcPr/>
          <w:p>
            <w:pPr>
              <w:pStyle w:val="Compact"/>
              <w:jc w:val="right"/>
            </w:pPr>
            <w:r>
              <w:rPr>
                <w:bCs/>
                <w:b/>
              </w:rPr>
              <w:t xml:space="preserve">2,940 (8,820)</w:t>
            </w:r>
          </w:p>
        </w:tc>
        <w:tc>
          <w:tcPr/>
          <w:p>
            <w:pPr>
              <w:pStyle w:val="Compact"/>
              <w:jc w:val="right"/>
            </w:pPr>
            <w:r>
              <w:rPr>
                <w:bCs/>
                <w:b/>
              </w:rPr>
              <w:t xml:space="preserve">28.9</w:t>
            </w:r>
          </w:p>
        </w:tc>
        <w:tc>
          <w:tcPr/>
          <w:p>
            <w:pPr>
              <w:pStyle w:val="Compact"/>
              <w:jc w:val="right"/>
            </w:pPr>
            <w:r>
              <w:rPr>
                <w:bCs/>
                <w:b/>
              </w:rPr>
              <w:t xml:space="preserve">0.541</w:t>
            </w:r>
          </w:p>
        </w:tc>
        <w:tc>
          <w:tcPr/>
          <w:p>
            <w:pPr>
              <w:pStyle w:val="Compact"/>
              <w:jc w:val="right"/>
            </w:pPr>
            <w:r>
              <w:rPr>
                <w:bCs/>
                <w:b/>
              </w:rPr>
              <w:t xml:space="preserve">0.0155</w:t>
            </w:r>
          </w:p>
        </w:tc>
      </w:tr>
      <w:tr>
        <w:tc>
          <w:tcPr/>
          <w:p>
            <w:pPr>
              <w:pStyle w:val="Compact"/>
              <w:jc w:val="left"/>
            </w:pPr>
            <w:r>
              <w:t xml:space="preserve">LC³ on 60% of plant concrete</w:t>
            </w:r>
          </w:p>
        </w:tc>
        <w:tc>
          <w:tcPr/>
          <w:p>
            <w:pPr>
              <w:pStyle w:val="Compact"/>
              <w:jc w:val="right"/>
            </w:pPr>
            <w:r>
              <w:t xml:space="preserve">3,300</w:t>
            </w:r>
          </w:p>
        </w:tc>
        <w:tc>
          <w:tcPr/>
          <w:p>
            <w:pPr>
              <w:pStyle w:val="Compact"/>
              <w:jc w:val="right"/>
            </w:pPr>
            <w:r>
              <w:t xml:space="preserve">9,900</w:t>
            </w:r>
          </w:p>
        </w:tc>
        <w:tc>
          <w:tcPr/>
          <w:p>
            <w:pPr>
              <w:pStyle w:val="Compact"/>
              <w:jc w:val="right"/>
            </w:pPr>
            <w:r>
              <w:t xml:space="preserve">4,410 (13,230)</w:t>
            </w:r>
          </w:p>
        </w:tc>
        <w:tc>
          <w:tcPr/>
          <w:p>
            <w:pPr>
              <w:pStyle w:val="Compact"/>
              <w:jc w:val="right"/>
            </w:pPr>
            <w:r>
              <w:t xml:space="preserve">28.9</w:t>
            </w:r>
          </w:p>
        </w:tc>
        <w:tc>
          <w:tcPr/>
          <w:p>
            <w:pPr>
              <w:pStyle w:val="Compact"/>
              <w:jc w:val="right"/>
            </w:pPr>
            <w:r>
              <w:t xml:space="preserve">0.812</w:t>
            </w:r>
          </w:p>
        </w:tc>
        <w:tc>
          <w:tcPr/>
          <w:p>
            <w:pPr>
              <w:pStyle w:val="Compact"/>
              <w:jc w:val="right"/>
            </w:pPr>
            <w:r>
              <w:t xml:space="preserve">0.0233</w:t>
            </w:r>
          </w:p>
        </w:tc>
      </w:tr>
      <w:tr>
        <w:tc>
          <w:tcPr/>
          <w:p>
            <w:pPr>
              <w:pStyle w:val="Compact"/>
              <w:jc w:val="left"/>
            </w:pPr>
            <w:r>
              <w:t xml:space="preserve">Slag blend on the same 40% (fallback)</w:t>
            </w:r>
          </w:p>
        </w:tc>
        <w:tc>
          <w:tcPr/>
          <w:p>
            <w:pPr>
              <w:pStyle w:val="Compact"/>
              <w:jc w:val="right"/>
            </w:pPr>
            <w:r>
              <w:t xml:space="preserve">2,288</w:t>
            </w:r>
          </w:p>
        </w:tc>
        <w:tc>
          <w:tcPr/>
          <w:p>
            <w:pPr>
              <w:pStyle w:val="Compact"/>
              <w:jc w:val="right"/>
            </w:pPr>
            <w:r>
              <w:t xml:space="preserve">6,865</w:t>
            </w:r>
          </w:p>
        </w:tc>
        <w:tc>
          <w:tcPr/>
          <w:p>
            <w:pPr>
              <w:pStyle w:val="Compact"/>
              <w:jc w:val="right"/>
            </w:pPr>
            <w:r>
              <w:t xml:space="preserve">2,576 (7,728)</w:t>
            </w:r>
          </w:p>
        </w:tc>
        <w:tc>
          <w:tcPr/>
          <w:p>
            <w:pPr>
              <w:pStyle w:val="Compact"/>
              <w:jc w:val="right"/>
            </w:pPr>
            <w:r>
              <w:t xml:space="preserve">30.1</w:t>
            </w:r>
          </w:p>
        </w:tc>
        <w:tc>
          <w:tcPr/>
          <w:p>
            <w:pPr>
              <w:pStyle w:val="Compact"/>
              <w:jc w:val="right"/>
            </w:pPr>
            <w:r>
              <w:t xml:space="preserve">0.563</w:t>
            </w:r>
          </w:p>
        </w:tc>
        <w:tc>
          <w:tcPr/>
          <w:p>
            <w:pPr>
              <w:pStyle w:val="Compact"/>
              <w:jc w:val="right"/>
            </w:pPr>
            <w:r>
              <w:t xml:space="preserve">0.0161</w:t>
            </w:r>
          </w:p>
        </w:tc>
      </w:tr>
      <w:tr>
        <w:tc>
          <w:tcPr/>
          <w:p>
            <w:pPr>
              <w:pStyle w:val="Compact"/>
              <w:jc w:val="left"/>
            </w:pPr>
            <w:r>
              <w:rPr>
                <w:iCs/>
                <w:i/>
              </w:rPr>
              <w:t xml:space="preserve">Cross-check:</w:t>
            </w:r>
            <w:r>
              <w:t xml:space="preserve"> </w:t>
            </w:r>
            <w:r>
              <w:t xml:space="preserve">slag in infill and forebay</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iCs/>
                <w:i/>
              </w:rPr>
              <w:t xml:space="preserve">Cross-check:</w:t>
            </w:r>
            <w:r>
              <w:t xml:space="preserve"> </w:t>
            </w:r>
            <w:r>
              <w:t xml:space="preserve">LC³ in infill and forebay</w:t>
            </w:r>
          </w:p>
        </w:tc>
        <w:tc>
          <w:tcPr/>
          <w:p>
            <w:pPr>
              <w:pStyle w:val="Compact"/>
              <w:jc w:val="right"/>
            </w:pPr>
            <w:r>
              <w:t xml:space="preserve">1,734</w:t>
            </w:r>
          </w:p>
        </w:tc>
        <w:tc>
          <w:tcPr/>
          <w:p>
            <w:pPr>
              <w:pStyle w:val="Compact"/>
              <w:jc w:val="right"/>
            </w:pPr>
            <w:r>
              <w:t xml:space="preserve">5,201</w:t>
            </w:r>
          </w:p>
        </w:tc>
        <w:tc>
          <w:tcPr/>
          <w:p>
            <w:pPr>
              <w:pStyle w:val="Compact"/>
              <w:jc w:val="right"/>
            </w:pPr>
            <w:r>
              <w:t xml:space="preserve">2,304 (6,913)</w:t>
            </w:r>
          </w:p>
        </w:tc>
        <w:tc>
          <w:tcPr/>
          <w:p>
            <w:pPr>
              <w:pStyle w:val="Compact"/>
              <w:jc w:val="right"/>
            </w:pPr>
            <w:r>
              <w:t xml:space="preserve">34.1</w:t>
            </w:r>
          </w:p>
        </w:tc>
        <w:tc>
          <w:tcPr/>
          <w:p>
            <w:pPr>
              <w:pStyle w:val="Compact"/>
              <w:jc w:val="right"/>
            </w:pPr>
            <w:r>
              <w:t xml:space="preserve">0.452</w:t>
            </w:r>
          </w:p>
        </w:tc>
        <w:tc>
          <w:tcPr/>
          <w:p>
            <w:pPr>
              <w:pStyle w:val="Compact"/>
              <w:jc w:val="right"/>
            </w:pPr>
            <w:r>
              <w:t xml:space="preserve">0.0122</w:t>
            </w:r>
          </w:p>
        </w:tc>
      </w:tr>
    </w:tbl>
    <w:p>
      <w:pPr>
        <w:pStyle w:val="BodyText"/>
      </w:pPr>
      <w:r>
        <w:t xml:space="preserve">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pPr>
      <w:r>
        <w:rPr>
          <w:bCs/>
          <w:b/>
        </w:rPr>
        <w:t xml:space="preserve">Resource use per unit of output.</w:t>
      </w:r>
      <w:r>
        <w:t xml:space="preserve"> </w:t>
      </w:r>
      <w:r>
        <w:t xml:space="preserve">Clinker avoided = 2,940 t / 1.419 × 10⁸ MWh = 0.021 kg/MWh (9.8 t per MWe). Concrete: 50,000 m³ × 2.4 t/m³ / 1.419 × 10⁸ MWh = 0.85 kg/MWh. Steel: 14,000 t / 1.419 × 10⁸ MWh = 0.099 kg/MWh.</w:t>
      </w:r>
    </w:p>
    <w:bookmarkEnd w:id="85"/>
    <w:bookmarkStart w:id="86"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57,600 t CO₂e per unit (0.406 g/kWh, mode case); concrete (19,000 t) and steel (18,520 t) are about equal.</w:t>
      </w:r>
    </w:p>
    <w:p>
      <w:pPr>
        <w:numPr>
          <w:ilvl w:val="0"/>
          <w:numId w:val="1006"/>
        </w:numPr>
        <w:pStyle w:val="Compact"/>
      </w:pPr>
      <w:r>
        <w:t xml:space="preserve">Concrete: 50,000 m³ × 380 =</w:t>
      </w:r>
      <w:r>
        <w:t xml:space="preserve"> </w:t>
      </w:r>
      <w:r>
        <w:rPr>
          <w:bCs/>
          <w:b/>
        </w:rPr>
        <w:t xml:space="preserve">19,000 t</w:t>
      </w:r>
      <w:r>
        <w:t xml:space="preserve">. Steel: 7,500 × 0.97 + 6,500 × 1.73 = 7,275 + 11,245 =</w:t>
      </w:r>
      <w:r>
        <w:t xml:space="preserve"> </w:t>
      </w:r>
      <w:r>
        <w:rPr>
          <w:bCs/>
          <w:b/>
        </w:rPr>
        <w:t xml:space="preserve">18,520 t</w:t>
      </w:r>
      <w:r>
        <w:t xml:space="preserve">.</w:t>
      </w:r>
    </w:p>
    <w:p>
      <w:pPr>
        <w:numPr>
          <w:ilvl w:val="0"/>
          <w:numId w:val="1006"/>
        </w:numPr>
        <w:pStyle w:val="Compact"/>
      </w:pPr>
      <w:r>
        <w:t xml:space="preserve">Transport to site (production-stage module A4): concrete 50,000 m³ × 2.4 t/m³ × 15 km × 0.10 kg/t-km = 180 t; steel 14,000 t × 500 km × 0.10 kg/t-km = 700 t; total</w:t>
      </w:r>
      <w:r>
        <w:t xml:space="preserve"> </w:t>
      </w:r>
      <w:r>
        <w:rPr>
          <w:bCs/>
          <w:b/>
        </w:rPr>
        <w:t xml:space="preserve">880 t</w:t>
      </w:r>
      <w:r>
        <w:t xml:space="preserve"> </w:t>
      </w:r>
      <w:r>
        <w:t xml:space="preserve">(distances assumed).</w:t>
      </w:r>
    </w:p>
    <w:p>
      <w:pPr>
        <w:numPr>
          <w:ilvl w:val="0"/>
          <w:numId w:val="1006"/>
        </w:numPr>
        <w:pStyle w:val="Compact"/>
      </w:pPr>
      <w:r>
        <w:t xml:space="preserve">Other materials and site energy (copper, cabling, insulation, site diesel and electricity, equipment beyond steel production, tunnel boring): 50% (assumption; range 25–150%) of concrete + steel + transport: 0.5 × 38,400 =</w:t>
      </w:r>
      <w:r>
        <w:t xml:space="preserve"> </w:t>
      </w:r>
      <w:r>
        <w:rPr>
          <w:bCs/>
          <w:b/>
        </w:rPr>
        <w:t xml:space="preserve">19,200 t</w:t>
      </w:r>
      <w:r>
        <w:t xml:space="preserve">.</w:t>
      </w:r>
    </w:p>
    <w:p>
      <w:pPr>
        <w:numPr>
          <w:ilvl w:val="0"/>
          <w:numId w:val="1006"/>
        </w:numPr>
        <w:pStyle w:val="Compact"/>
      </w:pPr>
      <w:r>
        <w:rPr>
          <w:bCs/>
          <w:b/>
        </w:rPr>
        <w:t xml:space="preserve">Construction total</w:t>
      </w:r>
      <w:r>
        <w:t xml:space="preserve"> </w:t>
      </w:r>
      <w:r>
        <w:t xml:space="preserve">= 19,000 + 18,520 + 880 + 19,200 =</w:t>
      </w:r>
      <w:r>
        <w:t xml:space="preserve"> </w:t>
      </w:r>
      <w:r>
        <w:rPr>
          <w:bCs/>
          <w:b/>
        </w:rPr>
        <w:t xml:space="preserve">57,600 t</w:t>
      </w:r>
      <w:r>
        <w:t xml:space="preserve">, or 57,600 / 1.419 × 10⁸ MWh =</w:t>
      </w:r>
      <w:r>
        <w:t xml:space="preserve"> </w:t>
      </w:r>
      <w:r>
        <w:rPr>
          <w:bCs/>
          <w:b/>
        </w:rPr>
        <w:t xml:space="preserve">0.406 g/kWh</w:t>
      </w:r>
      <w:r>
        <w:t xml:space="preserve">.</w:t>
      </w:r>
    </w:p>
    <w:p>
      <w:pPr>
        <w:pStyle w:val="FirstParagraph"/>
      </w:pPr>
      <w:r>
        <w:rPr>
          <w:bCs/>
          <w:b/>
        </w:rPr>
        <w:t xml:space="preserve">Steel scenarios.</w:t>
      </w:r>
      <w:r>
        <w:t xml:space="preserve"> </w:t>
      </w:r>
      <w:r>
        <w:t xml:space="preserve">S3 is a sensitivity on the baseline steel, not part of C1; only the like-for-like row compares with C1’s saving.</w:t>
      </w:r>
      <w:r>
        <w:t xml:space="preserve"> </w:t>
      </w:r>
      <w:r>
        <w:t xml:space="preserve">-</w:t>
      </w:r>
      <w:r>
        <w:t xml:space="preserve"> </w:t>
      </w:r>
      <w:r>
        <w:rPr>
          <w:bCs/>
          <w:b/>
        </w:rPr>
        <w:t xml:space="preserve">Like-for-like (target-structure steel only):</w:t>
      </w:r>
      <w:r>
        <w:t xml:space="preserve"> </w:t>
      </w:r>
      <w:r>
        <w:t xml:space="preserve">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w:t>
      </w:r>
      <w:r>
        <w:t xml:space="preserve"> </w:t>
      </w:r>
      <w:r>
        <w:rPr>
          <w:bCs/>
          <w:b/>
        </w:rPr>
        <w:t xml:space="preserve">566 t per unit</w:t>
      </w:r>
      <w:r>
        <w:t xml:space="preserve">. Shaft-wall module steel is unknown and excluded, so this is a floor.</w:t>
      </w:r>
      <w:r>
        <w:t xml:space="preserve"> </w:t>
      </w:r>
      <w:r>
        <w:t xml:space="preserve">-</w:t>
      </w:r>
      <w:r>
        <w:t xml:space="preserve"> </w:t>
      </w:r>
      <w:r>
        <w:rPr>
          <w:bCs/>
          <w:b/>
        </w:rPr>
        <w:t xml:space="preserve">Whole-plant upper bound:</w:t>
      </w:r>
      <w:r>
        <w:t xml:space="preserve"> </w:t>
      </w:r>
      <w:r>
        <w:t xml:space="preserve">all 14,000 t at the same low factors: 7,500 × 0.08 + 6,500 × 0.51 = 600 + 3,315 =</w:t>
      </w:r>
      <w:r>
        <w:t xml:space="preserve"> </w:t>
      </w:r>
      <w:r>
        <w:rPr>
          <w:bCs/>
          <w:b/>
        </w:rPr>
        <w:t xml:space="preserve">3,915 t</w:t>
      </w:r>
      <w:r>
        <w:t xml:space="preserve">. It is an upper bound because it applies a hot-rolled-sections factor to forgings and nuclear-grade plate, for which that factor is not shown to be feasible.</w:t>
      </w:r>
      <w:r>
        <w:t xml:space="preserve"> </w:t>
      </w:r>
      <w:r>
        <w:t xml:space="preserve">-</w:t>
      </w:r>
      <w:r>
        <w:t xml:space="preserve"> </w:t>
      </w:r>
      <w:r>
        <w:rPr>
          <w:bCs/>
          <w:b/>
        </w:rPr>
        <w:t xml:space="preserve">World average:</w:t>
      </w:r>
      <w:r>
        <w:t xml:space="preserve"> </w:t>
      </w:r>
      <w:r>
        <w:t xml:space="preserve">all steel at the high-range factors (rebar 1.99, plate 2.50):</w:t>
      </w:r>
      <w:r>
        <w:t xml:space="preserve"> </w:t>
      </w:r>
      <w:r>
        <w:rPr>
          <w:bCs/>
          <w:b/>
        </w:rPr>
        <w:t xml:space="preserve">−12,655 t</w:t>
      </w:r>
      <w:r>
        <w:t xml:space="preserve">; world-average steel would add emissions.</w:t>
      </w:r>
    </w:p>
    <w:p>
      <w:pPr>
        <w:pStyle w:val="BodyText"/>
      </w:pPr>
      <w:r>
        <w:rPr>
          <w:iCs/>
          <w:i/>
        </w:rPr>
        <w:t xml:space="preserve">Table A7b. Further scenarios: slag elsewhere and steel (S2b, S3), mode case and Monte Carlo (median, 5th–95th percentile).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S3 rows are steel sensitivities, not part of C1; negative means more emissions than the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CO₂e/unit: mode case; Monte Carlo</w:t>
            </w:r>
          </w:p>
        </w:tc>
        <w:tc>
          <w:tcPr/>
          <w:p>
            <w:pPr>
              <w:pStyle w:val="Compact"/>
              <w:jc w:val="left"/>
            </w:pPr>
            <w:r>
              <w:t xml:space="preserve">Units 2–4 t</w:t>
            </w:r>
          </w:p>
        </w:tc>
        <w:tc>
          <w:tcPr/>
          <w:p>
            <w:pPr>
              <w:pStyle w:val="Compact"/>
              <w:jc w:val="left"/>
            </w:pPr>
            <w:r>
              <w:t xml:space="preserve">Share of life cycle: mode case; Monte Carlo</w:t>
            </w:r>
          </w:p>
        </w:tc>
      </w:tr>
      <w:tr>
        <w:tc>
          <w:tcPr/>
          <w:p>
            <w:pPr>
              <w:pStyle w:val="Compact"/>
              <w:jc w:val="left"/>
            </w:pPr>
            <w:r>
              <w:t xml:space="preserve">S2b: LC³ on 40% plus slag in all other concrete (upper bound)</w:t>
            </w:r>
          </w:p>
        </w:tc>
        <w:tc>
          <w:tcPr/>
          <w:p>
            <w:pPr>
              <w:pStyle w:val="Compact"/>
              <w:jc w:val="left"/>
            </w:pPr>
            <w:r>
              <w:t xml:space="preserve">5,633; 5,517 (4,346–6,841)</w:t>
            </w:r>
          </w:p>
        </w:tc>
        <w:tc>
          <w:tcPr/>
          <w:p>
            <w:pPr>
              <w:pStyle w:val="Compact"/>
              <w:jc w:val="left"/>
            </w:pPr>
            <w:r>
              <w:t xml:space="preserve">16,898</w:t>
            </w:r>
          </w:p>
        </w:tc>
        <w:tc>
          <w:tcPr/>
          <w:p>
            <w:pPr>
              <w:pStyle w:val="Compact"/>
              <w:jc w:val="left"/>
            </w:pPr>
            <w:r>
              <w:t xml:space="preserve">1.39%; 0.89% (0.57–1.36)</w:t>
            </w:r>
          </w:p>
        </w:tc>
      </w:tr>
      <w:tr>
        <w:tc>
          <w:tcPr/>
          <w:p>
            <w:pPr>
              <w:pStyle w:val="Compact"/>
              <w:jc w:val="left"/>
            </w:pPr>
            <w:r>
              <w:t xml:space="preserve">S3 like-for-like: target-structure steel only</w:t>
            </w:r>
          </w:p>
        </w:tc>
        <w:tc>
          <w:tcPr/>
          <w:p>
            <w:pPr>
              <w:pStyle w:val="Compact"/>
              <w:jc w:val="left"/>
            </w:pPr>
            <w:r>
              <w:t xml:space="preserve">566; 940 (415–1,580)</w:t>
            </w:r>
          </w:p>
        </w:tc>
        <w:tc>
          <w:tcPr/>
          <w:p>
            <w:pPr>
              <w:pStyle w:val="Compact"/>
              <w:jc w:val="left"/>
            </w:pPr>
            <w:r>
              <w:t xml:space="preserve">1,698</w:t>
            </w:r>
          </w:p>
        </w:tc>
        <w:tc>
          <w:tcPr/>
          <w:p>
            <w:pPr>
              <w:pStyle w:val="Compact"/>
              <w:jc w:val="left"/>
            </w:pPr>
            <w:r>
              <w:t xml:space="preserve">0.14%; 0.15% (0.06–0.28)</w:t>
            </w:r>
          </w:p>
        </w:tc>
      </w:tr>
      <w:tr>
        <w:tc>
          <w:tcPr/>
          <w:p>
            <w:pPr>
              <w:pStyle w:val="Compact"/>
              <w:jc w:val="left"/>
            </w:pPr>
            <w:r>
              <w:t xml:space="preserve">S3 upper bound: all steel, best-practice sections factors</w:t>
            </w:r>
          </w:p>
        </w:tc>
        <w:tc>
          <w:tcPr/>
          <w:p>
            <w:pPr>
              <w:pStyle w:val="Compact"/>
              <w:jc w:val="left"/>
            </w:pPr>
            <w:r>
              <w:t xml:space="preserve">3,915; 6,428 (2,521–11,486)</w:t>
            </w:r>
          </w:p>
        </w:tc>
        <w:tc>
          <w:tcPr/>
          <w:p>
            <w:pPr>
              <w:pStyle w:val="Compact"/>
              <w:jc w:val="left"/>
            </w:pPr>
            <w:r>
              <w:t xml:space="preserve">11,745</w:t>
            </w:r>
          </w:p>
        </w:tc>
        <w:tc>
          <w:tcPr/>
          <w:p>
            <w:pPr>
              <w:pStyle w:val="Compact"/>
              <w:jc w:val="left"/>
            </w:pPr>
            <w:r>
              <w:t xml:space="preserve">0.96%; 1.03% (0.38–2.04)</w:t>
            </w:r>
          </w:p>
        </w:tc>
      </w:tr>
      <w:tr>
        <w:tc>
          <w:tcPr/>
          <w:p>
            <w:pPr>
              <w:pStyle w:val="Compact"/>
              <w:jc w:val="left"/>
            </w:pPr>
            <w:r>
              <w:t xml:space="preserve">S3 world-average steel</w:t>
            </w:r>
          </w:p>
        </w:tc>
        <w:tc>
          <w:tcPr/>
          <w:p>
            <w:pPr>
              <w:pStyle w:val="Compact"/>
              <w:jc w:val="left"/>
            </w:pPr>
            <w:r>
              <w:t xml:space="preserve">−12,655; −9,914 (−14,037 to −4,904)</w:t>
            </w:r>
          </w:p>
        </w:tc>
        <w:tc>
          <w:tcPr/>
          <w:p>
            <w:pPr>
              <w:pStyle w:val="Compact"/>
              <w:jc w:val="left"/>
            </w:pPr>
            <w:r>
              <w:t xml:space="preserve">−37,965</w:t>
            </w:r>
          </w:p>
        </w:tc>
        <w:tc>
          <w:tcPr/>
          <w:p>
            <w:pPr>
              <w:pStyle w:val="Compact"/>
              <w:jc w:val="left"/>
            </w:pPr>
            <w:r>
              <w:t xml:space="preserve">−3.11%; −1.56% (−2.70 to −0.72)</w:t>
            </w:r>
          </w:p>
        </w:tc>
      </w:tr>
    </w:tbl>
    <w:p>
      <w:pPr>
        <w:pStyle w:val="BodyText"/>
      </w:pPr>
      <w:r>
        <w:t xml:space="preserve">At the mode case LC³’s 2,200 t is 3.9 times the like-for-like steel saving (2.4 times at the Monte Carlo median) and 0.6 times the whole-plant upper bound (0.3 at the median). Within the structures C1 targets, concrete is the bigger lever; across the plant, steel is.</w:t>
      </w:r>
    </w:p>
    <w:bookmarkEnd w:id="86"/>
    <w:bookmarkStart w:id="87"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(51%) and 2.76 g/kWh on the expected basis (62%, Appendix C3). Four units need about 196 t of natural uranium and 138 tSWU a year.</w:t>
      </w:r>
    </w:p>
    <w:p>
      <w:pPr>
        <w:pStyle w:val="BodyText"/>
      </w:pPr>
      <w:r>
        <w:t xml:space="preserve">Mass balance (inputs: burnup B = 45 GWd/t, a placeholder; product assay x_p = 3.8% U-235, a placeholder from Sun and Kurosaki, 2025; feed x_f = 0.711%; tails x_t = 0.25%, an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A8a.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BWRX-300 fuel data are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A8b.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35.8%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11.5%</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9.5%</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19,200</w:t>
            </w:r>
          </w:p>
        </w:tc>
        <w:tc>
          <w:tcPr/>
          <w:p>
            <w:pPr>
              <w:pStyle w:val="Compact"/>
              <w:jc w:val="right"/>
            </w:pPr>
            <w:r>
              <w:t xml:space="preserve">4.7%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19,000</w:t>
            </w:r>
          </w:p>
        </w:tc>
        <w:tc>
          <w:tcPr/>
          <w:p>
            <w:pPr>
              <w:pStyle w:val="Compact"/>
              <w:jc w:val="right"/>
            </w:pPr>
            <w:r>
              <w:t xml:space="preserve">4.7%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3.8%</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11,245</w:t>
            </w:r>
          </w:p>
        </w:tc>
        <w:tc>
          <w:tcPr/>
          <w:p>
            <w:pPr>
              <w:pStyle w:val="Compact"/>
              <w:jc w:val="right"/>
            </w:pPr>
            <w:r>
              <w:t xml:space="preserve">2.8%</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7,275</w:t>
            </w:r>
          </w:p>
        </w:tc>
        <w:tc>
          <w:tcPr/>
          <w:p>
            <w:pPr>
              <w:pStyle w:val="Compact"/>
              <w:jc w:val="right"/>
            </w:pPr>
            <w:r>
              <w:t xml:space="preserve">1.8%</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880</w:t>
            </w:r>
          </w:p>
        </w:tc>
        <w:tc>
          <w:tcPr/>
          <w:p>
            <w:pPr>
              <w:pStyle w:val="Compact"/>
              <w:jc w:val="right"/>
            </w:pPr>
            <w:r>
              <w:t xml:space="preserve">0.2%</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406,462</w:t>
            </w:r>
          </w:p>
        </w:tc>
        <w:tc>
          <w:tcPr/>
          <w:p>
            <w:pPr>
              <w:pStyle w:val="Compact"/>
              <w:jc w:val="right"/>
            </w:pPr>
            <w:r>
              <w:rPr>
                <w:bCs/>
                <w:b/>
              </w:rPr>
              <w:t xml:space="preserve">100%</w:t>
            </w:r>
          </w:p>
        </w:tc>
      </w:tr>
      <w:tr>
        <w:tc>
          <w:tcPr/>
          <w:p>
            <w:pPr>
              <w:pStyle w:val="Compact"/>
              <w:jc w:val="left"/>
            </w:pPr>
            <w:r>
              <w:rPr>
                <w:iCs/>
                <w:i/>
              </w:rPr>
              <w:t xml:space="preserve">Of which C1-eligible concrete (40% of plant)</w:t>
            </w:r>
          </w:p>
        </w:tc>
        <w:tc>
          <w:tcPr/>
          <w:p>
            <w:pPr>
              <w:pStyle w:val="Compact"/>
              <w:jc w:val="right"/>
            </w:pPr>
            <w:r>
              <w:rPr>
                <w:iCs/>
                <w:i/>
              </w:rPr>
              <w:t xml:space="preserve">0.054</w:t>
            </w:r>
          </w:p>
        </w:tc>
        <w:tc>
          <w:tcPr/>
          <w:p>
            <w:pPr>
              <w:pStyle w:val="Compact"/>
              <w:jc w:val="right"/>
            </w:pPr>
            <w:r>
              <w:rPr>
                <w:iCs/>
                <w:i/>
              </w:rPr>
              <w:t xml:space="preserve">7,600</w:t>
            </w:r>
          </w:p>
        </w:tc>
        <w:tc>
          <w:tcPr/>
          <w:p>
            <w:pPr>
              <w:pStyle w:val="Compact"/>
              <w:jc w:val="right"/>
            </w:pPr>
            <w:r>
              <w:rPr>
                <w:iCs/>
                <w:i/>
              </w:rPr>
              <w:t xml:space="preserve">1.9%</w:t>
            </w:r>
          </w:p>
        </w:tc>
      </w:tr>
    </w:tbl>
    <w:p>
      <w:pPr>
        <w:pStyle w:val="BodyText"/>
      </w:pPr>
      <w:r>
        <w:t xml:space="preserve">Grouped (mode case): fuel front end 1.458 g/kWh (50.9%); back end and decommissioning 0.670 (23.4%); O&amp;M 0.330 (11.5%); construction 0.406 (14.2%).</w:t>
      </w:r>
    </w:p>
    <w:bookmarkEnd w:id="87"/>
    <w:bookmarkStart w:id="88" w:name="a9.-granta-edupack-eco-audit"/>
    <w:p>
      <w:pPr>
        <w:pStyle w:val="Heading3"/>
      </w:pPr>
      <w:r>
        <w:t xml:space="preserve">A9. Granta EduPack Eco Audit</w:t>
      </w:r>
    </w:p>
    <w:p>
      <w:pPr>
        <w:pStyle w:val="FirstParagraph"/>
      </w:pPr>
      <w:r>
        <w:t xml:space="preserve">A Granta EduPack Eco Audit cross-check was planned but not completed; the screening model in Appendix A is the basis of all results.</w:t>
      </w:r>
    </w:p>
    <w:p>
      <w:r>
        <w:pict>
          <v:rect style="width:0;height:1.5pt" o:hralign="center" o:hrstd="t" o:hr="t"/>
        </w:pict>
      </w:r>
    </w:p>
    <w:bookmarkEnd w:id="88"/>
    <w:bookmarkEnd w:id="89"/>
    <w:bookmarkStart w:id="132"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4"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90"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90"/>
    <w:bookmarkStart w:id="91"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91"/>
    <w:bookmarkStart w:id="92"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92"/>
    <w:bookmarkStart w:id="93"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3"/>
    <w:bookmarkEnd w:id="94"/>
    <w:bookmarkStart w:id="101"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5" w:name="b2.1-method"/>
    <w:p>
      <w:pPr>
        <w:pStyle w:val="Heading4"/>
      </w:pPr>
      <w:r>
        <w:t xml:space="preserve">B2.1 Method</w:t>
      </w:r>
    </w:p>
    <w:p>
      <w:pPr>
        <w:numPr>
          <w:ilvl w:val="0"/>
          <w:numId w:val="1007"/>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7"/>
        </w:numPr>
        <w:pStyle w:val="Compact"/>
      </w:pPr>
      <w:r>
        <w:t xml:space="preserve">HHI = Σ s</w:t>
      </w:r>
      <w:r>
        <w:rPr>
          <w:iCs/>
          <w:i/>
        </w:rPr>
        <w:t xml:space="preserve">ᵢ</w:t>
      </w:r>
      <w:r>
        <w:t xml:space="preserve">² (range 0 to 10,000; one supplier = 10,000).</w:t>
      </w:r>
    </w:p>
    <w:p>
      <w:pPr>
        <w:numPr>
          <w:ilvl w:val="0"/>
          <w:numId w:val="1007"/>
        </w:numPr>
        <w:pStyle w:val="Compact"/>
      </w:pPr>
      <w:r>
        <w:t xml:space="preserve">Equivalent number of equal-sized suppliers: N_eq = 10,000 / HHI.</w:t>
      </w:r>
    </w:p>
    <w:p>
      <w:pPr>
        <w:numPr>
          <w:ilvl w:val="0"/>
          <w:numId w:val="1007"/>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7"/>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7"/>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7"/>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5"/>
    <w:bookmarkStart w:id="96"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6"/>
    <w:bookmarkStart w:id="97"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97"/>
    <w:bookmarkStart w:id="98"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8"/>
    <w:bookmarkStart w:id="99"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99"/>
    <w:bookmarkStart w:id="100"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00"/>
    <w:bookmarkEnd w:id="101"/>
    <w:bookmarkStart w:id="103"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102" w:name="X0217c3edb9f1194b9fccb10b42373507355a848"/>
    <w:p>
      <w:pPr>
        <w:pStyle w:val="Heading4"/>
      </w:pPr>
      <w:r>
        <w:t xml:space="preserve">B3.1 Implementation levers for C1 (the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02"/>
    <w:bookmarkEnd w:id="103"/>
    <w:bookmarkStart w:id="107"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4" w:name="b4.1-method"/>
    <w:p>
      <w:pPr>
        <w:pStyle w:val="Heading4"/>
      </w:pPr>
      <w:r>
        <w:t xml:space="preserve">B4.1 Method</w:t>
      </w:r>
    </w:p>
    <w:p>
      <w:pPr>
        <w:numPr>
          <w:ilvl w:val="0"/>
          <w:numId w:val="1008"/>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8"/>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8"/>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8"/>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4"/>
    <w:bookmarkStart w:id="105"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5"/>
    <w:bookmarkStart w:id="106" w:name="b4.3-limitations"/>
    <w:p>
      <w:pPr>
        <w:pStyle w:val="Heading4"/>
      </w:pPr>
      <w:r>
        <w:t xml:space="preserve">B4.3 Limitations</w:t>
      </w:r>
    </w:p>
    <w:p>
      <w:pPr>
        <w:numPr>
          <w:ilvl w:val="0"/>
          <w:numId w:val="1009"/>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9"/>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9"/>
        </w:numPr>
        <w:pStyle w:val="Compact"/>
      </w:pPr>
      <w:r>
        <w:rPr>
          <w:bCs/>
          <w:b/>
        </w:rPr>
        <w:t xml:space="preserve">Counterfactual.</w:t>
      </w:r>
      <w:r>
        <w:t xml:space="preserve"> </w:t>
      </w:r>
      <w:r>
        <w:t xml:space="preserve">In both grids the real alternative is other new supply, not today’s grid forever (B6).</w:t>
      </w:r>
    </w:p>
    <w:p>
      <w:pPr>
        <w:numPr>
          <w:ilvl w:val="0"/>
          <w:numId w:val="1009"/>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9"/>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6"/>
    <w:bookmarkEnd w:id="107"/>
    <w:bookmarkStart w:id="114"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8" w:name="b5.1-method"/>
    <w:p>
      <w:pPr>
        <w:pStyle w:val="Heading4"/>
      </w:pPr>
      <w:r>
        <w:t xml:space="preserve">B5.1 Method</w:t>
      </w:r>
    </w:p>
    <w:p>
      <w:pPr>
        <w:numPr>
          <w:ilvl w:val="0"/>
          <w:numId w:val="1010"/>
        </w:numPr>
        <w:pStyle w:val="Compact"/>
      </w:pPr>
      <w:r>
        <w:t xml:space="preserve">Output of one unit: monthly M = E / 12 = 197,100,000 kWh; daily D = E / 365 = 6,480,000 kWh.</w:t>
      </w:r>
    </w:p>
    <w:p>
      <w:pPr>
        <w:numPr>
          <w:ilvl w:val="0"/>
          <w:numId w:val="1010"/>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0"/>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0"/>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8"/>
    <w:bookmarkStart w:id="109"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9"/>
    <w:bookmarkStart w:id="110"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10"/>
    <w:bookmarkStart w:id="111"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11"/>
    <w:bookmarkStart w:id="112"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12"/>
    <w:bookmarkStart w:id="113" w:name="b5.6-limitations"/>
    <w:p>
      <w:pPr>
        <w:pStyle w:val="Heading4"/>
      </w:pPr>
      <w:r>
        <w:t xml:space="preserve">B5.6 Limitations</w:t>
      </w:r>
    </w:p>
    <w:p>
      <w:pPr>
        <w:numPr>
          <w:ilvl w:val="0"/>
          <w:numId w:val="1011"/>
        </w:numPr>
        <w:pStyle w:val="Compact"/>
      </w:pPr>
      <w:r>
        <w:t xml:space="preserve">Average factors understate what a late baseload unit would have displaced in Ontario, where gas is on the margin.</w:t>
      </w:r>
    </w:p>
    <w:p>
      <w:pPr>
        <w:numPr>
          <w:ilvl w:val="0"/>
          <w:numId w:val="1011"/>
        </w:numPr>
        <w:pStyle w:val="Compact"/>
      </w:pPr>
      <w:r>
        <w:t xml:space="preserve">The net basis assumes the plant’s life is fixed in years, not extended.</w:t>
      </w:r>
    </w:p>
    <w:p>
      <w:pPr>
        <w:numPr>
          <w:ilvl w:val="0"/>
          <w:numId w:val="1011"/>
        </w:numPr>
        <w:pStyle w:val="Compact"/>
      </w:pPr>
      <w:r>
        <w:t xml:space="preserve">The carbon value is realised only if someone prices it. Construction-material emissions appear to fall outside Ontario’s Emissions Performance Standards (our inference).</w:t>
      </w:r>
    </w:p>
    <w:p>
      <w:pPr>
        <w:numPr>
          <w:ilvl w:val="0"/>
          <w:numId w:val="1011"/>
        </w:numPr>
        <w:pStyle w:val="Compact"/>
      </w:pPr>
      <w:r>
        <w:t xml:space="preserve">The carrying cost is an upper bound for an early slip.</w:t>
      </w:r>
    </w:p>
    <w:p>
      <w:pPr>
        <w:numPr>
          <w:ilvl w:val="0"/>
          <w:numId w:val="1011"/>
        </w:numPr>
        <w:pStyle w:val="Compact"/>
      </w:pPr>
      <w:r>
        <w:t xml:space="preserve">The eligible share (20–60%) is an assumption; the saving per m³ (0.110 t) is fixed, so volume and saving move together.</w:t>
      </w:r>
    </w:p>
    <w:p>
      <w:r>
        <w:pict>
          <v:rect style="width:0;height:1.5pt" o:hralign="center" o:hrstd="t" o:hr="t"/>
        </w:pict>
      </w:r>
    </w:p>
    <w:bookmarkEnd w:id="113"/>
    <w:bookmarkEnd w:id="114"/>
    <w:bookmarkStart w:id="119"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5"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5"/>
    <w:bookmarkStart w:id="116"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6"/>
    <w:bookmarkStart w:id="117"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7"/>
    <w:bookmarkStart w:id="118" w:name="b6.4-limitations"/>
    <w:p>
      <w:pPr>
        <w:pStyle w:val="Heading4"/>
      </w:pPr>
      <w:r>
        <w:t xml:space="preserve">B6.4 Limitations</w:t>
      </w:r>
    </w:p>
    <w:p>
      <w:pPr>
        <w:numPr>
          <w:ilvl w:val="0"/>
          <w:numId w:val="1012"/>
        </w:numPr>
        <w:pStyle w:val="Compact"/>
      </w:pPr>
      <w:r>
        <w:t xml:space="preserve">Adding several TWh a year of firmed renewables would itself change the NEM trajectory, so the comparison holds only at the margin of the stated trajectory.</w:t>
      </w:r>
    </w:p>
    <w:p>
      <w:pPr>
        <w:numPr>
          <w:ilvl w:val="0"/>
          <w:numId w:val="1012"/>
        </w:numPr>
        <w:pStyle w:val="Compact"/>
      </w:pPr>
      <w:r>
        <w:t xml:space="preserve">The LCOE of firmed renewables rises with their share, and GenCost’s integration costs cover this only up to the shares it models.</w:t>
      </w:r>
    </w:p>
    <w:p>
      <w:pPr>
        <w:numPr>
          <w:ilvl w:val="0"/>
          <w:numId w:val="1012"/>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2"/>
        </w:numPr>
        <w:pStyle w:val="Compact"/>
      </w:pPr>
      <w:r>
        <w:t xml:space="preserve">Renewable assets last about 25–30 years (GenCost). No replacement falls before 2050, but a whole-life comparison would need one.</w:t>
      </w:r>
    </w:p>
    <w:p>
      <w:pPr>
        <w:numPr>
          <w:ilvl w:val="0"/>
          <w:numId w:val="1012"/>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8"/>
    <w:bookmarkEnd w:id="119"/>
    <w:bookmarkStart w:id="126"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(the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20"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20"/>
    <w:bookmarkStart w:id="121" w:name="b7.2-method"/>
    <w:p>
      <w:pPr>
        <w:pStyle w:val="Heading4"/>
      </w:pPr>
      <w:r>
        <w:t xml:space="preserve">B7.2 Method</w:t>
      </w:r>
    </w:p>
    <w:p>
      <w:pPr>
        <w:numPr>
          <w:ilvl w:val="0"/>
          <w:numId w:val="1013"/>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3"/>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3"/>
        </w:numPr>
        <w:pStyle w:val="Compact"/>
      </w:pPr>
      <w:r>
        <w:rPr>
          <w:bCs/>
          <w:b/>
        </w:rPr>
        <w:t xml:space="preserve">Total.</w:t>
      </w:r>
      <w:r>
        <w:t xml:space="preserve"> </w:t>
      </w:r>
      <w:r>
        <w:t xml:space="preserve">T = 100 × Σ w_c s_c, with weights renormalised to sum to 1.</w:t>
      </w:r>
    </w:p>
    <w:p>
      <w:pPr>
        <w:numPr>
          <w:ilvl w:val="0"/>
          <w:numId w:val="1013"/>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3"/>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21"/>
    <w:bookmarkStart w:id="122"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22"/>
    <w:bookmarkStart w:id="123"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4"/>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4"/>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4"/>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3"/>
    <w:bookmarkStart w:id="124"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4"/>
    <w:bookmarkStart w:id="125" w:name="b7.6-limitations"/>
    <w:p>
      <w:pPr>
        <w:pStyle w:val="Heading4"/>
      </w:pPr>
      <w:r>
        <w:t xml:space="preserve">B7.6 Limitations</w:t>
      </w:r>
    </w:p>
    <w:p>
      <w:pPr>
        <w:numPr>
          <w:ilvl w:val="0"/>
          <w:numId w:val="1015"/>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5"/>
        </w:numPr>
        <w:pStyle w:val="Compact"/>
      </w:pPr>
      <w:r>
        <w:t xml:space="preserve">Local min–max scaling makes each score depend on which options are compared. The status quo’s second place changes on fixed global scales (B7.4).</w:t>
      </w:r>
    </w:p>
    <w:p>
      <w:pPr>
        <w:numPr>
          <w:ilvl w:val="0"/>
          <w:numId w:val="1015"/>
        </w:numPr>
        <w:pStyle w:val="Compact"/>
      </w:pPr>
      <w:r>
        <w:t xml:space="preserve">Renewables’ supply HHI uses solar PV only; batteries, wind turbines and transmission are not assessed, and the IEA (2022) report was not opened in full.</w:t>
      </w:r>
    </w:p>
    <w:p>
      <w:pPr>
        <w:numPr>
          <w:ilvl w:val="0"/>
          <w:numId w:val="1015"/>
        </w:numPr>
        <w:pStyle w:val="Compact"/>
      </w:pPr>
      <w:r>
        <w:t xml:space="preserve">TRL is not scored, and first-power years depend on CSIRO’s 2040 and the Coalition’s 2035 (as reported).</w:t>
      </w:r>
    </w:p>
    <w:p>
      <w:pPr>
        <w:numPr>
          <w:ilvl w:val="0"/>
          <w:numId w:val="1015"/>
        </w:numPr>
        <w:pStyle w:val="Compact"/>
      </w:pPr>
      <w:r>
        <w:t xml:space="preserve">Renewables’ 30 g/kWh and 2028 start are assumptions, and the GenCost reading is the one stated in B6. Adding several TWh of renewables would itself change the grid trajectory (B6.4).</w:t>
      </w:r>
    </w:p>
    <w:p>
      <w:pPr>
        <w:numPr>
          <w:ilvl w:val="0"/>
          <w:numId w:val="1015"/>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5"/>
    <w:bookmarkEnd w:id="126"/>
    <w:bookmarkStart w:id="131"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27" w:name="X8871295422bcc52b42d843e419a224e284f0009"/>
    <w:p>
      <w:pPr>
        <w:pStyle w:val="Heading4"/>
      </w:pPr>
      <w:r>
        <w:t xml:space="preserve">B8.1 Perceived and actual safety, and deaths avoided</w:t>
      </w:r>
    </w:p>
    <w:p>
      <w:pPr>
        <w:numPr>
          <w:ilvl w:val="0"/>
          <w:numId w:val="1016"/>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6"/>
        </w:numPr>
        <w:pStyle w:val="Compact"/>
      </w:pPr>
      <w:r>
        <w:t xml:space="preserve">Output of one unit: 300 MWe × 8,760 h × 0.9 = 2.365 TWh a year (2.102–2.497 at capacity factors of 0.80–0.95).</w:t>
      </w:r>
    </w:p>
    <w:p>
      <w:pPr>
        <w:numPr>
          <w:ilvl w:val="0"/>
          <w:numId w:val="1016"/>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7"/>
    <w:bookmarkStart w:id="128"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8"/>
    <w:bookmarkStart w:id="129"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(§9).</w:t>
      </w:r>
    </w:p>
    <w:bookmarkEnd w:id="129"/>
    <w:bookmarkStart w:id="130"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30"/>
    <w:bookmarkEnd w:id="131"/>
    <w:bookmarkEnd w:id="132"/>
    <w:bookmarkStart w:id="140"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33" w:name="c1.-set-up"/>
    <w:p>
      <w:pPr>
        <w:pStyle w:val="Heading3"/>
      </w:pPr>
      <w:r>
        <w:t xml:space="preserve">C1. Set-up</w:t>
      </w:r>
    </w:p>
    <w:p>
      <w:pPr>
        <w:numPr>
          <w:ilvl w:val="0"/>
          <w:numId w:val="1017"/>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17"/>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17"/>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17"/>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17"/>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7"/>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33"/>
    <w:bookmarkStart w:id="134"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34"/>
    <w:bookmarkStart w:id="135" w:name="X8f754cc28aabff45bd5ffa0c19e17af6b52329b"/>
    <w:p>
      <w:pPr>
        <w:pStyle w:val="Heading3"/>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35"/>
    <w:bookmarkStart w:id="136"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§6.3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36"/>
    <w:bookmarkStart w:id="137" w:name="X31250b838455e6096b9edbd1b8f7a12ed088df6"/>
    <w:p>
      <w:pPr>
        <w:pStyle w:val="Heading3"/>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8"/>
        </w:numPr>
        <w:pStyle w:val="Compact"/>
      </w:pPr>
      <w:r>
        <w:t xml:space="preserve">A triangular distribution’s mean is (low + mode + high) / 3. For conversion heat that is (26 + 26 + 665) / 3 ≈ 239 kWh/kg U, nine times the mode of 26.</w:t>
      </w:r>
    </w:p>
    <w:p>
      <w:pPr>
        <w:numPr>
          <w:ilvl w:val="0"/>
          <w:numId w:val="1018"/>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18"/>
        </w:numPr>
        <w:pStyle w:val="Compact"/>
      </w:pPr>
      <w:r>
        <w:t xml:space="preserve">C1’s saving is almost symmetric (mode 2,200 t, median 2,217 t), so its share of the total falls from 0.54% at the mode case to 0.36%.</w:t>
      </w:r>
    </w:p>
    <w:p>
      <w:pPr>
        <w:numPr>
          <w:ilvl w:val="0"/>
          <w:numId w:val="1018"/>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18"/>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§6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37"/>
    <w:bookmarkStart w:id="138" w:name="X861311e05ca973e4ff92563d183b5e9367fe19f"/>
    <w:p>
      <w:pPr>
        <w:pStyle w:val="Heading3"/>
      </w:pPr>
      <w:r>
        <w:t xml:space="preserve">C6. Limitations of the uncertainty analysis</w:t>
      </w:r>
    </w:p>
    <w:p>
      <w:pPr>
        <w:numPr>
          <w:ilvl w:val="0"/>
          <w:numId w:val="1019"/>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19"/>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19"/>
        </w:numPr>
        <w:pStyle w:val="Compact"/>
      </w:pPr>
      <w:r>
        <w:rPr>
          <w:bCs/>
          <w:b/>
        </w:rPr>
        <w:t xml:space="preserve">Triangular shape.</w:t>
      </w:r>
      <w:r>
        <w:t xml:space="preserve"> </w:t>
      </w:r>
      <w:r>
        <w:t xml:space="preserve">A convention, not a fitted distribution; Table C5 tests it for conversion heat only.</w:t>
      </w:r>
    </w:p>
    <w:p>
      <w:pPr>
        <w:numPr>
          <w:ilvl w:val="0"/>
          <w:numId w:val="1019"/>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19"/>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(C7).</w:t>
      </w:r>
    </w:p>
    <w:bookmarkEnd w:id="138"/>
    <w:bookmarkStart w:id="139" w:name="X35b5ee5f237d4555b3db06902854d0e23ac87dc"/>
    <w:p>
      <w:pPr>
        <w:pStyle w:val="Heading3"/>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§6.3.</w:t>
      </w:r>
    </w:p>
    <w:p>
      <w:r>
        <w:pict>
          <v:rect style="width:0;height:1.5pt" o:hralign="center" o:hrstd="t" o:hr="t"/>
        </w:pict>
      </w:r>
    </w:p>
    <w:bookmarkEnd w:id="139"/>
    <w:bookmarkEnd w:id="140"/>
    <w:bookmarkStart w:id="145" w:name="appendix-e.-search-log"/>
    <w:p>
      <w:pPr>
        <w:pStyle w:val="Heading2"/>
      </w:pPr>
      <w:r>
        <w:t xml:space="preserve">Appendix E. Search log</w:t>
      </w:r>
    </w:p>
    <w:bookmarkStart w:id="141" w:name="e1.-method-and-access"/>
    <w:p>
      <w:pPr>
        <w:pStyle w:val="Heading3"/>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are as given in search summaries; the patent pages were not opened, so they are indicative only.</w:t>
      </w:r>
    </w:p>
    <w:bookmarkEnd w:id="141"/>
    <w:bookmarkStart w:id="142" w:name="e2.-search-strings-and-results"/>
    <w:p>
      <w:pPr>
        <w:pStyle w:val="Heading3"/>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42"/>
    <w:bookmarkStart w:id="143" w:name="e3.-patents-kept"/>
    <w:p>
      <w:pPr>
        <w:pStyle w:val="Heading3"/>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(§4.2)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Not confirmed (search summary only); inventors named as Hunt, Dahlgren and Marquino</w:t>
            </w:r>
          </w:p>
        </w:tc>
        <w:tc>
          <w:tcPr/>
          <w:p>
            <w:pPr>
              <w:pStyle w:val="Compact"/>
              <w:jc w:val="left"/>
            </w:pPr>
            <w:r>
              <w:t xml:space="preserve">n.d.</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Not confirmed; inventors include Kirby and McDonald (GE-Hitachi staff)</w:t>
            </w:r>
          </w:p>
        </w:tc>
        <w:tc>
          <w:tcPr/>
          <w:p>
            <w:pPr>
              <w:pStyle w:val="Compact"/>
              <w:jc w:val="left"/>
            </w:pPr>
            <w:r>
              <w:t xml:space="preserve">2020</w:t>
            </w:r>
          </w:p>
        </w:tc>
        <w:tc>
          <w:tcPr/>
          <w:p>
            <w:pPr>
              <w:pStyle w:val="Compact"/>
              <w:jc w:val="left"/>
            </w:pPr>
            <w:r>
              <w:t xml:space="preserve">The below-grade shaft reactor building and the basemat poured at the bottom of the shaft (§4.2;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(as listed)</w:t>
            </w:r>
          </w:p>
        </w:tc>
        <w:tc>
          <w:tcPr/>
          <w:p>
            <w:pPr>
              <w:pStyle w:val="Compact"/>
              <w:jc w:val="left"/>
            </w:pPr>
            <w:r>
              <w:t xml:space="preserve">2014</w:t>
            </w:r>
          </w:p>
        </w:tc>
        <w:tc>
          <w:tcPr/>
          <w:p>
            <w:pPr>
              <w:pStyle w:val="Compact"/>
              <w:jc w:val="left"/>
            </w:pPr>
            <w:r>
              <w:t xml:space="preserve">Reported to cover calcined clays of lower kaolinite content (below 40%), which would widen the clay supply for LC³ (§5)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Limestone calcined clay cement using low-temperature calcined clay (title as listed by ZKG)</w:t>
            </w:r>
          </w:p>
        </w:tc>
        <w:tc>
          <w:tcPr/>
          <w:p>
            <w:pPr>
              <w:pStyle w:val="Compact"/>
              <w:jc w:val="left"/>
            </w:pPr>
            <w:r>
              <w:t xml:space="preserve">Not confirmed</w:t>
            </w:r>
          </w:p>
        </w:tc>
        <w:tc>
          <w:tcPr/>
          <w:p>
            <w:pPr>
              <w:pStyle w:val="Compact"/>
              <w:jc w:val="left"/>
            </w:pPr>
            <w:r>
              <w:t xml:space="preserve">n.d.</w:t>
            </w:r>
          </w:p>
        </w:tc>
        <w:tc>
          <w:tcPr/>
          <w:p>
            <w:pPr>
              <w:pStyle w:val="Compact"/>
              <w:jc w:val="left"/>
            </w:pPr>
            <w:r>
              <w:t xml:space="preserve">Listed by ZKG as LC³ using low-temperature calcined clay; details not seen</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w:t>
            </w:r>
          </w:p>
        </w:tc>
        <w:tc>
          <w:tcPr/>
          <w:p>
            <w:pPr>
              <w:pStyle w:val="Compact"/>
              <w:jc w:val="left"/>
            </w:pPr>
            <w:r>
              <w:t xml:space="preserve">Filed 2021</w:t>
            </w:r>
          </w:p>
        </w:tc>
        <w:tc>
          <w:tcPr/>
          <w:p>
            <w:pPr>
              <w:pStyle w:val="Compact"/>
              <w:jc w:val="left"/>
            </w:pPr>
            <w:r>
              <w:t xml:space="preserve">Admixture-modified LC³ binder: an admixture supplier is patenting LC³ compositions (§10)</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(§10)</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bookmarkEnd w:id="143"/>
    <w:bookmarkStart w:id="144" w:name="X6772717928f13429d4d4f50caaf7675f61535b4"/>
    <w:p>
      <w:pPr>
        <w:pStyle w:val="Heading3"/>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a Belgian BR3 decommissioning study</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a 2025 review of copper in steel scrap</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(2023b);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Literature sources are listed in the reference list.</w:t>
      </w:r>
    </w:p>
    <w:bookmarkEnd w:id="144"/>
    <w:bookmarkEnd w:id="145"/>
    <w:bookmarkEnd w:id="146"/>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color w:val="006DAE"/>
    </w:rPr>
  </w:style>
  <w:style w:styleId="Heading2" w:type="paragraph">
    <w:name w:val="heading 2"/>
    <w:basedOn w:val="Normal"/>
    <w:next w:val="Normal"/>
    <w:pPr>
      <w:keepNext w:val="1"/>
      <w:keepLines w:val="1"/>
      <w:pageBreakBefore w:val="0"/>
      <w:spacing w:after="120" w:before="360" w:lineRule="auto"/>
    </w:pPr>
    <w:rPr>
      <w:b w:val="0"/>
      <w:bCs w:val="0"/>
      <w:sz w:val="32"/>
      <w:szCs w:val="32"/>
      <w:color w:val="006DAE"/>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color w:val="006DAE"/>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color w:val="006DAE"/>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tblPr>
      <w:tblInd w:type="dxa" w:w="0"/>
      <w:tblBorders>
        <w:top w:color="006DAE" w:space="0" w:sz="8" w:val="single"/>
        <w:bottom w:color="006DAE" w:space="0" w:sz="8" w:val="single"/>
        <w:insideH w:color="D0D7DE" w:space="0" w:sz="4" w:val="single"/>
      </w:tblBorders>
      <w:tblCellMar>
        <w:top w:type="dxa" w:w="30"/>
        <w:left w:type="dxa" w:w="80"/>
        <w:bottom w:type="dxa" w:w="30"/>
        <w:right w:type="dxa" w:w="80"/>
      </w:tblCellMar>
    </w:tblPr>
    <w:tblStylePr w:type="firstRow">
      <w:rPr>
        <w:b/>
      </w:rPr>
      <w:tcPr>
        <w:shd w:color="auto" w:fill="DCE9F5"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color w:val="555555"/>
      <w:sz w:val="19"/>
      <w:szCs w:val="19"/>
    </w:rPr>
  </w:style>
  <w:style w:customStyle="1" w:styleId="ImageCaption" w:type="paragraph">
    <w:name w:val="Image Caption"/>
    <w:basedOn w:val="Caption"/>
    <w:rPr>
      <w:color w:val="555555"/>
      <w:sz w:val="19"/>
      <w:szCs w:val="19"/>
    </w:rPr>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mNote" w:type="character">
    <w:name w:val="Team Note"/>
    <w:rPr>
      <w:b/>
      <w:color w:val="C00000"/>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where they cut the most carbon, what holds them back, and a low-clinker concrete initiative for Darlington</dc:title>
  <dc:creator>Victor Clarke [TODO: student ID]; Leroy Louis Jean (33880212); Sam [TODO: surname] [TODO: student ID]</dc:creator>
  <cp:keywords/>
  <dcterms:created xsi:type="dcterms:W3CDTF">2026-10-25T11:09:04Z</dcterms:created>
  <dcterms:modified xsi:type="dcterms:W3CDTF">2026-10-25T11:09:04Z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MTE4593 Materials and Sustainability, Assignment 2 (Group 9)</vt:lpwstr>
  </property>
</Properties>
</file>