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9.png" ContentType="image/png"/>
  <Override PartName="/word/media/rId53.png" ContentType="image/png"/>
  <Override PartName="/word/media/rId62.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t xml:space="preserve">[TODO:</w:t>
      </w:r>
      <w:r>
        <w:t xml:space="preserve"> </w:t>
      </w:r>
      <w:r>
        <w:t xml:space="preserve">student</w:t>
      </w:r>
      <w:r>
        <w:t xml:space="preserve"> </w:t>
      </w:r>
      <w:r>
        <w:t xml:space="preserve">ID]</w:t>
      </w:r>
    </w:p>
    <w:p>
      <w:pPr>
        <w:pStyle w:val="Author"/>
      </w:pPr>
      <w:r>
        <w:t xml:space="preserve">Leroy</w:t>
      </w:r>
      <w:r>
        <w:t xml:space="preserve"> </w:t>
      </w:r>
      <w:r>
        <w:t xml:space="preserve">Jean</w:t>
      </w:r>
      <w:r>
        <w:t xml:space="preserve"> </w:t>
      </w:r>
      <w:r>
        <w:t xml:space="preserve">[TODO:</w:t>
      </w:r>
      <w:r>
        <w:t xml:space="preserve"> </w:t>
      </w:r>
      <w:r>
        <w:t xml:space="preserve">student</w:t>
      </w:r>
      <w:r>
        <w:t xml:space="preserve"> </w:t>
      </w:r>
      <w:r>
        <w:t xml:space="preserve">ID]</w:t>
      </w:r>
    </w:p>
    <w:p>
      <w:pPr>
        <w:pStyle w:val="Author"/>
      </w:pPr>
      <w:r>
        <w:t xml:space="preserve">Sam</w:t>
      </w:r>
      <w:r>
        <w:t xml:space="preserve"> </w:t>
      </w:r>
      <w:r>
        <w:t xml:space="preserve">[TODO:</w:t>
      </w:r>
      <w:r>
        <w:t xml:space="preserve"> </w:t>
      </w:r>
      <w:r>
        <w:t xml:space="preserve">surname]</w:t>
      </w:r>
      <w:r>
        <w:t xml:space="preserve"> </w:t>
      </w:r>
      <w:r>
        <w:t xml:space="preserve">[TODO:</w:t>
      </w:r>
      <w:r>
        <w:t xml:space="preserve"> </w:t>
      </w:r>
      <w:r>
        <w:t xml:space="preserve">student</w:t>
      </w:r>
      <w:r>
        <w:t xml:space="preserve"> </w:t>
      </w:r>
      <w: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0.37%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and Granta was used for [TODO-GRANTA].</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leroy"/>
    <w:p>
      <w:pPr>
        <w:pStyle w:val="Heading3"/>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3"/>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T2.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0.37%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8"/>
    <w:bookmarkStart w:id="47"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T3;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T3.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CaptionedFigure"/>
      </w:pPr>
      <w:r>
        <w:drawing>
          <wp:inline>
            <wp:extent cx="5441315" cy="2836256"/>
            <wp:effectExtent b="0" l="0" r="0" t="0"/>
            <wp:docPr descr="Figure F1. LCA system boundary for one BWRX-300 at Darlington: bottom-up fuel front end and construction materials, literature values for operation, decommissioning and the back end, and the C1 target structures. | Source: this study. | File: 03_LCA_Calculations/results/F1_system_boundary.png"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32"/>
    <w:bookmarkStart w:id="36"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CaptionedFigure"/>
      </w:pPr>
      <w:r>
        <w:drawing>
          <wp:inline>
            <wp:extent cx="5441315" cy="2458231"/>
            <wp:effectExtent b="0" l="0" r="0" t="0"/>
            <wp:docPr descr="Figure F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458231"/>
                    </a:xfrm>
                    <a:prstGeom prst="rect">
                      <a:avLst/>
                    </a:prstGeom>
                    <a:noFill/>
                    <a:ln w="9525">
                      <a:noFill/>
                      <a:headEnd/>
                      <a:tailEnd/>
                    </a:ln>
                  </pic:spPr>
                </pic:pic>
              </a:graphicData>
            </a:graphic>
          </wp:inline>
        </w:drawing>
      </w:r>
    </w:p>
    <w:p>
      <w:pPr>
        <w:pStyle w:val="ImageCaption"/>
      </w:pPr>
      <w:r>
        <w:t xml:space="preserve">Figure F2.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T4).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T4.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T3)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T6;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7"/>
    <w:bookmarkStart w:id="44"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CaptionedFigure"/>
      </w:pPr>
      <w:r>
        <w:drawing>
          <wp:inline>
            <wp:extent cx="5441315" cy="2919730"/>
            <wp:effectExtent b="0" l="0" r="0" t="0"/>
            <wp:docPr descr="Figure F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919730"/>
                    </a:xfrm>
                    <a:prstGeom prst="rect">
                      <a:avLst/>
                    </a:prstGeom>
                    <a:noFill/>
                    <a:ln w="9525">
                      <a:noFill/>
                      <a:headEnd/>
                      <a:tailEnd/>
                    </a:ln>
                  </pic:spPr>
                </pic:pic>
              </a:graphicData>
            </a:graphic>
          </wp:inline>
        </w:drawing>
      </w:r>
    </w:p>
    <w:p>
      <w:pPr>
        <w:pStyle w:val="ImageCaption"/>
      </w:pPr>
      <w:r>
        <w:t xml:space="preserve">Figure F3.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CaptionedFigure"/>
      </w:pPr>
      <w:r>
        <w:drawing>
          <wp:inline>
            <wp:extent cx="5441315" cy="2092813"/>
            <wp:effectExtent b="0" l="0" r="0" t="0"/>
            <wp:docPr descr="Figure F4. Monte Carlo distributions (20,000 draws, seed 20261021) of the life-cycle intensity (median 4.18, 5th–95th percentile 3.05–5.85 g CO₂e/kWh) and of the LC3 saving per unit (median 1,742, 1,387–2,153 t). | Source: this study, scripts/lca_uncertainty.py. | File: 03_LCA_Calculations/results/F4_montecarlo.png"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2092813"/>
                    </a:xfrm>
                    <a:prstGeom prst="rect">
                      <a:avLst/>
                    </a:prstGeom>
                    <a:noFill/>
                    <a:ln w="9525">
                      <a:noFill/>
                      <a:headEnd/>
                      <a:tailEnd/>
                    </a:ln>
                  </pic:spPr>
                </pic:pic>
              </a:graphicData>
            </a:graphic>
          </wp:inline>
        </w:drawing>
      </w:r>
    </w:p>
    <w:p>
      <w:pPr>
        <w:pStyle w:val="ImageCaption"/>
      </w:pPr>
      <w:r>
        <w:t xml:space="preserve">Figure F4.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44"/>
    <w:bookmarkStart w:id="46"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T5).</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T5.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F5.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w:t>
      </w:r>
      <w:r>
        <w:t xml:space="preserve"> </w:t>
      </w:r>
      <w:hyperlink r:id="rId45">
        <w:r>
          <w:rPr>
            <w:rStyle w:val="Hyperlink"/>
          </w:rPr>
          <w:t xml:space="preserve">TODO: IPCC AR5 WGIII Annex III row is drawn automatically once its values are set to verified in parameters_lca.yaml</w:t>
        </w:r>
      </w:hyperlink>
    </w:p>
    <w:p>
      <w:r>
        <w:pict>
          <v:rect style="width:0;height:1.5pt" o:hralign="center" o:hrstd="t" o:hr="t"/>
        </w:pict>
      </w:r>
    </w:p>
    <w:bookmarkEnd w:id="46"/>
    <w:bookmarkEnd w:id="47"/>
    <w:bookmarkStart w:id="57"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48"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48"/>
    <w:bookmarkStart w:id="52"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0" name="Picture"/>
            <a:graphic>
              <a:graphicData uri="http://schemas.openxmlformats.org/drawingml/2006/picture">
                <pic:pic>
                  <pic:nvPicPr>
                    <pic:cNvPr descr="/home/user/MTE4593-Group-Assignment/03_LCA_Calculations/results/F6_displacement.png" id="51" name="Picture"/>
                    <pic:cNvPicPr>
                      <a:picLocks noChangeArrowheads="1" noChangeAspect="1"/>
                    </pic:cNvPicPr>
                  </pic:nvPicPr>
                  <pic:blipFill>
                    <a:blip r:embed="rId49"/>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2"/>
    <w:bookmarkStart w:id="56"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4" name="Picture"/>
            <a:graphic>
              <a:graphicData uri="http://schemas.openxmlformats.org/drawingml/2006/picture">
                <pic:pic>
                  <pic:nvPicPr>
                    <pic:cNvPr descr="/home/user/MTE4593-Group-Assignment/03_LCA_Calculations/results/F7_same_money.png" id="55" name="Picture"/>
                    <pic:cNvPicPr>
                      <a:picLocks noChangeArrowheads="1" noChangeAspect="1"/>
                    </pic:cNvPicPr>
                  </pic:nvPicPr>
                  <pic:blipFill>
                    <a:blip r:embed="rId53"/>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6"/>
    <w:bookmarkEnd w:id="57"/>
    <w:bookmarkStart w:id="67" w:name="Xabf1823ab98fa71e358698492c3b3ca10e02619"/>
    <w:p>
      <w:pPr>
        <w:pStyle w:val="Heading2"/>
      </w:pPr>
      <w:r>
        <w:t xml:space="preserve">8 Non-technical factors affecting translation to practice</w:t>
      </w:r>
    </w:p>
    <w:bookmarkStart w:id="58"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58"/>
    <w:bookmarkStart w:id="59"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59"/>
    <w:bookmarkStart w:id="60"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0"/>
    <w:bookmarkStart w:id="61"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1"/>
    <w:bookmarkStart w:id="65"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3" name="Picture"/>
            <a:graphic>
              <a:graphicData uri="http://schemas.openxmlformats.org/drawingml/2006/picture">
                <pic:pic>
                  <pic:nvPicPr>
                    <pic:cNvPr descr="/home/user/MTE4593-Group-Assignment/03_LCA_Calculations/results/F8_stakeholder_map.png" id="64" name="Picture"/>
                    <pic:cNvPicPr>
                      <a:picLocks noChangeArrowheads="1" noChangeAspect="1"/>
                    </pic:cNvPicPr>
                  </pic:nvPicPr>
                  <pic:blipFill>
                    <a:blip r:embed="rId62"/>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5"/>
    <w:bookmarkStart w:id="66"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6"/>
    <w:bookmarkEnd w:id="67"/>
    <w:bookmarkStart w:id="71"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0.37%, and no predefined weight set, input test or ±50% weight test puts an SMR first.</w:t>
      </w:r>
    </w:p>
    <w:bookmarkStart w:id="68"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0.37%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68"/>
    <w:bookmarkStart w:id="69"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69"/>
    <w:bookmarkStart w:id="70"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0"/>
    <w:bookmarkEnd w:id="71"/>
    <w:bookmarkStart w:id="72"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72"/>
    <w:bookmarkStart w:id="73"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0.37%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0.37%.</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3"/>
    <w:bookmarkStart w:id="76"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bookmarkStart w:id="74"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4"/>
    <w:bookmarkStart w:id="75"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5"/>
    <w:bookmarkEnd w:id="76"/>
    <w:bookmarkStart w:id="77"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7"/>
    <w:bookmarkStart w:id="138" w:name="appendices"/>
    <w:p>
      <w:pPr>
        <w:pStyle w:val="Heading1"/>
      </w:pPr>
      <w:r>
        <w:t xml:space="preserve">Appendices</w:t>
      </w:r>
    </w:p>
    <w:bookmarkStart w:id="87"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78"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78"/>
    <w:bookmarkStart w:id="79"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79"/>
    <w:bookmarkStart w:id="80"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80"/>
    <w:bookmarkStart w:id="81"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81"/>
    <w:bookmarkStart w:id="82"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82"/>
    <w:bookmarkStart w:id="83"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83"/>
    <w:bookmarkStart w:id="84"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84"/>
    <w:bookmarkStart w:id="85"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85"/>
    <w:bookmarkStart w:id="86"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86"/>
    <w:bookmarkEnd w:id="87"/>
    <w:bookmarkStart w:id="130"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2"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88"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88"/>
    <w:bookmarkStart w:id="89"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89"/>
    <w:bookmarkStart w:id="90"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0"/>
    <w:bookmarkStart w:id="91"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1"/>
    <w:bookmarkEnd w:id="92"/>
    <w:bookmarkStart w:id="99"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3"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3"/>
    <w:bookmarkStart w:id="94"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4"/>
    <w:bookmarkStart w:id="95"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5"/>
    <w:bookmarkStart w:id="96"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6"/>
    <w:bookmarkStart w:id="97"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7"/>
    <w:bookmarkStart w:id="98"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98"/>
    <w:bookmarkEnd w:id="99"/>
    <w:bookmarkStart w:id="101"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0"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0"/>
    <w:bookmarkEnd w:id="101"/>
    <w:bookmarkStart w:id="105"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2" w:name="b4.1-method"/>
    <w:p>
      <w:pPr>
        <w:pStyle w:val="Heading4"/>
      </w:pPr>
      <w:r>
        <w:t xml:space="preserve">B4.1 Method</w:t>
      </w:r>
    </w:p>
    <w:p>
      <w:pPr>
        <w:numPr>
          <w:ilvl w:val="0"/>
          <w:numId w:val="1005"/>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5"/>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5"/>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5"/>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2"/>
    <w:bookmarkStart w:id="103"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3"/>
    <w:bookmarkStart w:id="104" w:name="b4.3-limitations"/>
    <w:p>
      <w:pPr>
        <w:pStyle w:val="Heading4"/>
      </w:pPr>
      <w:r>
        <w:t xml:space="preserve">B4.3 Limitations</w:t>
      </w:r>
    </w:p>
    <w:p>
      <w:pPr>
        <w:numPr>
          <w:ilvl w:val="0"/>
          <w:numId w:val="1006"/>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6"/>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6"/>
        </w:numPr>
        <w:pStyle w:val="Compact"/>
      </w:pPr>
      <w:r>
        <w:rPr>
          <w:bCs/>
          <w:b/>
        </w:rPr>
        <w:t xml:space="preserve">Counterfactual.</w:t>
      </w:r>
      <w:r>
        <w:t xml:space="preserve"> </w:t>
      </w:r>
      <w:r>
        <w:t xml:space="preserve">In both grids the real alternative is other new supply, not today’s grid forever (B6).</w:t>
      </w:r>
    </w:p>
    <w:p>
      <w:pPr>
        <w:numPr>
          <w:ilvl w:val="0"/>
          <w:numId w:val="1006"/>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6"/>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4"/>
    <w:bookmarkEnd w:id="105"/>
    <w:bookmarkStart w:id="112"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6" w:name="b5.1-method"/>
    <w:p>
      <w:pPr>
        <w:pStyle w:val="Heading4"/>
      </w:pPr>
      <w:r>
        <w:t xml:space="preserve">B5.1 Method</w:t>
      </w:r>
    </w:p>
    <w:p>
      <w:pPr>
        <w:numPr>
          <w:ilvl w:val="0"/>
          <w:numId w:val="1007"/>
        </w:numPr>
        <w:pStyle w:val="Compact"/>
      </w:pPr>
      <w:r>
        <w:t xml:space="preserve">Output of one unit: monthly M = E / 12 = 197,100,000 kWh; daily D = E / 365 = 6,480,000 kWh.</w:t>
      </w:r>
    </w:p>
    <w:p>
      <w:pPr>
        <w:numPr>
          <w:ilvl w:val="0"/>
          <w:numId w:val="1007"/>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7"/>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7"/>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6"/>
    <w:bookmarkStart w:id="107"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7"/>
    <w:bookmarkStart w:id="108"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08"/>
    <w:bookmarkStart w:id="109"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09"/>
    <w:bookmarkStart w:id="110"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0"/>
    <w:bookmarkStart w:id="111" w:name="b5.6-limitations"/>
    <w:p>
      <w:pPr>
        <w:pStyle w:val="Heading4"/>
      </w:pPr>
      <w:r>
        <w:t xml:space="preserve">B5.6 Limitations</w:t>
      </w:r>
    </w:p>
    <w:p>
      <w:pPr>
        <w:numPr>
          <w:ilvl w:val="0"/>
          <w:numId w:val="1008"/>
        </w:numPr>
        <w:pStyle w:val="Compact"/>
      </w:pPr>
      <w:r>
        <w:t xml:space="preserve">Average factors understate what a late baseload unit would have displaced in Ontario, where gas is on the margin.</w:t>
      </w:r>
    </w:p>
    <w:p>
      <w:pPr>
        <w:numPr>
          <w:ilvl w:val="0"/>
          <w:numId w:val="1008"/>
        </w:numPr>
        <w:pStyle w:val="Compact"/>
      </w:pPr>
      <w:r>
        <w:t xml:space="preserve">The net basis assumes the plant’s life is fixed in years, not extended.</w:t>
      </w:r>
    </w:p>
    <w:p>
      <w:pPr>
        <w:numPr>
          <w:ilvl w:val="0"/>
          <w:numId w:val="1008"/>
        </w:numPr>
        <w:pStyle w:val="Compact"/>
      </w:pPr>
      <w:r>
        <w:t xml:space="preserve">The carbon value is realised only if someone prices it. Construction-material emissions appear to fall outside Ontario’s Emissions Performance Standards (our inference).</w:t>
      </w:r>
    </w:p>
    <w:p>
      <w:pPr>
        <w:numPr>
          <w:ilvl w:val="0"/>
          <w:numId w:val="1008"/>
        </w:numPr>
        <w:pStyle w:val="Compact"/>
      </w:pPr>
      <w:r>
        <w:t xml:space="preserve">The carrying cost is an upper bound for an early slip.</w:t>
      </w:r>
    </w:p>
    <w:p>
      <w:pPr>
        <w:numPr>
          <w:ilvl w:val="0"/>
          <w:numId w:val="1008"/>
        </w:numPr>
        <w:pStyle w:val="Compact"/>
      </w:pPr>
      <w:r>
        <w:t xml:space="preserve">The eligible share (20–60%) is an assumption; the saving per m³ (0.110 t) is fixed, so volume and saving move together.</w:t>
      </w:r>
    </w:p>
    <w:p>
      <w:r>
        <w:pict>
          <v:rect style="width:0;height:1.5pt" o:hralign="center" o:hrstd="t" o:hr="t"/>
        </w:pict>
      </w:r>
    </w:p>
    <w:bookmarkEnd w:id="111"/>
    <w:bookmarkEnd w:id="112"/>
    <w:bookmarkStart w:id="117"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3"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3"/>
    <w:bookmarkStart w:id="114"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4"/>
    <w:bookmarkStart w:id="115"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5"/>
    <w:bookmarkStart w:id="116" w:name="b6.4-limitations"/>
    <w:p>
      <w:pPr>
        <w:pStyle w:val="Heading4"/>
      </w:pPr>
      <w:r>
        <w:t xml:space="preserve">B6.4 Limitations</w:t>
      </w:r>
    </w:p>
    <w:p>
      <w:pPr>
        <w:numPr>
          <w:ilvl w:val="0"/>
          <w:numId w:val="1009"/>
        </w:numPr>
        <w:pStyle w:val="Compact"/>
      </w:pPr>
      <w:r>
        <w:t xml:space="preserve">Adding several TWh a year of firmed renewables would itself change the NEM trajectory, so the comparison holds only at the margin of the stated trajectory.</w:t>
      </w:r>
    </w:p>
    <w:p>
      <w:pPr>
        <w:numPr>
          <w:ilvl w:val="0"/>
          <w:numId w:val="1009"/>
        </w:numPr>
        <w:pStyle w:val="Compact"/>
      </w:pPr>
      <w:r>
        <w:t xml:space="preserve">The LCOE of firmed renewables rises with their share, and GenCost’s integration costs cover this only up to the shares it models.</w:t>
      </w:r>
    </w:p>
    <w:p>
      <w:pPr>
        <w:numPr>
          <w:ilvl w:val="0"/>
          <w:numId w:val="1009"/>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09"/>
        </w:numPr>
        <w:pStyle w:val="Compact"/>
      </w:pPr>
      <w:r>
        <w:t xml:space="preserve">Renewable assets last about 25–30 years (GenCost). No replacement falls before 2050, but a whole-life comparison would need one.</w:t>
      </w:r>
    </w:p>
    <w:p>
      <w:pPr>
        <w:numPr>
          <w:ilvl w:val="0"/>
          <w:numId w:val="1009"/>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6"/>
    <w:bookmarkEnd w:id="117"/>
    <w:bookmarkStart w:id="124"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18"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18"/>
    <w:bookmarkStart w:id="119" w:name="b7.2-method"/>
    <w:p>
      <w:pPr>
        <w:pStyle w:val="Heading4"/>
      </w:pPr>
      <w:r>
        <w:t xml:space="preserve">B7.2 Method</w:t>
      </w:r>
    </w:p>
    <w:p>
      <w:pPr>
        <w:numPr>
          <w:ilvl w:val="0"/>
          <w:numId w:val="1010"/>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0"/>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0"/>
        </w:numPr>
        <w:pStyle w:val="Compact"/>
      </w:pPr>
      <w:r>
        <w:rPr>
          <w:bCs/>
          <w:b/>
        </w:rPr>
        <w:t xml:space="preserve">Total.</w:t>
      </w:r>
      <w:r>
        <w:t xml:space="preserve"> </w:t>
      </w:r>
      <w:r>
        <w:t xml:space="preserve">T = 100 × Σ w_c s_c, with weights renormalised to sum to 1.</w:t>
      </w:r>
    </w:p>
    <w:p>
      <w:pPr>
        <w:numPr>
          <w:ilvl w:val="0"/>
          <w:numId w:val="1010"/>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0"/>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19"/>
    <w:bookmarkStart w:id="120"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0"/>
    <w:bookmarkStart w:id="121"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1"/>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1"/>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1"/>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1"/>
    <w:bookmarkStart w:id="122"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2"/>
    <w:bookmarkStart w:id="123" w:name="b7.6-limitations"/>
    <w:p>
      <w:pPr>
        <w:pStyle w:val="Heading4"/>
      </w:pPr>
      <w:r>
        <w:t xml:space="preserve">B7.6 Limitations</w:t>
      </w:r>
    </w:p>
    <w:p>
      <w:pPr>
        <w:numPr>
          <w:ilvl w:val="0"/>
          <w:numId w:val="1012"/>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2"/>
        </w:numPr>
        <w:pStyle w:val="Compact"/>
      </w:pPr>
      <w:r>
        <w:t xml:space="preserve">Local min–max scaling makes each score depend on which options are compared. The status quo’s second place changes on fixed global scales (B7.4).</w:t>
      </w:r>
    </w:p>
    <w:p>
      <w:pPr>
        <w:numPr>
          <w:ilvl w:val="0"/>
          <w:numId w:val="1012"/>
        </w:numPr>
        <w:pStyle w:val="Compact"/>
      </w:pPr>
      <w:r>
        <w:t xml:space="preserve">Renewables’ supply HHI uses solar PV only; batteries, wind turbines and transmission are not assessed, and the IEA (2022) report was not opened in full.</w:t>
      </w:r>
    </w:p>
    <w:p>
      <w:pPr>
        <w:numPr>
          <w:ilvl w:val="0"/>
          <w:numId w:val="1012"/>
        </w:numPr>
        <w:pStyle w:val="Compact"/>
      </w:pPr>
      <w:r>
        <w:t xml:space="preserve">TRL is not scored, and first-power years depend on CSIRO’s 2040 and the Coalition’s 2035 (as reported).</w:t>
      </w:r>
    </w:p>
    <w:p>
      <w:pPr>
        <w:numPr>
          <w:ilvl w:val="0"/>
          <w:numId w:val="1012"/>
        </w:numPr>
        <w:pStyle w:val="Compact"/>
      </w:pPr>
      <w:r>
        <w:t xml:space="preserve">Renewables’ 30 g/kWh and 2028 start are assumptions, and the GenCost reading is the one stated in B6. Adding several TWh of renewables would itself change the grid trajectory (B6.4).</w:t>
      </w:r>
    </w:p>
    <w:p>
      <w:pPr>
        <w:numPr>
          <w:ilvl w:val="0"/>
          <w:numId w:val="1012"/>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3"/>
    <w:bookmarkEnd w:id="124"/>
    <w:bookmarkStart w:id="129"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5" w:name="X8871295422bcc52b42d843e419a224e284f0009"/>
    <w:p>
      <w:pPr>
        <w:pStyle w:val="Heading4"/>
      </w:pPr>
      <w:r>
        <w:t xml:space="preserve">B8.1 Perceived and actual safety, and deaths avoided</w:t>
      </w:r>
    </w:p>
    <w:p>
      <w:pPr>
        <w:numPr>
          <w:ilvl w:val="0"/>
          <w:numId w:val="1013"/>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3"/>
        </w:numPr>
        <w:pStyle w:val="Compact"/>
      </w:pPr>
      <w:r>
        <w:t xml:space="preserve">Output of one unit: 300 MWe × 8,760 h × 0.9 = 2.365 TWh a year (2.102–2.497 at capacity factors of 0.80–0.95).</w:t>
      </w:r>
    </w:p>
    <w:p>
      <w:pPr>
        <w:numPr>
          <w:ilvl w:val="0"/>
          <w:numId w:val="1013"/>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5"/>
    <w:bookmarkStart w:id="126"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6"/>
    <w:bookmarkStart w:id="127"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7"/>
    <w:bookmarkStart w:id="128"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28"/>
    <w:bookmarkEnd w:id="129"/>
    <w:bookmarkEnd w:id="130"/>
    <w:bookmarkStart w:id="137"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31" w:name="c1.-set-up"/>
    <w:p>
      <w:pPr>
        <w:pStyle w:val="Heading3"/>
      </w:pPr>
      <w:r>
        <w:t xml:space="preserve">C1. Set-up</w:t>
      </w:r>
    </w:p>
    <w:p>
      <w:pPr>
        <w:numPr>
          <w:ilvl w:val="0"/>
          <w:numId w:val="1014"/>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4"/>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4"/>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4"/>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4"/>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4"/>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31"/>
    <w:bookmarkStart w:id="132"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32"/>
    <w:bookmarkStart w:id="133"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33"/>
    <w:bookmarkStart w:id="134"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T4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34"/>
    <w:bookmarkStart w:id="135"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5"/>
        </w:numPr>
        <w:pStyle w:val="Compact"/>
      </w:pPr>
      <w:r>
        <w:t xml:space="preserve">A triangular distribution’s mean is (low + mode + high) / 3. For conversion heat that is (26 + 26 + 665) / 3 = 239 kWh/kg U, nine times the mode of 26.</w:t>
      </w:r>
    </w:p>
    <w:p>
      <w:pPr>
        <w:numPr>
          <w:ilvl w:val="0"/>
          <w:numId w:val="1015"/>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5"/>
        </w:numPr>
        <w:pStyle w:val="Compact"/>
      </w:pPr>
      <w:r>
        <w:t xml:space="preserve">The LC3 saving is almost symmetric (mode 1,734 t, median 1,742 t), so its share of the total falls from 0.45% (mode case) to 0.29% (median).</w:t>
      </w:r>
    </w:p>
    <w:p>
      <w:pPr>
        <w:numPr>
          <w:ilvl w:val="0"/>
          <w:numId w:val="1015"/>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5"/>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35"/>
    <w:bookmarkStart w:id="136" w:name="X861311e05ca973e4ff92563d183b5e9367fe19f"/>
    <w:p>
      <w:pPr>
        <w:pStyle w:val="Heading3"/>
      </w:pPr>
      <w:r>
        <w:t xml:space="preserve">C6. Limitations of the uncertainty analysis</w:t>
      </w:r>
    </w:p>
    <w:p>
      <w:pPr>
        <w:numPr>
          <w:ilvl w:val="0"/>
          <w:numId w:val="1016"/>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6"/>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6"/>
        </w:numPr>
        <w:pStyle w:val="Compact"/>
      </w:pPr>
      <w:r>
        <w:rPr>
          <w:bCs/>
          <w:b/>
        </w:rPr>
        <w:t xml:space="preserve">Triangular shape.</w:t>
      </w:r>
      <w:r>
        <w:t xml:space="preserve"> </w:t>
      </w:r>
      <w:r>
        <w:t xml:space="preserve">A convention, not a fitted distribution.</w:t>
      </w:r>
    </w:p>
    <w:p>
      <w:pPr>
        <w:numPr>
          <w:ilvl w:val="0"/>
          <w:numId w:val="1016"/>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6"/>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T5).</w:t>
      </w:r>
    </w:p>
    <w:p>
      <w:r>
        <w:pict>
          <v:rect style="width:0;height:1.5pt" o:hralign="center" o:hrstd="t" o:hr="t"/>
        </w:pict>
      </w:r>
    </w:p>
    <w:bookmarkEnd w:id="136"/>
    <w:bookmarkEnd w:id="137"/>
    <w:bookmarkEnd w:id="138"/>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hyperlink" Id="rId45" Target="/home/user/MTE4593-Group-Assignment/03_LCA_Calculations/results/F5_benchmarks.png" TargetMode="External" /></Relationships>
</file>

<file path=word/_rels/footnotes.xml.rels><?xml version="1.0" encoding="UTF-8"?><Relationships xmlns="http://schemas.openxmlformats.org/package/2006/relationships"><Relationship Type="http://schemas.openxmlformats.org/officeDocument/2006/relationships/hyperlink" Id="rId45" Target="/home/user/MTE4593-Group-Assignment/03_LCA_Calculations/results/F5_benchmarks.pn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[TODO: student ID]; Leroy Jean [TODO: student ID]; Sam [TODO: surname] [TODO: student ID]</dc:creator>
  <cp:keywords/>
  <dcterms:created xsi:type="dcterms:W3CDTF">2026-10-25T03:41:16Z</dcterms:created>
  <dcterms:modified xsi:type="dcterms:W3CDTF">2026-10-25T03:41:16Z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