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Meeting #2, 3/09/2026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Attendees: Sam, Leroy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of our research will probably be conducted from a US perspective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Due to: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 and China are the big players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 brags, allowing info to be easily traced back. Chinese information will be harder to find and translate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IP might be an issue. But patents an designs should be public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Might want to centre LCA on this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But we’ll also want to cover how the Australian climate can be receptive to this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Regulations et cetera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Australia has 30% of the world’s uranium reserves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don’t we have DRC’s resource curse?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Strategically important location for US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Action items: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