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 At Liddell the barrier precedes any materials choice: none of these first-order barriers can be solved by changing Portland cement to LC³.</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T9).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T9). Darlington avoids this with a single Crown owner and a regulated rate base; public and First Nations finance covers about 22% of the budget (§8.5).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T8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§8.6 (Table T13).</w:t>
      </w:r>
    </w:p>
    <w:p>
      <w:pPr>
        <w:pStyle w:val="BodyText"/>
      </w:pPr>
      <w:r>
        <w:rPr>
          <w:iCs/>
          <w:i/>
        </w:rPr>
        <w:t xml:space="preserve">Table T8.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T9.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T10).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(§8.6).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T10.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T11).</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T11.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T12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T12.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(§8.4)</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(§8.4)</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Conditional feasibility</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(§6,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color w:val="006DAE"/>
    </w:rPr>
  </w:style>
  <w:style w:styleId="Heading2" w:type="paragraph">
    <w:name w:val="heading 2"/>
    <w:basedOn w:val="Normal"/>
    <w:next w:val="Normal"/>
    <w:pPr>
      <w:keepNext w:val="1"/>
      <w:keepLines w:val="1"/>
      <w:pageBreakBefore w:val="0"/>
      <w:spacing w:after="120" w:before="360" w:lineRule="auto"/>
    </w:pPr>
    <w:rPr>
      <w:b w:val="0"/>
      <w:bCs w:val="0"/>
      <w:sz w:val="32"/>
      <w:szCs w:val="32"/>
      <w:color w:val="006DAE"/>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color w:val="006DAE"/>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color w:val="006DAE"/>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006DAE" w:space="0" w:sz="8" w:val="single"/>
        <w:bottom w:color="006DAE" w:space="0" w:sz="8" w:val="single"/>
        <w:insideH w:color="D0D7DE" w:space="0" w:sz="4" w:val="single"/>
      </w:tblBorders>
      <w:tblCellMar>
        <w:top w:type="dxa" w:w="30"/>
        <w:left w:type="dxa" w:w="80"/>
        <w:bottom w:type="dxa" w:w="30"/>
        <w:right w:type="dxa" w:w="80"/>
      </w:tblCellMar>
    </w:tblPr>
    <w:tblStylePr w:type="firstRow">
      <w:rPr>
        <w:b/>
      </w:rPr>
      <w:tcPr>
        <w:shd w:color="auto" w:fill="DCE9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2026-10-25T11:10:48Z</dcterms:created>
  <dcterms:modified xsi:type="dcterms:W3CDTF">2026-10-25T11:10:48Z</dcterms:modified>
</cp:coreProperties>
</file>

<file path=docProps/custom.xml><?xml version="1.0" encoding="utf-8"?>
<Properties xmlns="http://schemas.openxmlformats.org/officeDocument/2006/custom-properties" xmlns:vt="http://schemas.openxmlformats.org/officeDocument/2006/docPropsVTypes"/>
</file>