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Victor Clarke</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Sam / Leroy: Granta LC³ record</w:t>
      </w:r>
    </w:p>
    <w:p>
      <w:pPr>
        <w:pStyle w:val="Compact"/>
        <w:numPr>
          <w:ilvl w:val="0"/>
          <w:numId w:val="1"/>
        </w:numPr>
        <w:rPr/>
      </w:pPr>
      <w:r>
        <w:rPr/>
        <w:t>The Granta LC³ material record uses 0.1533 kg CO₂e/kg, only 3% below the base concrete (0.1583). Pillai et al. (2019) gives 270 kg/m³ = 0.1125 kg/kg. Confirm whether 0.1533 is intended; Appendix A9 explains both.</w:t>
      </w:r>
    </w:p>
    <w:p>
      <w:pPr>
        <w:pStyle w:val="FirstParagraph"/>
        <w:rPr/>
      </w:pPr>
      <w:r>
        <w:rPr>
          <w:b/>
          <w:bCs/>
        </w:rPr>
        <w:t>Everyone</w:t>
      </w:r>
    </w:p>
    <w:p>
      <w:pPr>
        <w:pStyle w:val="Compact"/>
        <w:numPr>
          <w:ilvl w:val="0"/>
          <w:numId w:val="13"/>
        </w:numPr>
        <w:rPr/>
      </w:pPr>
      <w:r>
        <w:rPr/>
        <w:t>Title page: Victor’s and Sam’s student IDs, and Sam’s surname (Leroy’s is in).</w:t>
      </w:r>
    </w:p>
    <w:p>
      <w:pPr>
        <w:pStyle w:val="Compact"/>
        <w:numPr>
          <w:ilvl w:val="0"/>
          <w:numId w:val="14"/>
        </w:numPr>
        <w:rPr/>
      </w:pPr>
      <w:r>
        <w:rPr/>
        <w:t>Agree the AI-use declaration wording (placeholder before the appendices).</w:t>
      </w:r>
    </w:p>
    <w:p>
      <w:pPr>
        <w:pStyle w:val="FirstParagraph"/>
        <w:rPr/>
      </w:pPr>
      <w:r>
        <w:rPr>
          <w:b/>
          <w:bCs/>
        </w:rPr>
        <w:t>Victor (before submitting)</w:t>
      </w:r>
    </w:p>
    <w:p>
      <w:pPr>
        <w:pStyle w:val="Compact"/>
        <w:numPr>
          <w:ilvl w:val="0"/>
          <w:numId w:val="15"/>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3"/>
            <w:tabs>
              <w:tab w:val="clear" w:pos="9026"/>
              <w:tab w:val="right" w:pos="9025" w:leader="dot"/>
            </w:tabs>
            <w:rPr/>
          </w:pPr>
          <w:r>
            <w:rPr>
              <w:webHidden/>
              <w:rStyle w:val="IndexLink"/>
            </w:rPr>
            <w:t>3.1.1 Current Projects and Patents</w:t>
            <w:tab/>
            <w:t>5</w:t>
          </w:r>
        </w:p>
        <w:p>
          <w:pPr>
            <w:pStyle w:val="TOC3"/>
            <w:tabs>
              <w:tab w:val="clear" w:pos="9026"/>
              <w:tab w:val="right" w:pos="9025" w:leader="dot"/>
            </w:tabs>
            <w:rPr/>
          </w:pPr>
          <w:r>
            <w:rPr>
              <w:webHidden/>
              <w:rStyle w:val="IndexLink"/>
            </w:rPr>
            <w:t>3.1.2 Technical Descriptions</w:t>
            <w:tab/>
            <w:t>6</w:t>
          </w:r>
        </w:p>
        <w:p>
          <w:pPr>
            <w:pStyle w:val="TOC3"/>
            <w:tabs>
              <w:tab w:val="clear" w:pos="9026"/>
              <w:tab w:val="right" w:pos="9025" w:leader="dot"/>
            </w:tabs>
            <w:rPr/>
          </w:pPr>
          <w:r>
            <w:rPr>
              <w:webHidden/>
              <w:rStyle w:val="IndexLink"/>
            </w:rPr>
            <w:t>3.1.3 Barriers to Emissions Reduction</w:t>
            <w:tab/>
            <w:t>7</w:t>
          </w:r>
        </w:p>
        <w:p>
          <w:pPr>
            <w:pStyle w:val="TOC3"/>
            <w:tabs>
              <w:tab w:val="clear" w:pos="9026"/>
              <w:tab w:val="right" w:pos="9025" w:leader="dot"/>
            </w:tabs>
            <w:rPr/>
          </w:pPr>
          <w:r>
            <w:rPr>
              <w:webHidden/>
              <w:rStyle w:val="IndexLink"/>
            </w:rPr>
            <w:t>3.1.4 The Proposed Initiative</w:t>
            <w:tab/>
            <w:t>8</w:t>
          </w:r>
        </w:p>
        <w:p>
          <w:pPr>
            <w:pStyle w:val="TOC3"/>
            <w:tabs>
              <w:tab w:val="clear" w:pos="9026"/>
              <w:tab w:val="right" w:pos="9025" w:leader="dot"/>
            </w:tabs>
            <w:rPr/>
          </w:pPr>
          <w:r>
            <w:rPr>
              <w:webHidden/>
              <w:rStyle w:val="IndexLink"/>
            </w:rPr>
            <w:t>3.1.5 Materials from Extraction to End-of-Life</w:t>
            <w:tab/>
            <w:t>9</w:t>
          </w:r>
        </w:p>
        <w:p>
          <w:pPr>
            <w:pStyle w:val="TOC2"/>
            <w:tabs>
              <w:tab w:val="clear" w:pos="9026"/>
              <w:tab w:val="right" w:pos="9025" w:leader="dot"/>
            </w:tabs>
            <w:rPr/>
          </w:pPr>
          <w:r>
            <w:rPr>
              <w:webHidden/>
              <w:rStyle w:val="IndexLink"/>
            </w:rPr>
            <w:t>3.2 Lifecycle Analysis</w:t>
            <w:tab/>
            <w:t>10</w:t>
          </w:r>
        </w:p>
        <w:p>
          <w:pPr>
            <w:pStyle w:val="TOC3"/>
            <w:tabs>
              <w:tab w:val="clear" w:pos="9026"/>
              <w:tab w:val="right" w:pos="9025" w:leader="dot"/>
            </w:tabs>
            <w:rPr/>
          </w:pPr>
          <w:r>
            <w:rPr>
              <w:webHidden/>
              <w:rStyle w:val="IndexLink"/>
            </w:rPr>
            <w:t>3.2.1 Goal, Scope and Method</w:t>
            <w:tab/>
            <w:t>10</w:t>
          </w:r>
        </w:p>
        <w:p>
          <w:pPr>
            <w:pStyle w:val="TOC3"/>
            <w:tabs>
              <w:tab w:val="clear" w:pos="9026"/>
              <w:tab w:val="right" w:pos="9025" w:leader="dot"/>
            </w:tabs>
            <w:rPr/>
          </w:pPr>
          <w:r>
            <w:rPr>
              <w:webHidden/>
              <w:rStyle w:val="IndexLink"/>
            </w:rPr>
            <w:t>3.2.2 Baseline and Hotspots</w:t>
            <w:tab/>
            <w:t>11</w:t>
          </w:r>
        </w:p>
        <w:p>
          <w:pPr>
            <w:pStyle w:val="TOC3"/>
            <w:tabs>
              <w:tab w:val="clear" w:pos="9026"/>
              <w:tab w:val="right" w:pos="9025" w:leader="dot"/>
            </w:tabs>
            <w:rPr/>
          </w:pPr>
          <w:r>
            <w:rPr>
              <w:webHidden/>
              <w:rStyle w:val="IndexLink"/>
            </w:rPr>
            <w:t>3.2.3 The Initiative against the Baseline</w:t>
            <w:tab/>
            <w:t>12</w:t>
          </w:r>
        </w:p>
        <w:p>
          <w:pPr>
            <w:pStyle w:val="TOC3"/>
            <w:tabs>
              <w:tab w:val="clear" w:pos="9026"/>
              <w:tab w:val="right" w:pos="9025" w:leader="dot"/>
            </w:tabs>
            <w:rPr/>
          </w:pPr>
          <w:r>
            <w:rPr>
              <w:webHidden/>
              <w:rStyle w:val="IndexLink"/>
            </w:rPr>
            <w:t>3.2.4 Uncertainty Analysis</w:t>
            <w:tab/>
            <w:t>13</w:t>
          </w:r>
        </w:p>
        <w:p>
          <w:pPr>
            <w:pStyle w:val="TOC3"/>
            <w:tabs>
              <w:tab w:val="clear" w:pos="9026"/>
              <w:tab w:val="right" w:pos="9025" w:leader="dot"/>
            </w:tabs>
            <w:rPr/>
          </w:pPr>
          <w:r>
            <w:rPr>
              <w:webHidden/>
              <w:rStyle w:val="IndexLink"/>
            </w:rPr>
            <w:t>3.2.5 Comparison with Published Values</w:t>
            <w:tab/>
            <w:t>14</w:t>
          </w:r>
        </w:p>
        <w:p>
          <w:pPr>
            <w:pStyle w:val="TOC2"/>
            <w:tabs>
              <w:tab w:val="clear" w:pos="9026"/>
              <w:tab w:val="right" w:pos="9025" w:leader="dot"/>
            </w:tabs>
            <w:rPr/>
          </w:pPr>
          <w:r>
            <w:rPr>
              <w:webHidden/>
              <w:rStyle w:val="IndexLink"/>
            </w:rPr>
            <w:t>3.3 National Strategies and Industrial Policies</w:t>
            <w:tab/>
            <w:t>15</w:t>
          </w:r>
        </w:p>
        <w:p>
          <w:pPr>
            <w:pStyle w:val="TOC3"/>
            <w:tabs>
              <w:tab w:val="clear" w:pos="9026"/>
              <w:tab w:val="right" w:pos="9025" w:leader="dot"/>
            </w:tabs>
            <w:rPr/>
          </w:pPr>
          <w:r>
            <w:rPr>
              <w:webHidden/>
              <w:rStyle w:val="IndexLink"/>
            </w:rPr>
            <w:t>3.3.1 The Value of Schedule</w:t>
            <w:tab/>
            <w:t>15</w:t>
          </w:r>
        </w:p>
        <w:p>
          <w:pPr>
            <w:pStyle w:val="TOC3"/>
            <w:tabs>
              <w:tab w:val="clear" w:pos="9026"/>
              <w:tab w:val="right" w:pos="9025" w:leader="dot"/>
            </w:tabs>
            <w:rPr/>
          </w:pPr>
          <w:r>
            <w:rPr>
              <w:webHidden/>
              <w:rStyle w:val="IndexLink"/>
            </w:rPr>
            <w:t>3.3.2 Carbon Displaced: Darlington vs Liddell</w:t>
            <w:tab/>
            <w:t>16</w:t>
          </w:r>
        </w:p>
        <w:p>
          <w:pPr>
            <w:pStyle w:val="TOC3"/>
            <w:tabs>
              <w:tab w:val="clear" w:pos="9026"/>
              <w:tab w:val="right" w:pos="9025" w:leader="dot"/>
            </w:tabs>
            <w:rPr/>
          </w:pPr>
          <w:r>
            <w:rPr>
              <w:webHidden/>
              <w:rStyle w:val="IndexLink"/>
            </w:rPr>
            <w:t>3.3.3 Firmed Renewables for the Same Money</w:t>
            <w:tab/>
            <w:t>17</w:t>
          </w:r>
        </w:p>
        <w:p>
          <w:pPr>
            <w:pStyle w:val="TOC2"/>
            <w:tabs>
              <w:tab w:val="clear" w:pos="9026"/>
              <w:tab w:val="right" w:pos="9025" w:leader="dot"/>
            </w:tabs>
            <w:rPr/>
          </w:pPr>
          <w:r>
            <w:rPr>
              <w:webHidden/>
              <w:rStyle w:val="IndexLink"/>
            </w:rPr>
            <w:t>3.4 Stakeholder Analysis</w:t>
            <w:tab/>
            <w:t>18</w:t>
          </w:r>
        </w:p>
        <w:p>
          <w:pPr>
            <w:pStyle w:val="TOC3"/>
            <w:tabs>
              <w:tab w:val="clear" w:pos="9026"/>
              <w:tab w:val="right" w:pos="9025" w:leader="dot"/>
            </w:tabs>
            <w:rPr/>
          </w:pPr>
          <w:r>
            <w:rPr>
              <w:webHidden/>
              <w:rStyle w:val="IndexLink"/>
            </w:rPr>
            <w:t>3.4.1 Stakeholders and Money Flows</w:t>
            <w:tab/>
            <w:t>18</w:t>
          </w:r>
        </w:p>
        <w:p>
          <w:pPr>
            <w:pStyle w:val="TOC3"/>
            <w:tabs>
              <w:tab w:val="clear" w:pos="9026"/>
              <w:tab w:val="right" w:pos="9025" w:leader="dot"/>
            </w:tabs>
            <w:rPr/>
          </w:pPr>
          <w:r>
            <w:rPr>
              <w:webHidden/>
              <w:rStyle w:val="IndexLink"/>
            </w:rPr>
            <w:t>3.4.2 Social Licence</w:t>
            <w:tab/>
            <w:t>20</w:t>
          </w:r>
        </w:p>
        <w:p>
          <w:pPr>
            <w:pStyle w:val="TOC2"/>
            <w:tabs>
              <w:tab w:val="clear" w:pos="9026"/>
              <w:tab w:val="right" w:pos="9025" w:leader="dot"/>
            </w:tabs>
            <w:rPr/>
          </w:pPr>
          <w:r>
            <w:rPr>
              <w:webHidden/>
              <w:rStyle w:val="IndexLink"/>
            </w:rPr>
            <w:t>3.5 Market Analysis and Economic Feasibility</w:t>
            <w:tab/>
            <w:t>21</w:t>
          </w:r>
        </w:p>
        <w:p>
          <w:pPr>
            <w:pStyle w:val="TOC3"/>
            <w:tabs>
              <w:tab w:val="clear" w:pos="9026"/>
              <w:tab w:val="right" w:pos="9025" w:leader="dot"/>
            </w:tabs>
            <w:rPr/>
          </w:pPr>
          <w:r>
            <w:rPr>
              <w:webHidden/>
              <w:rStyle w:val="IndexLink"/>
            </w:rPr>
            <w:t>3.5.1 Economics, Finance and Market Barriers</w:t>
            <w:tab/>
            <w:t>21</w:t>
          </w:r>
        </w:p>
        <w:p>
          <w:pPr>
            <w:pStyle w:val="TOC3"/>
            <w:tabs>
              <w:tab w:val="clear" w:pos="9026"/>
              <w:tab w:val="right" w:pos="9025" w:leader="dot"/>
            </w:tabs>
            <w:rPr/>
          </w:pPr>
          <w:r>
            <w:rPr>
              <w:webHidden/>
              <w:rStyle w:val="IndexLink"/>
            </w:rPr>
            <w:t>3.5.2 Supply Concentration and Geopolitics</w:t>
            <w:tab/>
            <w:t>23</w:t>
          </w:r>
        </w:p>
        <w:p>
          <w:pPr>
            <w:pStyle w:val="TOC2"/>
            <w:tabs>
              <w:tab w:val="clear" w:pos="9026"/>
              <w:tab w:val="right" w:pos="9025" w:leader="dot"/>
            </w:tabs>
            <w:rPr/>
          </w:pPr>
          <w:r>
            <w:rPr>
              <w:webHidden/>
              <w:rStyle w:val="IndexLink"/>
            </w:rPr>
            <w:t>3.6 Government Regulations Review</w:t>
            <w:tab/>
            <w:t>25</w:t>
          </w:r>
        </w:p>
        <w:p>
          <w:pPr>
            <w:pStyle w:val="TOC3"/>
            <w:tabs>
              <w:tab w:val="clear" w:pos="9026"/>
              <w:tab w:val="right" w:pos="9025" w:leader="dot"/>
            </w:tabs>
            <w:rPr/>
          </w:pPr>
          <w:r>
            <w:rPr>
              <w:webHidden/>
              <w:rStyle w:val="IndexLink"/>
            </w:rPr>
            <w:t>3.6.1 Law, Regulation and Licensing</w:t>
            <w:tab/>
            <w:t>25</w:t>
          </w:r>
        </w:p>
        <w:p>
          <w:pPr>
            <w:pStyle w:val="TOC3"/>
            <w:tabs>
              <w:tab w:val="clear" w:pos="9026"/>
              <w:tab w:val="right" w:pos="9025" w:leader="dot"/>
            </w:tabs>
            <w:rPr/>
          </w:pPr>
          <w:r>
            <w:rPr>
              <w:webHidden/>
              <w:rStyle w:val="IndexLink"/>
            </w:rPr>
            <w:t>3.6.2 Implementation Pathway</w:t>
            <w:tab/>
            <w:t>26</w:t>
          </w:r>
        </w:p>
        <w:p>
          <w:pPr>
            <w:pStyle w:val="TOC2"/>
            <w:tabs>
              <w:tab w:val="clear" w:pos="9026"/>
              <w:tab w:val="right" w:pos="9025" w:leader="dot"/>
            </w:tabs>
            <w:rPr/>
          </w:pPr>
          <w:r>
            <w:rPr>
              <w:webHidden/>
              <w:rStyle w:val="IndexLink"/>
            </w:rPr>
            <w:t>3.7 Triple Bottom Line and Multi-Criteria Analysis</w:t>
            <w:tab/>
            <w:t>28</w:t>
          </w:r>
        </w:p>
        <w:p>
          <w:pPr>
            <w:pStyle w:val="TOC3"/>
            <w:tabs>
              <w:tab w:val="clear" w:pos="9026"/>
              <w:tab w:val="right" w:pos="9025" w:leader="dot"/>
            </w:tabs>
            <w:rPr/>
          </w:pPr>
          <w:r>
            <w:rPr>
              <w:webHidden/>
              <w:rStyle w:val="IndexLink"/>
            </w:rPr>
            <w:t>3.7.1 Triple Bottom Line</w:t>
            <w:tab/>
            <w:t>28</w:t>
          </w:r>
        </w:p>
        <w:p>
          <w:pPr>
            <w:pStyle w:val="TOC3"/>
            <w:tabs>
              <w:tab w:val="clear" w:pos="9026"/>
              <w:tab w:val="right" w:pos="9025" w:leader="dot"/>
            </w:tabs>
            <w:rPr/>
          </w:pPr>
          <w:r>
            <w:rPr>
              <w:webHidden/>
              <w:rStyle w:val="IndexLink"/>
            </w:rPr>
            <w:t>3.7.2 Multi-Criteria Analysis</w:t>
            <w:tab/>
            <w:t>29</w:t>
          </w:r>
        </w:p>
        <w:p>
          <w:pPr>
            <w:pStyle w:val="TOC3"/>
            <w:tabs>
              <w:tab w:val="clear" w:pos="9026"/>
              <w:tab w:val="right" w:pos="9025" w:leader="dot"/>
            </w:tabs>
            <w:rPr/>
          </w:pPr>
          <w:r>
            <w:rPr>
              <w:webHidden/>
              <w:rStyle w:val="IndexLink"/>
            </w:rPr>
            <w:t>3.7.3 Verdict and Limits</w:t>
            <w:tab/>
            <w:t>30</w:t>
          </w:r>
        </w:p>
        <w:p>
          <w:pPr>
            <w:pStyle w:val="TOC2"/>
            <w:tabs>
              <w:tab w:val="clear" w:pos="9026"/>
              <w:tab w:val="right" w:pos="9025" w:leader="dot"/>
            </w:tabs>
            <w:rPr/>
          </w:pPr>
          <w:r>
            <w:rPr>
              <w:webHidden/>
              <w:rStyle w:val="IndexLink"/>
            </w:rPr>
            <w:t>3.8 Future Material Properties and Processes</w:t>
            <w:tab/>
            <w:t>30</w:t>
          </w:r>
        </w:p>
        <w:p>
          <w:pPr>
            <w:pStyle w:val="TOC1"/>
            <w:tabs>
              <w:tab w:val="clear" w:pos="9026"/>
              <w:tab w:val="right" w:pos="9025" w:leader="dot"/>
            </w:tabs>
            <w:rPr/>
          </w:pPr>
          <w:r>
            <w:rPr>
              <w:webHidden/>
              <w:rStyle w:val="IndexLink"/>
            </w:rPr>
            <w:t>4 Conclusion</w:t>
            <w:tab/>
            <w:t>31</w:t>
          </w:r>
        </w:p>
        <w:p>
          <w:pPr>
            <w:pStyle w:val="TOC1"/>
            <w:tabs>
              <w:tab w:val="clear" w:pos="9026"/>
              <w:tab w:val="right" w:pos="9025" w:leader="dot"/>
            </w:tabs>
            <w:rPr/>
          </w:pPr>
          <w:r>
            <w:rPr>
              <w:webHidden/>
              <w:rStyle w:val="IndexLink"/>
            </w:rPr>
            <w:t>5 References</w:t>
            <w:tab/>
            <w:t>32</w:t>
          </w:r>
        </w:p>
        <w:p>
          <w:pPr>
            <w:pStyle w:val="TOC1"/>
            <w:tabs>
              <w:tab w:val="clear" w:pos="9026"/>
              <w:tab w:val="right" w:pos="9025" w:leader="dot"/>
            </w:tabs>
            <w:rPr/>
          </w:pPr>
          <w:r>
            <w:rPr>
              <w:webHidden/>
              <w:rStyle w:val="IndexLink"/>
            </w:rPr>
            <w:t>Declaration of generative AI use</w:t>
            <w:tab/>
            <w:t>43</w:t>
          </w:r>
        </w:p>
        <w:p>
          <w:pPr>
            <w:pStyle w:val="TOC1"/>
            <w:tabs>
              <w:tab w:val="clear" w:pos="9026"/>
              <w:tab w:val="right" w:pos="9025" w:leader="dot"/>
            </w:tabs>
            <w:rPr/>
          </w:pPr>
          <w:r>
            <w:rPr>
              <w:webHidden/>
              <w:rStyle w:val="IndexLink"/>
            </w:rPr>
            <w:t>Appendices</w:t>
            <w:tab/>
            <w:t>44</w:t>
          </w:r>
        </w:p>
        <w:p>
          <w:pPr>
            <w:pStyle w:val="TOC2"/>
            <w:tabs>
              <w:tab w:val="clear" w:pos="9026"/>
              <w:tab w:val="right" w:pos="9025" w:leader="dot"/>
            </w:tabs>
            <w:rPr/>
          </w:pPr>
          <w:r>
            <w:rPr>
              <w:webHidden/>
              <w:rStyle w:val="IndexLink"/>
            </w:rPr>
            <w:t>Appendix A. LCA inventory and calculations</w:t>
            <w:tab/>
            <w:t>44</w:t>
          </w:r>
        </w:p>
        <w:p>
          <w:pPr>
            <w:pStyle w:val="TOC2"/>
            <w:tabs>
              <w:tab w:val="clear" w:pos="9026"/>
              <w:tab w:val="right" w:pos="9025" w:leader="dot"/>
            </w:tabs>
            <w:rPr/>
          </w:pPr>
          <w:r>
            <w:rPr>
              <w:webHidden/>
              <w:rStyle w:val="IndexLink"/>
            </w:rPr>
            <w:t>Appendix B. Policy, economics and supply calculations</w:t>
            <w:tab/>
            <w:t>48</w:t>
          </w:r>
        </w:p>
        <w:p>
          <w:pPr>
            <w:pStyle w:val="TOC2"/>
            <w:tabs>
              <w:tab w:val="clear" w:pos="9026"/>
              <w:tab w:val="right" w:pos="9025" w:leader="dot"/>
            </w:tabs>
            <w:rPr/>
          </w:pPr>
          <w:r>
            <w:rPr>
              <w:webHidden/>
              <w:rStyle w:val="IndexLink"/>
            </w:rPr>
            <w:t>Appendix C. Sensitivity analysis</w:t>
            <w:tab/>
            <w:t>52</w:t>
          </w:r>
        </w:p>
        <w:p>
          <w:pPr>
            <w:pStyle w:val="TOC2"/>
            <w:tabs>
              <w:tab w:val="clear" w:pos="9026"/>
              <w:tab w:val="right" w:pos="9025" w:leader="dot"/>
            </w:tabs>
            <w:rPr/>
          </w:pPr>
          <w:r>
            <w:rPr>
              <w:webHidden/>
              <w:rStyle w:val="IndexLink"/>
            </w:rPr>
            <w:t>Appendix E. Search log</w:t>
            <w:tab/>
            <w:t>53</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6"/>
        </w:numPr>
        <w:rPr/>
      </w:pPr>
      <w:r>
        <w:rPr/>
        <w:t>What does one BWRX-300 emit?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construction materials were cross-checked with a Granta EduPack 2024 Eco Audit of one unit (Appendix A9).</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Granta EduPack cross-check. A Granta EduPack 2024 Eco Audit of one unit’s construction materials (120,000 t of concrete and 14,000 t of steel, with transport and steel recycling at end of life) gives 58,900 t CO₂e and 660 TJ for the first life, within about 2% of our scripted construction total of 57,600 t (Appendix A9, Figure F9). With the team’s LC³ material record (0.153 kg CO₂e/kg, against 0.158 for the base concrete), Granta’s saving is only about 240 t (−0.5%), because that record does not carry Pillai et al.’s (2019) 29% reduction; at Pillai’s 270 kg CO₂e/m³ (0.1125 kg/kg) the same model gives 2,200 t, matching our result. Granta also shows LC³’s embodied energy 33% lower per kilogram (0.60 against 0.90 MJ/kg), about 14 TJ less per unit. Back-calculating Sam’s records at 2,400 kg/m³ shows the base record equals Pillai’s ordinary concrete (380 kg CO₂e/m³) but the LC³ record equals 368 kg/m³, not Pillai’s 270; we therefore take 0.1125 kg CO₂e/kg as the defensible LC³ value, pending a Granta re-run. Five checks set in advance (Appendix A9.1): Granta and our model agree within 5% (pass, 2.3%); the mass balances close (pass); LC³’s cut of 28.9% sits just below the published 30–40% (marginal fail); our median of 4.40 g CO₂e/kWh sits below UNECE’s 5.1–6.4, although the 90% interval overlaps (fail on the median); and the Ontario industry concrete declaration was not tested. A Monte Carlo on the saving alone gives a median of 1,713 t per unit (90% interval 555–3,396 t); the LC³ factor and the eligible share explain about 86% of its variance.</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7"/>
        </w:numPr>
        <w:rPr/>
      </w:pPr>
      <w:r>
        <w:rPr>
          <w:i/>
          <w:iCs/>
        </w:rPr>
        <w:t>Life cycle (Section 3.2).</w:t>
      </w:r>
      <w:r>
        <w:rPr/>
        <w:t xml:space="preserve"> One BWRX-300 emits about 4 g CO₂e/kWh, mostly from the fuel front end; conversion heat is the largest uncertainty.</w:t>
      </w:r>
    </w:p>
    <w:p>
      <w:pPr>
        <w:pStyle w:val="Compact"/>
        <w:numPr>
          <w:ilvl w:val="0"/>
          <w:numId w:val="18"/>
        </w:numPr>
        <w:rPr/>
      </w:pPr>
      <w:r>
        <w:rPr>
          <w:i/>
          <w:iCs/>
        </w:rPr>
        <w:t>C1 (Sections 3.2–3.3).</w:t>
      </w:r>
      <w:r>
        <w:rPr/>
        <w:t xml:space="preserve"> It saves 2,200 t per unit (1,100–3,300; Section 3.1.4), about 0.36% of the life cycle; a delay of 11.6–18.5 days cancels it (1.7–1.8 days on the marginal grid factor). Granta EduPack confirms the construction footprint within 2.3%, but with the team’s LC³ record it shows only about 240 t, so C1’s carbon case is marginal and uncertain (Monte Carlo 555–3,396 t); its firmer benefits are a 33% lower embodied energy per kilogram, a qualified precedent for low-clinker nuclear concrete, and keeping it off the critical path. The fuel front end matters far more to the plant’s footprint than concrete.</w:t>
      </w:r>
    </w:p>
    <w:p>
      <w:pPr>
        <w:pStyle w:val="Compact"/>
        <w:numPr>
          <w:ilvl w:val="0"/>
          <w:numId w:val="19"/>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0"/>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21"/>
        </w:numPr>
        <w:rPr/>
      </w:pPr>
      <w:r>
        <w:rPr/>
        <w:t>Annual output = 300 MWe × 8,760 h × 0.90 = 2,365,200 MWh/yr.</w:t>
      </w:r>
    </w:p>
    <w:p>
      <w:pPr>
        <w:pStyle w:val="Compact"/>
        <w:numPr>
          <w:ilvl w:val="0"/>
          <w:numId w:val="22"/>
        </w:numPr>
        <w:rPr/>
      </w:pPr>
      <w:r>
        <w:rPr/>
        <w:t xml:space="preserve">Lifetime output E = 2,365,200 × 60 years = </w:t>
      </w:r>
      <w:r>
        <w:rPr>
          <w:b/>
          <w:bCs/>
        </w:rPr>
        <w:t>1.419 × 10⁸ MWh</w:t>
      </w:r>
      <w:r>
        <w:rPr/>
        <w:t>.</w:t>
      </w:r>
    </w:p>
    <w:p>
      <w:pPr>
        <w:pStyle w:val="Compact"/>
        <w:numPr>
          <w:ilvl w:val="0"/>
          <w:numId w:val="23"/>
        </w:numPr>
        <w:rPr/>
      </w:pPr>
      <w:r>
        <w:rPr/>
        <w:t xml:space="preserve">Net efficiency = 300 / 870 MWt = </w:t>
      </w:r>
      <w:r>
        <w:rPr>
          <w:b/>
          <w:bCs/>
        </w:rPr>
        <w:t>0.345</w:t>
      </w:r>
      <w:r>
        <w:rPr/>
        <w:t xml:space="preserve"> (Sun and Kurosaki, 2025, unrefereed preprint).</w:t>
      </w:r>
    </w:p>
    <w:p>
      <w:pPr>
        <w:pStyle w:val="Compact"/>
        <w:numPr>
          <w:ilvl w:val="0"/>
          <w:numId w:val="24"/>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2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26"/>
        </w:numPr>
        <w:rPr/>
      </w:pPr>
      <w:r>
        <w:rPr/>
        <w:t>Rebar = 0.15 t/m³ × 50,000 = 7,500 t (assumption); plate and equipment steel = 14,000 − 7,500 = 6,500 t.</w:t>
      </w:r>
    </w:p>
    <w:p>
      <w:pPr>
        <w:pStyle w:val="Compact"/>
        <w:numPr>
          <w:ilvl w:val="0"/>
          <w:numId w:val="27"/>
        </w:numPr>
        <w:rPr/>
      </w:pPr>
      <w:r>
        <w:rPr/>
        <w:t xml:space="preserve">C1-eligible concrete = 0.40 × 50,000 = </w:t>
      </w:r>
      <w:r>
        <w:rPr>
          <w:b/>
          <w:bCs/>
        </w:rPr>
        <w:t>20,000 m³</w:t>
      </w:r>
      <w:r>
        <w:rPr/>
        <w:t xml:space="preserve"> (10,000 and 30,000 at 20% and 60%; a scenario, not data).</w:t>
      </w:r>
    </w:p>
    <w:p>
      <w:pPr>
        <w:pStyle w:val="Compact"/>
        <w:numPr>
          <w:ilvl w:val="0"/>
          <w:numId w:val="2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2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30"/>
        </w:numPr>
        <w:rPr/>
      </w:pPr>
      <w:r>
        <w:rPr>
          <w:b/>
          <w:bCs/>
        </w:rPr>
        <w:t>Slag fallback:</w:t>
      </w:r>
      <w:r>
        <w:rPr/>
        <w:t xml:space="preserve"> 20,000 × 0.114 = 2,288 t.</w:t>
      </w:r>
    </w:p>
    <w:p>
      <w:pPr>
        <w:pStyle w:val="Compact"/>
        <w:numPr>
          <w:ilvl w:val="0"/>
          <w:numId w:val="31"/>
        </w:numPr>
        <w:rPr/>
      </w:pPr>
      <w:r>
        <w:rPr>
          <w:b/>
          <w:bCs/>
        </w:rPr>
        <w:t>Clinker avoided:</w:t>
      </w:r>
      <w:r>
        <w:rPr/>
        <w:t xml:space="preserve"> 20,000 × 350 kg/m³ × (0.92 − 0.50) / 1,000 = 2,940 t (indicative).</w:t>
      </w:r>
    </w:p>
    <w:p>
      <w:pPr>
        <w:pStyle w:val="Compact"/>
        <w:numPr>
          <w:ilvl w:val="0"/>
          <w:numId w:val="32"/>
        </w:numPr>
        <w:rPr/>
      </w:pPr>
      <w:r>
        <w:rPr>
          <w:b/>
          <w:bCs/>
        </w:rPr>
        <w:t>Units 2–4:</w:t>
      </w:r>
      <w:r>
        <w:rPr/>
        <w:t xml:space="preserve"> 3 × per unit = 6,600 t.</w:t>
      </w:r>
    </w:p>
    <w:p>
      <w:pPr>
        <w:pStyle w:val="Compact"/>
        <w:numPr>
          <w:ilvl w:val="0"/>
          <w:numId w:val="33"/>
        </w:numPr>
        <w:rPr/>
      </w:pPr>
      <w:r>
        <w:rPr/>
        <w:t>Monte Carlo median for LC³ at 40%: 2,217 t per unit (1,375–3,294).</w:t>
      </w:r>
    </w:p>
    <w:p>
      <w:pPr>
        <w:pStyle w:val="Heading4"/>
        <w:rPr/>
      </w:pPr>
      <w:r>
        <w:rPr/>
        <w:t>A7 Steel, transport and construction total</w:t>
      </w:r>
    </w:p>
    <w:p>
      <w:pPr>
        <w:pStyle w:val="Compact"/>
        <w:numPr>
          <w:ilvl w:val="0"/>
          <w:numId w:val="34"/>
        </w:numPr>
        <w:rPr/>
      </w:pPr>
      <w:r>
        <w:rPr/>
        <w:t xml:space="preserve">Concrete 19,000 t + steel 18,520 t (7,275 + 11,245) + transport 880 t + uplift 0.5 × 38,400 = 19,200 t = </w:t>
      </w:r>
      <w:r>
        <w:rPr>
          <w:b/>
          <w:bCs/>
        </w:rPr>
        <w:t>57,600 t</w:t>
      </w:r>
      <w:r>
        <w:rPr/>
        <w:t>.</w:t>
      </w:r>
    </w:p>
    <w:p>
      <w:pPr>
        <w:pStyle w:val="Compact"/>
        <w:numPr>
          <w:ilvl w:val="0"/>
          <w:numId w:val="35"/>
        </w:numPr>
        <w:rPr/>
      </w:pPr>
      <w:r>
        <w:rPr/>
        <w:t xml:space="preserve">Per kWh: 57,600 / 1.419 × 10⁸ MWh = </w:t>
      </w:r>
      <w:r>
        <w:rPr>
          <w:b/>
          <w:bCs/>
        </w:rPr>
        <w:t>0.406 g/kWh</w:t>
      </w:r>
      <w:r>
        <w:rPr/>
        <w:t>.</w:t>
      </w:r>
    </w:p>
    <w:p>
      <w:pPr>
        <w:pStyle w:val="Compact"/>
        <w:numPr>
          <w:ilvl w:val="0"/>
          <w:numId w:val="3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 xml:space="preserve">Granta EduPack 2024 R1 Eco Audit, one BWRX-300, product life 30 years, country of use North America (team model; full reports in the repository, </w:t>
      </w:r>
      <w:r>
        <w:rPr>
          <w:rStyle w:val="VerbatimChar"/>
        </w:rPr>
        <w:t>03_LCA_Calculations/granta/</w:t>
      </w:r>
      <w:r>
        <w:rPr/>
        <w:t>). Components: base concrete 120,000 t (user-defined record, 0.1583 kg CO₂e/kg, 0.90 MJ/kg); structural steel 6,000 t and modular steel 8,000 t (low-carbon steel, virgin, roll formed); transport by truck, 30 km for concrete and 200 km for steel; steel recycled at end of life, concrete not. In the LC³ case 48,000 t (40%) of the concrete uses the team’s LC³ record (0.1533 kg CO₂e/kg, 0.603 MJ/kg).</w:t>
      </w:r>
    </w:p>
    <w:p>
      <w:pPr>
        <w:pStyle w:val="BodyText"/>
        <w:rPr/>
      </w:pPr>
      <w:r>
        <w:rPr>
          <w:i/>
          <w:iCs/>
        </w:rPr>
        <w:t>Table A9. Granta Eco Audit results for one unit (first life).</w:t>
      </w:r>
      <w:r>
        <w:rPr/>
        <w:t xml:space="preserve"> </w:t>
      </w:r>
      <w:r>
        <w:rPr>
          <w:i/>
          <w:iCs/>
        </w:rPr>
        <w:t>Source: Granta EduPack 2024 R1 Eco Audit reports, Base Reactor and LC3 Reactor (25 October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Phase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CO₂e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Base: energy (TJ)</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LC³: energy (TJ)</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Material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Manufacture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3,490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Disposal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Total, first life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End-of-life potential (steel recycling)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23,400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328</w:t>
            </w:r>
          </w:p>
        </w:tc>
      </w:tr>
    </w:tbl>
    <w:p>
      <w:pPr>
        <w:pStyle w:val="BodyText"/>
        <w:rPr/>
      </w:pPr>
      <w:r>
        <w:rPr/>
        <w:t>The concrete-only saving is (0.1583 − 0.1533) × 48,000 t = 240 t CO₂e; at Pillai et al.’s (2019) 0.1125 kg/kg it would be (0.1583 − 0.1125) × 48,000 t = 2,198 t, the 2,200 t used in the report. Spread over the 60-year functional unit, Granta’s 58,900 t is 0.42 g CO₂e/kWh, against 0.50 g/kWh for construction in our model.</w:t>
      </w:r>
    </w:p>
    <w:p>
      <w:pPr>
        <w:pStyle w:val="CaptionedFigure"/>
        <w:rPr/>
      </w:pPr>
      <w:r>
        <w:rPr/>
        <w:drawing>
          <wp:inline distT="0" distB="0" distL="0" distR="0">
            <wp:extent cx="4664075" cy="3436620"/>
            <wp:effectExtent l="0" t="0" r="0" b="0"/>
            <wp:docPr id="9" name="Image9" descr="Figure F9. Granta EduPack Eco Audit summary, climate change (kg CO₂e)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F9. Granta EduPack Eco Audit summary, climate change (kg CO₂e) by life phase: base reactor against LC³ reactor. Source: Granta EduPack 2024 R1, team model."/>
                    <pic:cNvPicPr>
                      <a:picLocks noChangeAspect="1" noChangeArrowheads="1"/>
                    </pic:cNvPicPr>
                  </pic:nvPicPr>
                  <pic:blipFill>
                    <a:blip r:embed="rId10"/>
                    <a:stretch>
                      <a:fillRect/>
                    </a:stretch>
                  </pic:blipFill>
                  <pic:spPr bwMode="auto">
                    <a:xfrm>
                      <a:off x="0" y="0"/>
                      <a:ext cx="4664075" cy="3436620"/>
                    </a:xfrm>
                    <a:prstGeom prst="rect">
                      <a:avLst/>
                    </a:prstGeom>
                  </pic:spPr>
                </pic:pic>
              </a:graphicData>
            </a:graphic>
          </wp:inline>
        </w:drawing>
      </w:r>
    </w:p>
    <w:p>
      <w:pPr>
        <w:pStyle w:val="ImageCaption"/>
        <w:rPr/>
      </w:pPr>
      <w:r>
        <w:rPr/>
        <w:t>Figure F9. Granta EduPack Eco Audit summary, climate change (kg CO₂e) by life phase: base reactor against LC³ reactor. Source: Granta EduPack 2024 R1, team model.</w:t>
      </w:r>
    </w:p>
    <w:p>
      <w:pPr>
        <w:pStyle w:val="CaptionedFigure"/>
        <w:rPr/>
      </w:pPr>
      <w:r>
        <w:rPr/>
        <w:drawing>
          <wp:inline distT="0" distB="0" distL="0" distR="0">
            <wp:extent cx="4664075" cy="3436620"/>
            <wp:effectExtent l="0" t="0" r="0" b="0"/>
            <wp:docPr id="10" name="Image10" descr="Figure F10. Granta EduPack Eco Audit summary, energy (MJ) by life phase: base reactor against LC³ reactor. Source: Granta EduPack 2024 R1, team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e F10. Granta EduPack Eco Audit summary, energy (MJ) by life phase: base reactor against LC³ reactor. Source: Granta EduPack 2024 R1, team model."/>
                    <pic:cNvPicPr>
                      <a:picLocks noChangeAspect="1" noChangeArrowheads="1"/>
                    </pic:cNvPicPr>
                  </pic:nvPicPr>
                  <pic:blipFill>
                    <a:blip r:embed="rId11"/>
                    <a:stretch>
                      <a:fillRect/>
                    </a:stretch>
                  </pic:blipFill>
                  <pic:spPr bwMode="auto">
                    <a:xfrm>
                      <a:off x="0" y="0"/>
                      <a:ext cx="4664075" cy="3436620"/>
                    </a:xfrm>
                    <a:prstGeom prst="rect">
                      <a:avLst/>
                    </a:prstGeom>
                  </pic:spPr>
                </pic:pic>
              </a:graphicData>
            </a:graphic>
          </wp:inline>
        </w:drawing>
      </w:r>
    </w:p>
    <w:p>
      <w:pPr>
        <w:pStyle w:val="ImageCaption"/>
        <w:rPr/>
      </w:pPr>
      <w:r>
        <w:rPr/>
        <w:t>Figure F10. Granta EduPack Eco Audit summary, energy (MJ) by life phase: base reactor against LC³ reactor. Source: Granta EduPack 2024 R1, team model.</w:t>
      </w:r>
    </w:p>
    <w:p>
      <w:pPr>
        <w:pStyle w:val="Heading4"/>
        <w:rPr/>
      </w:pPr>
      <w:r>
        <w:rPr/>
        <w:t>A9.1 Reconciliation and verification checks</w:t>
      </w:r>
    </w:p>
    <w:p>
      <w:pPr>
        <w:pStyle w:val="FirstParagraph"/>
        <w:rPr/>
      </w:pPr>
      <w:r>
        <w:rPr/>
        <w:t xml:space="preserve">Back-calculated at 2,400 kg/m³ (the density implied by 120,000 t for 50,000 m³), the base record (0.1583 kg/kg) equals Pillai et al.’s (2019) ordinary concrete, 380 kg CO₂e/m³, but the LC³ record (0.1533 kg/kg) equals 368 kg/m³, a 3.2% cut rather than Pillai’s 28.9%. The source of 0.1533 is not recorded in the reports. The defensible value, on the same source and density basis as the base record, is 270 / 2,400 = 0.1125 kg CO₂e/kg; the embodied energy of 0.603 MJ/kg is kept as entered. Both mixes are M50 (28-day mean strengths 60.0 and 56.7 MPa), so the per-m³ comparison is at the same strength class; whether OPG’s baseline mix already contains slag is not known, which would reduce the saving. Granta has no use phase, so its 30-year product life does not change its construction totals; the per-kWh figures use our 60-year functional unit (Script: </w:t>
      </w:r>
      <w:r>
        <w:rPr>
          <w:rStyle w:val="VerbatimChar"/>
        </w:rPr>
        <w:t>03_LCA_Calculations/scripts/granta_reconcile.py</w:t>
      </w:r>
      <w:r>
        <w:rPr/>
        <w:t>).</w:t>
      </w:r>
    </w:p>
    <w:p>
      <w:pPr>
        <w:pStyle w:val="BodyText"/>
        <w:rPr/>
      </w:pPr>
      <w:r>
        <w:rPr>
          <w:i/>
          <w:iCs/>
        </w:rPr>
        <w:t>Table A9.1. Checks set in advance and their outcomes.</w:t>
      </w:r>
      <w:r>
        <w:rPr/>
        <w:t xml:space="preserve"> </w:t>
      </w:r>
      <w:r>
        <w:rPr>
          <w:i/>
          <w:iCs/>
        </w:rPr>
        <w:t>Source: this study; Granta EduPack 2024 R1; Pillai et al. (2019); UNECE (2021).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Check</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Limit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Outcome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Granta vs our model, construction total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58,900 vs 57,600 t (2.3%)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against ordinary concrete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28.9%; Granta record 3.2%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(marginal for Pillai)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Ordinary concrete per m³ vs Ontario industry declaration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within 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tested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Whole-plant intensity vs UNECE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 g/kWh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4.40 (90%: 3.24–6.05)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Fail on median; interval overlaps</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Mass and energy balances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close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120,000 t; 72,000 + 48,000 t; steel 6,000 + 8,000 t; material energy within 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w:t>
            </w:r>
          </w:p>
        </w:tc>
      </w:tr>
    </w:tbl>
    <w:p>
      <w:pPr>
        <w:pStyle w:val="BodyText"/>
        <w:rPr/>
      </w:pPr>
      <w:r>
        <w:rPr/>
        <w:t>Monte Carlo on the C1 saving (20,000 draws, seed 20261025; eligible share uniform 20–60%; ordinary concrete 342–418 kg/m³; LC³ 230–368 kg/m³ with Sam’s record as the upper bound): median 1,713 t per unit, 90% interval 555–3,396 t. Share of variance: LC³ factor 48%, eligible share 38%, ordinary-concrete factor 14%.</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3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3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3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4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4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4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4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6">
          <wp:simplePos x="0" y="0"/>
          <wp:positionH relativeFrom="margin">
            <wp:posOffset>4845050</wp:posOffset>
          </wp:positionH>
          <wp:positionV relativeFrom="margin">
            <wp:posOffset>-457200</wp:posOffset>
          </wp:positionV>
          <wp:extent cx="887730" cy="318135"/>
          <wp:effectExtent l="0" t="0" r="0" b="0"/>
          <wp:wrapNone/>
          <wp:docPr id="1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21">
          <wp:simplePos x="0" y="0"/>
          <wp:positionH relativeFrom="page">
            <wp:posOffset>752475</wp:posOffset>
          </wp:positionH>
          <wp:positionV relativeFrom="page">
            <wp:posOffset>314325</wp:posOffset>
          </wp:positionV>
          <wp:extent cx="1401445" cy="595630"/>
          <wp:effectExtent l="0" t="0" r="0" b="0"/>
          <wp:wrapNone/>
          <wp:docPr id="12"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1">
          <wp:simplePos x="0" y="0"/>
          <wp:positionH relativeFrom="page">
            <wp:posOffset>752475</wp:posOffset>
          </wp:positionH>
          <wp:positionV relativeFrom="page">
            <wp:posOffset>9858375</wp:posOffset>
          </wp:positionV>
          <wp:extent cx="1401445" cy="595630"/>
          <wp:effectExtent l="0" t="0" r="0" b="0"/>
          <wp:wrapNone/>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2">
          <wp:simplePos x="0" y="0"/>
          <wp:positionH relativeFrom="margin">
            <wp:posOffset>4845050</wp:posOffset>
          </wp:positionH>
          <wp:positionV relativeFrom="margin">
            <wp:posOffset>9086850</wp:posOffset>
          </wp:positionV>
          <wp:extent cx="887730" cy="318135"/>
          <wp:effectExtent l="0" t="0" r="0" b="0"/>
          <wp:wrapSquare wrapText="bothSides"/>
          <wp:docPr id="14"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num>
  <w:num w:numId="14">
    <w:abstractNumId w:val="1"/>
  </w:num>
  <w:num w:numId="15">
    <w:abstractNumId w:val="1"/>
  </w:num>
  <w:num w:numId="16">
    <w:abstractNumId w:val="4"/>
    <w:lvlOverride w:ilvl="0">
      <w:startOverride w:val="1"/>
    </w:lvlOverride>
  </w:num>
  <w:num w:numId="17">
    <w:abstractNumId w:val="4"/>
    <w:lvlOverride w:ilvl="0">
      <w:startOverride w:val="1"/>
    </w:lvlOverride>
  </w:num>
  <w:num w:numId="18">
    <w:abstractNumId w:val="4"/>
  </w:num>
  <w:num w:numId="19">
    <w:abstractNumId w:val="4"/>
  </w:num>
  <w:num w:numId="20">
    <w:abstractNumId w:val="4"/>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12.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55</Pages>
  <Words>16383</Words>
  <Characters>95105</Characters>
  <CharactersWithSpaces>109885</CharactersWithSpaces>
  <Paragraphs>1087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2026-10-25T12:53:50Z</dcterms:created>
  <dc:creator/>
  <dc:description/>
  <dc:language>en-US</dc:language>
  <cp:lastModifiedBy/>
  <dcterms:modified xsi:type="dcterms:W3CDTF">2026-10-25T12:53:56Z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